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7C221D">
      <w:pPr>
        <w:shd w:val="clear"/>
        <w:spacing w:line="360" w:lineRule="auto"/>
        <w:ind w:firstLine="714" w:firstLineChars="119"/>
        <w:rPr>
          <w:rFonts w:eastAsia="宋体"/>
          <w:color w:val="auto"/>
          <w:sz w:val="60"/>
          <w:szCs w:val="60"/>
          <w:highlight w:val="none"/>
        </w:rPr>
      </w:pPr>
    </w:p>
    <w:p w14:paraId="17ADCB17">
      <w:pPr>
        <w:pStyle w:val="2"/>
        <w:shd w:val="clear"/>
        <w:rPr>
          <w:rFonts w:eastAsia="宋体"/>
          <w:color w:val="auto"/>
          <w:sz w:val="60"/>
          <w:szCs w:val="60"/>
          <w:highlight w:val="none"/>
        </w:rPr>
      </w:pPr>
    </w:p>
    <w:p w14:paraId="38758384">
      <w:pPr>
        <w:shd w:val="clear"/>
        <w:rPr>
          <w:color w:val="auto"/>
          <w:highlight w:val="none"/>
        </w:rPr>
      </w:pPr>
    </w:p>
    <w:p w14:paraId="5677BA91">
      <w:pPr>
        <w:shd w:val="clear"/>
        <w:jc w:val="center"/>
        <w:rPr>
          <w:rFonts w:eastAsia="宋体"/>
          <w:b/>
          <w:bCs/>
          <w:color w:val="auto"/>
          <w:sz w:val="60"/>
          <w:szCs w:val="60"/>
          <w:highlight w:val="none"/>
        </w:rPr>
      </w:pPr>
      <w:r>
        <w:rPr>
          <w:rFonts w:eastAsia="宋体"/>
          <w:b/>
          <w:bCs/>
          <w:color w:val="auto"/>
          <w:sz w:val="60"/>
          <w:szCs w:val="60"/>
          <w:highlight w:val="none"/>
        </w:rPr>
        <w:t>北京市政府采购项目</w:t>
      </w:r>
    </w:p>
    <w:p w14:paraId="4F89A8D1">
      <w:pPr>
        <w:shd w:val="clear"/>
        <w:jc w:val="center"/>
        <w:rPr>
          <w:rFonts w:eastAsia="宋体"/>
          <w:b/>
          <w:bCs/>
          <w:color w:val="auto"/>
          <w:sz w:val="60"/>
          <w:szCs w:val="60"/>
          <w:highlight w:val="none"/>
        </w:rPr>
      </w:pPr>
      <w:r>
        <w:rPr>
          <w:rFonts w:eastAsia="宋体"/>
          <w:b/>
          <w:bCs/>
          <w:color w:val="auto"/>
          <w:sz w:val="60"/>
          <w:szCs w:val="60"/>
          <w:highlight w:val="none"/>
        </w:rPr>
        <w:t>竞争性磋商文件</w:t>
      </w:r>
    </w:p>
    <w:p w14:paraId="0374BF82">
      <w:pPr>
        <w:shd w:val="clear"/>
        <w:spacing w:line="360" w:lineRule="auto"/>
        <w:jc w:val="center"/>
        <w:rPr>
          <w:rFonts w:ascii="宋体" w:hAnsi="宋体" w:eastAsia="宋体"/>
          <w:b/>
          <w:bCs/>
          <w:color w:val="auto"/>
          <w:sz w:val="60"/>
          <w:szCs w:val="60"/>
          <w:highlight w:val="none"/>
        </w:rPr>
      </w:pPr>
    </w:p>
    <w:p w14:paraId="272AA60F">
      <w:pPr>
        <w:pStyle w:val="2"/>
        <w:shd w:val="clear"/>
        <w:rPr>
          <w:rFonts w:ascii="宋体" w:hAnsi="宋体" w:eastAsia="宋体"/>
          <w:b/>
          <w:bCs/>
          <w:color w:val="auto"/>
          <w:sz w:val="60"/>
          <w:szCs w:val="60"/>
          <w:highlight w:val="none"/>
        </w:rPr>
      </w:pPr>
    </w:p>
    <w:p w14:paraId="3F096253">
      <w:pPr>
        <w:shd w:val="clear"/>
        <w:tabs>
          <w:tab w:val="left" w:pos="3240"/>
          <w:tab w:val="left" w:pos="3420"/>
        </w:tabs>
        <w:spacing w:line="360" w:lineRule="auto"/>
        <w:ind w:left="2832" w:leftChars="444" w:hanging="1900" w:hangingChars="528"/>
        <w:jc w:val="left"/>
        <w:rPr>
          <w:rFonts w:ascii="Times New Roman" w:hAnsi="Times New Roman" w:eastAsia="宋体" w:cs="Times New Roman"/>
          <w:bCs/>
          <w:color w:val="auto"/>
          <w:sz w:val="36"/>
          <w:szCs w:val="36"/>
          <w:highlight w:val="none"/>
        </w:rPr>
      </w:pPr>
    </w:p>
    <w:p w14:paraId="292652FA">
      <w:pPr>
        <w:shd w:val="clear"/>
        <w:tabs>
          <w:tab w:val="left" w:pos="3240"/>
          <w:tab w:val="left" w:pos="3420"/>
        </w:tabs>
        <w:spacing w:line="360" w:lineRule="auto"/>
        <w:ind w:left="2832" w:leftChars="444" w:hanging="1900" w:hangingChars="528"/>
        <w:jc w:val="left"/>
        <w:rPr>
          <w:rFonts w:hint="eastAsia" w:ascii="Times New Roman" w:hAnsi="Times New Roman" w:eastAsia="宋体" w:cs="Times New Roman"/>
          <w:bCs/>
          <w:color w:val="auto"/>
          <w:sz w:val="36"/>
          <w:szCs w:val="36"/>
          <w:highlight w:val="none"/>
        </w:rPr>
      </w:pPr>
      <w:r>
        <w:rPr>
          <w:rFonts w:ascii="Times New Roman" w:hAnsi="Times New Roman" w:eastAsia="宋体" w:cs="Times New Roman"/>
          <w:bCs/>
          <w:color w:val="auto"/>
          <w:sz w:val="36"/>
          <w:szCs w:val="36"/>
          <w:highlight w:val="none"/>
        </w:rPr>
        <w:t>项目名称：</w:t>
      </w:r>
      <w:r>
        <w:rPr>
          <w:rFonts w:hint="eastAsia" w:ascii="Times New Roman" w:hAnsi="Times New Roman" w:eastAsia="宋体" w:cs="Times New Roman"/>
          <w:bCs/>
          <w:color w:val="auto"/>
          <w:sz w:val="36"/>
          <w:szCs w:val="36"/>
          <w:highlight w:val="none"/>
        </w:rPr>
        <w:t>北京市人力资源和社会保障局积分落户管理信息系统适配能力提升</w:t>
      </w:r>
    </w:p>
    <w:p w14:paraId="09F31142">
      <w:pPr>
        <w:shd w:val="clear"/>
        <w:tabs>
          <w:tab w:val="left" w:pos="3240"/>
          <w:tab w:val="left" w:pos="3420"/>
        </w:tabs>
        <w:spacing w:line="360" w:lineRule="auto"/>
        <w:ind w:left="2832" w:leftChars="444" w:hanging="1900" w:hangingChars="528"/>
        <w:jc w:val="left"/>
        <w:rPr>
          <w:rFonts w:hint="default" w:eastAsia="宋体"/>
          <w:bCs/>
          <w:color w:val="auto"/>
          <w:sz w:val="36"/>
          <w:szCs w:val="36"/>
          <w:highlight w:val="none"/>
          <w:lang w:val="en-US" w:eastAsia="zh-CN"/>
        </w:rPr>
      </w:pPr>
      <w:r>
        <w:rPr>
          <w:rFonts w:eastAsia="宋体"/>
          <w:bCs/>
          <w:color w:val="auto"/>
          <w:sz w:val="36"/>
          <w:szCs w:val="36"/>
          <w:highlight w:val="none"/>
        </w:rPr>
        <w:t>项目编号：</w:t>
      </w:r>
      <w:r>
        <w:rPr>
          <w:rFonts w:hint="eastAsia"/>
          <w:bCs/>
          <w:color w:val="auto"/>
          <w:sz w:val="36"/>
          <w:szCs w:val="36"/>
          <w:highlight w:val="none"/>
          <w:lang w:eastAsia="zh-CN"/>
        </w:rPr>
        <w:t>GXCZ-C-257000</w:t>
      </w:r>
      <w:r>
        <w:rPr>
          <w:rFonts w:hint="eastAsia"/>
          <w:bCs/>
          <w:color w:val="auto"/>
          <w:sz w:val="36"/>
          <w:szCs w:val="36"/>
          <w:highlight w:val="none"/>
          <w:lang w:val="en-US" w:eastAsia="zh-CN"/>
        </w:rPr>
        <w:t>52</w:t>
      </w:r>
    </w:p>
    <w:p w14:paraId="4BFB5D2C">
      <w:pPr>
        <w:pStyle w:val="19"/>
        <w:shd w:val="clear"/>
        <w:rPr>
          <w:rFonts w:eastAsia="宋体"/>
          <w:bCs/>
          <w:color w:val="auto"/>
          <w:sz w:val="36"/>
          <w:szCs w:val="36"/>
          <w:highlight w:val="none"/>
        </w:rPr>
      </w:pPr>
    </w:p>
    <w:p w14:paraId="06B356E3">
      <w:pPr>
        <w:pStyle w:val="83"/>
        <w:shd w:val="clear"/>
        <w:rPr>
          <w:rFonts w:eastAsia="宋体"/>
          <w:bCs/>
          <w:color w:val="auto"/>
          <w:sz w:val="36"/>
          <w:szCs w:val="36"/>
          <w:highlight w:val="none"/>
        </w:rPr>
      </w:pPr>
    </w:p>
    <w:p w14:paraId="5BA6F751">
      <w:pPr>
        <w:shd w:val="clear"/>
        <w:rPr>
          <w:rFonts w:eastAsia="宋体"/>
          <w:bCs/>
          <w:color w:val="auto"/>
          <w:sz w:val="36"/>
          <w:szCs w:val="36"/>
          <w:highlight w:val="none"/>
        </w:rPr>
      </w:pPr>
    </w:p>
    <w:p w14:paraId="4D187275">
      <w:pPr>
        <w:pStyle w:val="19"/>
        <w:shd w:val="clear"/>
        <w:rPr>
          <w:color w:val="auto"/>
          <w:highlight w:val="none"/>
        </w:rPr>
      </w:pPr>
    </w:p>
    <w:p w14:paraId="5828C801">
      <w:pPr>
        <w:shd w:val="clea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rFonts w:eastAsia="宋体"/>
          <w:bCs/>
          <w:color w:val="auto"/>
          <w:sz w:val="36"/>
          <w:szCs w:val="36"/>
          <w:highlight w:val="none"/>
        </w:rPr>
        <w:t>采 购 人：</w:t>
      </w:r>
      <w:r>
        <w:rPr>
          <w:rFonts w:hint="eastAsia"/>
          <w:bCs/>
          <w:color w:val="auto"/>
          <w:sz w:val="36"/>
          <w:szCs w:val="36"/>
          <w:highlight w:val="none"/>
          <w:lang w:eastAsia="zh-CN"/>
        </w:rPr>
        <w:t>北京市人力资源和社会保障局</w:t>
      </w:r>
    </w:p>
    <w:p w14:paraId="663D109F">
      <w:pPr>
        <w:shd w:val="clear"/>
        <w:tabs>
          <w:tab w:val="left" w:pos="3240"/>
          <w:tab w:val="left" w:pos="3420"/>
        </w:tabs>
        <w:spacing w:line="360" w:lineRule="auto"/>
        <w:ind w:left="2832" w:leftChars="444" w:hanging="1900" w:hangingChars="528"/>
        <w:jc w:val="left"/>
        <w:rPr>
          <w:rFonts w:eastAsia="宋体"/>
          <w:bCs/>
          <w:color w:val="auto"/>
          <w:sz w:val="36"/>
          <w:szCs w:val="36"/>
          <w:highlight w:val="none"/>
        </w:rPr>
      </w:pPr>
      <w:r>
        <w:rPr>
          <w:rFonts w:hint="eastAsia" w:eastAsia="宋体"/>
          <w:bCs/>
          <w:color w:val="auto"/>
          <w:sz w:val="36"/>
          <w:szCs w:val="36"/>
          <w:highlight w:val="none"/>
        </w:rPr>
        <w:t>采购</w:t>
      </w:r>
      <w:r>
        <w:rPr>
          <w:rFonts w:eastAsia="宋体"/>
          <w:bCs/>
          <w:color w:val="auto"/>
          <w:sz w:val="36"/>
          <w:szCs w:val="36"/>
          <w:highlight w:val="none"/>
        </w:rPr>
        <w:t>代理机构：</w:t>
      </w:r>
      <w:r>
        <w:rPr>
          <w:rFonts w:hint="eastAsia"/>
          <w:bCs/>
          <w:color w:val="auto"/>
          <w:sz w:val="36"/>
          <w:szCs w:val="36"/>
          <w:highlight w:val="none"/>
          <w:lang w:eastAsia="zh-CN"/>
        </w:rPr>
        <w:t>国信招标集团股份有限公司</w:t>
      </w:r>
      <w:r>
        <w:rPr>
          <w:rFonts w:eastAsia="宋体"/>
          <w:bCs/>
          <w:color w:val="auto"/>
          <w:sz w:val="36"/>
          <w:szCs w:val="36"/>
          <w:highlight w:val="none"/>
        </w:rPr>
        <w:t xml:space="preserve"> </w:t>
      </w:r>
    </w:p>
    <w:p w14:paraId="5B6CEA0B">
      <w:pPr>
        <w:widowControl/>
        <w:shd w:val="clear"/>
        <w:jc w:val="left"/>
        <w:rPr>
          <w:rFonts w:ascii="Times New Roman" w:hAnsi="Times New Roman" w:eastAsia="宋体" w:cs="Times New Roman"/>
          <w:color w:val="auto"/>
          <w:highlight w:val="none"/>
        </w:rPr>
        <w:sectPr>
          <w:footerReference r:id="rId6" w:type="first"/>
          <w:headerReference r:id="rId3" w:type="default"/>
          <w:footerReference r:id="rId4" w:type="default"/>
          <w:footerReference r:id="rId5" w:type="even"/>
          <w:type w:val="nextColumn"/>
          <w:pgSz w:w="11907" w:h="16840"/>
          <w:pgMar w:top="1440" w:right="1800" w:bottom="1440" w:left="1800" w:header="851" w:footer="851" w:gutter="0"/>
          <w:pgNumType w:start="1"/>
          <w:cols w:space="720" w:num="1"/>
          <w:docGrid w:linePitch="462" w:charSpace="0"/>
        </w:sectPr>
      </w:pPr>
    </w:p>
    <w:p w14:paraId="6D5ED6BC">
      <w:pPr>
        <w:pStyle w:val="82"/>
        <w:shd w:val="clear"/>
        <w:rPr>
          <w:color w:val="auto"/>
          <w:highlight w:val="none"/>
        </w:rPr>
      </w:pPr>
    </w:p>
    <w:p w14:paraId="6053B4FF">
      <w:pPr>
        <w:shd w:val="clear"/>
        <w:spacing w:line="360" w:lineRule="auto"/>
        <w:jc w:val="center"/>
        <w:outlineLvl w:val="0"/>
        <w:rPr>
          <w:rFonts w:hint="eastAsia" w:eastAsia="宋体"/>
          <w:b/>
          <w:color w:val="auto"/>
          <w:sz w:val="36"/>
          <w:szCs w:val="36"/>
          <w:highlight w:val="none"/>
        </w:rPr>
      </w:pPr>
      <w:bookmarkStart w:id="0" w:name="_Toc23770"/>
    </w:p>
    <w:p w14:paraId="5289F09E">
      <w:pPr>
        <w:shd w:val="clear"/>
        <w:spacing w:line="360" w:lineRule="auto"/>
        <w:jc w:val="center"/>
        <w:outlineLvl w:val="0"/>
        <w:rPr>
          <w:rFonts w:eastAsia="宋体"/>
          <w:b/>
          <w:color w:val="auto"/>
          <w:sz w:val="36"/>
          <w:szCs w:val="36"/>
          <w:highlight w:val="none"/>
        </w:rPr>
      </w:pPr>
      <w:bookmarkStart w:id="1" w:name="_Toc26858"/>
      <w:r>
        <w:rPr>
          <w:rFonts w:hint="eastAsia" w:eastAsia="宋体"/>
          <w:b/>
          <w:color w:val="auto"/>
          <w:sz w:val="36"/>
          <w:szCs w:val="36"/>
          <w:highlight w:val="none"/>
        </w:rPr>
        <w:t>目</w:t>
      </w:r>
      <w:r>
        <w:rPr>
          <w:rFonts w:eastAsia="宋体"/>
          <w:b/>
          <w:color w:val="auto"/>
          <w:sz w:val="36"/>
          <w:szCs w:val="36"/>
          <w:highlight w:val="none"/>
        </w:rPr>
        <w:t xml:space="preserve">    </w:t>
      </w:r>
      <w:r>
        <w:rPr>
          <w:rFonts w:hint="eastAsia" w:eastAsia="宋体"/>
          <w:b/>
          <w:color w:val="auto"/>
          <w:sz w:val="36"/>
          <w:szCs w:val="36"/>
          <w:highlight w:val="none"/>
        </w:rPr>
        <w:t>录</w:t>
      </w:r>
      <w:bookmarkEnd w:id="0"/>
      <w:bookmarkEnd w:id="1"/>
    </w:p>
    <w:p w14:paraId="796B7304">
      <w:pPr>
        <w:shd w:val="clear"/>
        <w:rPr>
          <w:rFonts w:eastAsia="宋体"/>
          <w:color w:val="auto"/>
          <w:highlight w:val="none"/>
        </w:rPr>
      </w:pPr>
    </w:p>
    <w:p w14:paraId="11CE4860">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b w:val="0"/>
          <w:color w:val="auto"/>
          <w:highlight w:val="none"/>
        </w:rPr>
        <w:fldChar w:fldCharType="begin"/>
      </w:r>
      <w:r>
        <w:rPr>
          <w:rFonts w:ascii="Times New Roman" w:hAnsi="Times New Roman" w:eastAsia="宋体"/>
          <w:b w:val="0"/>
          <w:color w:val="auto"/>
          <w:highlight w:val="none"/>
        </w:rPr>
        <w:instrText xml:space="preserve"> TOC \o "1-1" \h \z \u </w:instrText>
      </w:r>
      <w:r>
        <w:rPr>
          <w:rFonts w:ascii="Times New Roman" w:hAnsi="Times New Roman" w:eastAsia="宋体"/>
          <w:b w:val="0"/>
          <w:color w:val="auto"/>
          <w:highlight w:val="none"/>
        </w:rPr>
        <w:fldChar w:fldCharType="separate"/>
      </w: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_Toc25913 </w:instrText>
      </w:r>
      <w:r>
        <w:rPr>
          <w:rFonts w:ascii="Times New Roman" w:hAnsi="Times New Roman" w:eastAsia="宋体"/>
          <w:color w:val="auto"/>
          <w:highlight w:val="none"/>
        </w:rPr>
        <w:fldChar w:fldCharType="separate"/>
      </w:r>
      <w:r>
        <w:rPr>
          <w:rFonts w:eastAsia="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_Toc25913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eastAsia="宋体"/>
          <w:color w:val="auto"/>
          <w:highlight w:val="none"/>
        </w:rPr>
        <w:fldChar w:fldCharType="end"/>
      </w:r>
    </w:p>
    <w:p w14:paraId="685B109E">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_Toc2988 </w:instrText>
      </w:r>
      <w:r>
        <w:rPr>
          <w:rFonts w:ascii="Times New Roman" w:hAnsi="Times New Roman" w:eastAsia="宋体"/>
          <w:color w:val="auto"/>
          <w:highlight w:val="none"/>
        </w:rPr>
        <w:fldChar w:fldCharType="separate"/>
      </w:r>
      <w:r>
        <w:rPr>
          <w:rFonts w:eastAsia="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_Toc2988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eastAsia="宋体"/>
          <w:color w:val="auto"/>
          <w:highlight w:val="none"/>
        </w:rPr>
        <w:fldChar w:fldCharType="end"/>
      </w:r>
    </w:p>
    <w:p w14:paraId="502C9356">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_Toc32675 </w:instrText>
      </w:r>
      <w:r>
        <w:rPr>
          <w:rFonts w:ascii="Times New Roman" w:hAnsi="Times New Roman" w:eastAsia="宋体"/>
          <w:color w:val="auto"/>
          <w:highlight w:val="none"/>
        </w:rPr>
        <w:fldChar w:fldCharType="separate"/>
      </w:r>
      <w:r>
        <w:rPr>
          <w:rFonts w:eastAsia="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_Toc32675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eastAsia="宋体"/>
          <w:color w:val="auto"/>
          <w:highlight w:val="none"/>
        </w:rPr>
        <w:fldChar w:fldCharType="end"/>
      </w:r>
    </w:p>
    <w:p w14:paraId="79D7D6F3">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_Toc379 </w:instrText>
      </w:r>
      <w:r>
        <w:rPr>
          <w:rFonts w:ascii="Times New Roman" w:hAnsi="Times New Roman" w:eastAsia="宋体"/>
          <w:color w:val="auto"/>
          <w:highlight w:val="none"/>
        </w:rPr>
        <w:fldChar w:fldCharType="separate"/>
      </w:r>
      <w:r>
        <w:rPr>
          <w:rFonts w:eastAsia="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_Toc379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eastAsia="宋体"/>
          <w:color w:val="auto"/>
          <w:highlight w:val="none"/>
        </w:rPr>
        <w:fldChar w:fldCharType="end"/>
      </w:r>
    </w:p>
    <w:p w14:paraId="4E9828FD">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_Toc22014 </w:instrText>
      </w:r>
      <w:r>
        <w:rPr>
          <w:rFonts w:ascii="Times New Roman" w:hAnsi="Times New Roman" w:eastAsia="宋体"/>
          <w:color w:val="auto"/>
          <w:highlight w:val="none"/>
        </w:rPr>
        <w:fldChar w:fldCharType="separate"/>
      </w:r>
      <w:r>
        <w:rPr>
          <w:rFonts w:eastAsia="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_Toc22014 \h </w:instrText>
      </w:r>
      <w:r>
        <w:rPr>
          <w:color w:val="auto"/>
          <w:highlight w:val="none"/>
        </w:rPr>
        <w:fldChar w:fldCharType="separate"/>
      </w:r>
      <w:r>
        <w:rPr>
          <w:color w:val="auto"/>
          <w:highlight w:val="none"/>
        </w:rPr>
        <w:t>62</w:t>
      </w:r>
      <w:r>
        <w:rPr>
          <w:color w:val="auto"/>
          <w:highlight w:val="none"/>
        </w:rPr>
        <w:fldChar w:fldCharType="end"/>
      </w:r>
      <w:r>
        <w:rPr>
          <w:rFonts w:ascii="Times New Roman" w:hAnsi="Times New Roman" w:eastAsia="宋体"/>
          <w:color w:val="auto"/>
          <w:highlight w:val="none"/>
        </w:rPr>
        <w:fldChar w:fldCharType="end"/>
      </w:r>
    </w:p>
    <w:p w14:paraId="365C4C8F">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_Toc27331 </w:instrText>
      </w:r>
      <w:r>
        <w:rPr>
          <w:rFonts w:ascii="Times New Roman" w:hAnsi="Times New Roman" w:eastAsia="宋体"/>
          <w:color w:val="auto"/>
          <w:highlight w:val="none"/>
        </w:rPr>
        <w:fldChar w:fldCharType="separate"/>
      </w:r>
      <w:r>
        <w:rPr>
          <w:rFonts w:eastAsia="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_Toc27331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eastAsia="宋体"/>
          <w:color w:val="auto"/>
          <w:highlight w:val="none"/>
        </w:rPr>
        <w:fldChar w:fldCharType="end"/>
      </w:r>
    </w:p>
    <w:p w14:paraId="6FA28EB2">
      <w:pPr>
        <w:pStyle w:val="32"/>
        <w:shd w:val="clear"/>
        <w:spacing w:line="360" w:lineRule="auto"/>
        <w:rPr>
          <w:rFonts w:ascii="Times New Roman" w:hAnsi="Times New Roman" w:eastAsia="宋体"/>
          <w:b w:val="0"/>
          <w:color w:val="auto"/>
          <w:highlight w:val="none"/>
        </w:rPr>
      </w:pPr>
      <w:r>
        <w:rPr>
          <w:rFonts w:ascii="Times New Roman" w:hAnsi="Times New Roman" w:eastAsia="宋体"/>
          <w:color w:val="auto"/>
          <w:highlight w:val="none"/>
        </w:rPr>
        <w:fldChar w:fldCharType="end"/>
      </w:r>
    </w:p>
    <w:p w14:paraId="6FB49737">
      <w:pPr>
        <w:pStyle w:val="32"/>
        <w:shd w:val="clear"/>
        <w:spacing w:line="360" w:lineRule="auto"/>
        <w:rPr>
          <w:rFonts w:eastAsia="宋体"/>
          <w:b w:val="0"/>
          <w:color w:val="auto"/>
          <w:sz w:val="36"/>
          <w:szCs w:val="36"/>
          <w:highlight w:val="none"/>
        </w:rPr>
      </w:pPr>
    </w:p>
    <w:p w14:paraId="4F4FD8C9">
      <w:pPr>
        <w:shd w:val="clear"/>
        <w:spacing w:line="360" w:lineRule="auto"/>
        <w:jc w:val="center"/>
        <w:outlineLvl w:val="0"/>
        <w:rPr>
          <w:rFonts w:eastAsia="宋体"/>
          <w:b/>
          <w:color w:val="auto"/>
          <w:sz w:val="36"/>
          <w:szCs w:val="36"/>
          <w:highlight w:val="none"/>
        </w:rPr>
        <w:sectPr>
          <w:footerReference r:id="rId8" w:type="first"/>
          <w:footerReference r:id="rId7" w:type="default"/>
          <w:pgSz w:w="11907" w:h="16840"/>
          <w:pgMar w:top="1440" w:right="1800" w:bottom="1440" w:left="1800" w:header="851" w:footer="851" w:gutter="0"/>
          <w:pgNumType w:fmt="decimal" w:start="1"/>
          <w:cols w:space="720" w:num="1"/>
          <w:titlePg/>
          <w:docGrid w:linePitch="462" w:charSpace="0"/>
        </w:sectPr>
      </w:pPr>
    </w:p>
    <w:p w14:paraId="290EEA3B">
      <w:pPr>
        <w:shd w:val="clear"/>
        <w:spacing w:line="360" w:lineRule="auto"/>
        <w:jc w:val="center"/>
        <w:outlineLvl w:val="0"/>
        <w:rPr>
          <w:rFonts w:eastAsia="宋体"/>
          <w:b/>
          <w:color w:val="auto"/>
          <w:sz w:val="36"/>
          <w:szCs w:val="36"/>
          <w:highlight w:val="none"/>
        </w:rPr>
      </w:pPr>
      <w:bookmarkStart w:id="2" w:name="_Toc25913"/>
      <w:r>
        <w:rPr>
          <w:rFonts w:eastAsia="宋体"/>
          <w:b/>
          <w:color w:val="auto"/>
          <w:sz w:val="36"/>
          <w:szCs w:val="36"/>
          <w:highlight w:val="none"/>
        </w:rPr>
        <w:t>第一章   采购邀请</w:t>
      </w:r>
      <w:bookmarkEnd w:id="2"/>
      <w:bookmarkStart w:id="3" w:name="_Toc35393621"/>
      <w:bookmarkStart w:id="4" w:name="_Toc28359079"/>
      <w:bookmarkStart w:id="5" w:name="_Hlk24379207"/>
      <w:bookmarkStart w:id="6" w:name="_Toc35393790"/>
      <w:bookmarkStart w:id="7" w:name="_Toc28359002"/>
    </w:p>
    <w:p w14:paraId="3C0F1E54">
      <w:pPr>
        <w:shd w:val="clear"/>
        <w:spacing w:line="360" w:lineRule="auto"/>
        <w:ind w:firstLine="480" w:firstLineChars="200"/>
        <w:rPr>
          <w:rFonts w:eastAsia="宋体"/>
          <w:color w:val="auto"/>
          <w:sz w:val="24"/>
          <w:highlight w:val="none"/>
        </w:rPr>
      </w:pPr>
    </w:p>
    <w:bookmarkEnd w:id="3"/>
    <w:bookmarkEnd w:id="4"/>
    <w:bookmarkEnd w:id="5"/>
    <w:bookmarkEnd w:id="6"/>
    <w:bookmarkEnd w:id="7"/>
    <w:p w14:paraId="39000681">
      <w:pPr>
        <w:pStyle w:val="2"/>
        <w:shd w:val="clear"/>
        <w:rPr>
          <w:rFonts w:hint="default"/>
          <w:color w:val="auto"/>
          <w:highlight w:val="none"/>
          <w:lang w:val="en-US" w:eastAsia="zh-CN"/>
        </w:rPr>
      </w:pPr>
    </w:p>
    <w:p w14:paraId="0921E1D1">
      <w:pPr>
        <w:pStyle w:val="5"/>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p>
    <w:p w14:paraId="7E9D86B7">
      <w:pPr>
        <w:shd w:val="clear"/>
        <w:spacing w:line="360" w:lineRule="auto"/>
        <w:ind w:firstLine="480" w:firstLineChars="200"/>
        <w:rPr>
          <w:rFonts w:hint="eastAsia" w:eastAsia="宋体"/>
          <w:color w:val="auto"/>
          <w:sz w:val="24"/>
          <w:highlight w:val="none"/>
          <w:lang w:eastAsia="zh-CN"/>
        </w:rPr>
      </w:pPr>
      <w:r>
        <w:rPr>
          <w:rFonts w:eastAsia="宋体"/>
          <w:color w:val="auto"/>
          <w:sz w:val="24"/>
          <w:highlight w:val="none"/>
        </w:rPr>
        <w:t>1.项目编号：</w:t>
      </w:r>
      <w:r>
        <w:rPr>
          <w:rFonts w:hint="eastAsia"/>
          <w:color w:val="auto"/>
          <w:sz w:val="24"/>
          <w:highlight w:val="none"/>
          <w:lang w:eastAsia="zh-CN"/>
        </w:rPr>
        <w:t>GXCZ-C-25700052</w:t>
      </w:r>
    </w:p>
    <w:p w14:paraId="1C424869">
      <w:pPr>
        <w:shd w:val="clear"/>
        <w:spacing w:line="360" w:lineRule="auto"/>
        <w:ind w:firstLine="480" w:firstLineChars="200"/>
        <w:rPr>
          <w:rFonts w:hint="eastAsia" w:eastAsia="宋体"/>
          <w:color w:val="auto"/>
          <w:sz w:val="24"/>
          <w:highlight w:val="none"/>
          <w:lang w:eastAsia="zh-CN"/>
        </w:rPr>
      </w:pPr>
      <w:r>
        <w:rPr>
          <w:rFonts w:eastAsia="宋体"/>
          <w:color w:val="auto"/>
          <w:sz w:val="24"/>
          <w:highlight w:val="none"/>
        </w:rPr>
        <w:t>2.项目名称：</w:t>
      </w:r>
      <w:r>
        <w:rPr>
          <w:rFonts w:hint="eastAsia"/>
          <w:color w:val="auto"/>
          <w:sz w:val="24"/>
          <w:highlight w:val="none"/>
          <w:lang w:eastAsia="zh-CN"/>
        </w:rPr>
        <w:t>北京市人力资源和社会保障局积分落户管理信息系统适配能力提升</w:t>
      </w:r>
    </w:p>
    <w:p w14:paraId="011CAE4D">
      <w:pPr>
        <w:shd w:val="clear"/>
        <w:spacing w:line="360" w:lineRule="auto"/>
        <w:ind w:firstLine="480" w:firstLineChars="200"/>
        <w:rPr>
          <w:rFonts w:eastAsia="宋体"/>
          <w:color w:val="auto"/>
          <w:sz w:val="24"/>
          <w:highlight w:val="none"/>
        </w:rPr>
      </w:pPr>
      <w:r>
        <w:rPr>
          <w:rFonts w:eastAsia="宋体"/>
          <w:color w:val="auto"/>
          <w:sz w:val="24"/>
          <w:highlight w:val="none"/>
        </w:rPr>
        <w:t>3.采购方式：竞争性磋商</w:t>
      </w:r>
    </w:p>
    <w:p w14:paraId="72C54BB7">
      <w:pPr>
        <w:shd w:val="clear"/>
        <w:spacing w:line="360" w:lineRule="auto"/>
        <w:ind w:firstLine="480" w:firstLineChars="200"/>
        <w:rPr>
          <w:rFonts w:eastAsia="宋体"/>
          <w:color w:val="auto"/>
          <w:sz w:val="24"/>
          <w:highlight w:val="none"/>
        </w:rPr>
      </w:pPr>
      <w:r>
        <w:rPr>
          <w:rFonts w:eastAsia="宋体"/>
          <w:color w:val="auto"/>
          <w:sz w:val="24"/>
          <w:highlight w:val="none"/>
        </w:rPr>
        <w:t>4.项目预算金额：</w:t>
      </w:r>
      <w:r>
        <w:rPr>
          <w:rFonts w:hint="eastAsia"/>
          <w:color w:val="auto"/>
          <w:sz w:val="24"/>
          <w:highlight w:val="none"/>
          <w:lang w:val="en-US" w:eastAsia="zh-CN"/>
        </w:rPr>
        <w:t>330.375</w:t>
      </w:r>
      <w:r>
        <w:rPr>
          <w:rFonts w:eastAsia="宋体"/>
          <w:color w:val="auto"/>
          <w:sz w:val="24"/>
          <w:highlight w:val="none"/>
        </w:rPr>
        <w:t>万元、项目最高限价（如有）：</w:t>
      </w:r>
      <w:r>
        <w:rPr>
          <w:rFonts w:hint="eastAsia"/>
          <w:color w:val="auto"/>
          <w:sz w:val="24"/>
          <w:highlight w:val="none"/>
          <w:lang w:val="en-US" w:eastAsia="zh-CN"/>
        </w:rPr>
        <w:t>330.375</w:t>
      </w:r>
      <w:r>
        <w:rPr>
          <w:rFonts w:eastAsia="宋体"/>
          <w:color w:val="auto"/>
          <w:sz w:val="24"/>
          <w:highlight w:val="none"/>
        </w:rPr>
        <w:t>万元</w:t>
      </w:r>
    </w:p>
    <w:p w14:paraId="1442AD59">
      <w:pPr>
        <w:shd w:val="clear"/>
        <w:spacing w:line="360" w:lineRule="auto"/>
        <w:ind w:firstLine="480" w:firstLineChars="200"/>
        <w:rPr>
          <w:rFonts w:eastAsia="宋体"/>
          <w:color w:val="auto"/>
          <w:sz w:val="24"/>
          <w:highlight w:val="none"/>
        </w:rPr>
      </w:pPr>
      <w:r>
        <w:rPr>
          <w:rFonts w:eastAsia="宋体"/>
          <w:color w:val="auto"/>
          <w:sz w:val="24"/>
          <w:highlight w:val="none"/>
        </w:rPr>
        <w:t>5.采购需求：</w:t>
      </w:r>
    </w:p>
    <w:tbl>
      <w:tblPr>
        <w:tblStyle w:val="44"/>
        <w:tblW w:w="4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734"/>
        <w:gridCol w:w="1282"/>
        <w:gridCol w:w="5198"/>
      </w:tblGrid>
      <w:tr w14:paraId="688A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9" w:type="pct"/>
            <w:noWrap w:val="0"/>
            <w:vAlign w:val="center"/>
          </w:tcPr>
          <w:p w14:paraId="20456609">
            <w:pPr>
              <w:shd w:val="clear"/>
              <w:spacing w:line="240" w:lineRule="auto"/>
              <w:jc w:val="center"/>
              <w:rPr>
                <w:rFonts w:hint="eastAsia" w:eastAsia="宋体"/>
                <w:bCs/>
                <w:color w:val="auto"/>
                <w:szCs w:val="21"/>
                <w:highlight w:val="none"/>
                <w:lang w:val="en-US" w:eastAsia="zh-CN"/>
              </w:rPr>
            </w:pPr>
            <w:r>
              <w:rPr>
                <w:rFonts w:hint="eastAsia"/>
                <w:bCs/>
                <w:color w:val="auto"/>
                <w:szCs w:val="21"/>
                <w:highlight w:val="none"/>
                <w:lang w:val="en-US" w:eastAsia="zh-CN"/>
              </w:rPr>
              <w:t>包号</w:t>
            </w:r>
          </w:p>
        </w:tc>
        <w:tc>
          <w:tcPr>
            <w:tcW w:w="470" w:type="pct"/>
            <w:noWrap w:val="0"/>
            <w:vAlign w:val="center"/>
          </w:tcPr>
          <w:p w14:paraId="7FF03E81">
            <w:pPr>
              <w:shd w:val="clear"/>
              <w:spacing w:line="240" w:lineRule="auto"/>
              <w:jc w:val="center"/>
              <w:rPr>
                <w:rFonts w:eastAsia="宋体"/>
                <w:bCs/>
                <w:color w:val="auto"/>
                <w:szCs w:val="21"/>
                <w:highlight w:val="none"/>
              </w:rPr>
            </w:pPr>
            <w:r>
              <w:rPr>
                <w:rFonts w:eastAsia="宋体"/>
                <w:bCs/>
                <w:color w:val="auto"/>
                <w:szCs w:val="21"/>
                <w:highlight w:val="none"/>
              </w:rPr>
              <w:t>标的名称</w:t>
            </w:r>
          </w:p>
        </w:tc>
        <w:tc>
          <w:tcPr>
            <w:tcW w:w="821" w:type="pct"/>
            <w:noWrap w:val="0"/>
            <w:vAlign w:val="center"/>
          </w:tcPr>
          <w:p w14:paraId="18025DA9">
            <w:pPr>
              <w:shd w:val="clear"/>
              <w:spacing w:line="240" w:lineRule="auto"/>
              <w:jc w:val="center"/>
              <w:rPr>
                <w:rFonts w:eastAsia="宋体"/>
                <w:bCs/>
                <w:color w:val="auto"/>
                <w:szCs w:val="21"/>
                <w:highlight w:val="none"/>
              </w:rPr>
            </w:pPr>
            <w:r>
              <w:rPr>
                <w:rFonts w:eastAsia="宋体"/>
                <w:bCs/>
                <w:color w:val="auto"/>
                <w:szCs w:val="21"/>
                <w:highlight w:val="none"/>
              </w:rPr>
              <w:t>预算金额</w:t>
            </w:r>
          </w:p>
          <w:p w14:paraId="15565D87">
            <w:pPr>
              <w:shd w:val="clear"/>
              <w:spacing w:line="240" w:lineRule="auto"/>
              <w:jc w:val="center"/>
              <w:rPr>
                <w:rFonts w:eastAsia="宋体"/>
                <w:bCs/>
                <w:color w:val="auto"/>
                <w:szCs w:val="21"/>
                <w:highlight w:val="none"/>
              </w:rPr>
            </w:pPr>
            <w:r>
              <w:rPr>
                <w:rFonts w:eastAsia="宋体"/>
                <w:bCs/>
                <w:color w:val="auto"/>
                <w:szCs w:val="21"/>
                <w:highlight w:val="none"/>
              </w:rPr>
              <w:t>（万元）</w:t>
            </w:r>
          </w:p>
        </w:tc>
        <w:tc>
          <w:tcPr>
            <w:tcW w:w="3329" w:type="pct"/>
            <w:noWrap w:val="0"/>
            <w:vAlign w:val="center"/>
          </w:tcPr>
          <w:p w14:paraId="57B1ACC1">
            <w:pPr>
              <w:shd w:val="clear"/>
              <w:spacing w:line="240" w:lineRule="auto"/>
              <w:jc w:val="center"/>
              <w:rPr>
                <w:rFonts w:eastAsia="宋体"/>
                <w:color w:val="auto"/>
                <w:szCs w:val="21"/>
                <w:highlight w:val="none"/>
              </w:rPr>
            </w:pPr>
            <w:r>
              <w:rPr>
                <w:rFonts w:eastAsia="宋体"/>
                <w:color w:val="auto"/>
                <w:szCs w:val="21"/>
                <w:highlight w:val="none"/>
              </w:rPr>
              <w:t>简要技术需求或服务要求</w:t>
            </w:r>
          </w:p>
        </w:tc>
      </w:tr>
      <w:tr w14:paraId="7185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15621979">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01</w:t>
            </w:r>
          </w:p>
        </w:tc>
        <w:tc>
          <w:tcPr>
            <w:tcW w:w="470" w:type="pct"/>
            <w:noWrap w:val="0"/>
            <w:vAlign w:val="center"/>
          </w:tcPr>
          <w:p w14:paraId="0C6807E0">
            <w:pPr>
              <w:shd w:val="clear"/>
              <w:spacing w:line="240" w:lineRule="auto"/>
              <w:jc w:val="center"/>
              <w:rPr>
                <w:rFonts w:hint="eastAsia" w:eastAsia="宋体"/>
                <w:bCs/>
                <w:color w:val="auto"/>
                <w:szCs w:val="21"/>
                <w:highlight w:val="none"/>
                <w:lang w:eastAsia="zh-CN"/>
              </w:rPr>
            </w:pPr>
            <w:r>
              <w:rPr>
                <w:rFonts w:hint="eastAsia"/>
                <w:bCs/>
                <w:color w:val="auto"/>
                <w:szCs w:val="21"/>
                <w:highlight w:val="none"/>
                <w:lang w:eastAsia="zh-CN"/>
              </w:rPr>
              <w:t>系统建设</w:t>
            </w:r>
          </w:p>
        </w:tc>
        <w:tc>
          <w:tcPr>
            <w:tcW w:w="821" w:type="pct"/>
            <w:noWrap w:val="0"/>
            <w:vAlign w:val="center"/>
          </w:tcPr>
          <w:p w14:paraId="737D8E8B">
            <w:pPr>
              <w:shd w:val="clear"/>
              <w:spacing w:line="240" w:lineRule="auto"/>
              <w:jc w:val="center"/>
              <w:rPr>
                <w:rFonts w:hint="default" w:eastAsia="宋体"/>
                <w:bCs/>
                <w:color w:val="auto"/>
                <w:szCs w:val="21"/>
                <w:highlight w:val="none"/>
                <w:lang w:val="en-US" w:eastAsia="zh-CN"/>
              </w:rPr>
            </w:pPr>
            <w:r>
              <w:rPr>
                <w:rFonts w:hint="eastAsia"/>
                <w:bCs/>
                <w:color w:val="auto"/>
                <w:szCs w:val="21"/>
                <w:highlight w:val="none"/>
                <w:lang w:val="en-US" w:eastAsia="zh-CN"/>
              </w:rPr>
              <w:t>310.50</w:t>
            </w:r>
          </w:p>
        </w:tc>
        <w:tc>
          <w:tcPr>
            <w:tcW w:w="3329" w:type="pct"/>
            <w:noWrap w:val="0"/>
            <w:vAlign w:val="center"/>
          </w:tcPr>
          <w:p w14:paraId="34F0EBC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eastAsia="宋体"/>
                <w:bCs/>
                <w:color w:val="auto"/>
                <w:szCs w:val="21"/>
                <w:highlight w:val="none"/>
                <w:lang w:eastAsia="zh-CN"/>
              </w:rPr>
            </w:pPr>
            <w:r>
              <w:rPr>
                <w:rFonts w:hint="eastAsia" w:eastAsia="宋体"/>
                <w:bCs/>
                <w:color w:val="auto"/>
                <w:szCs w:val="21"/>
                <w:highlight w:val="none"/>
              </w:rPr>
              <w:t>积分申报子系统、积分落户子系统、积分公示子系统、申报审核子系统、落户审核子系统、业务比对子系统、微服务建设、落户链建设</w:t>
            </w:r>
            <w:r>
              <w:rPr>
                <w:rFonts w:hint="eastAsia"/>
                <w:bCs/>
                <w:color w:val="auto"/>
                <w:szCs w:val="21"/>
                <w:highlight w:val="none"/>
                <w:lang w:eastAsia="zh-CN"/>
              </w:rPr>
              <w:t>。</w:t>
            </w:r>
          </w:p>
        </w:tc>
      </w:tr>
      <w:tr w14:paraId="53EE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2FAD5025">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02</w:t>
            </w:r>
          </w:p>
        </w:tc>
        <w:tc>
          <w:tcPr>
            <w:tcW w:w="470" w:type="pct"/>
            <w:noWrap w:val="0"/>
            <w:vAlign w:val="center"/>
          </w:tcPr>
          <w:p w14:paraId="66A9BE51">
            <w:pPr>
              <w:shd w:val="clear"/>
              <w:spacing w:line="240" w:lineRule="auto"/>
              <w:jc w:val="center"/>
              <w:rPr>
                <w:rFonts w:hint="eastAsia"/>
                <w:bCs/>
                <w:color w:val="auto"/>
                <w:szCs w:val="21"/>
                <w:highlight w:val="none"/>
                <w:lang w:eastAsia="zh-CN"/>
              </w:rPr>
            </w:pPr>
            <w:r>
              <w:rPr>
                <w:rFonts w:hint="eastAsia"/>
                <w:bCs/>
                <w:color w:val="auto"/>
                <w:szCs w:val="21"/>
                <w:highlight w:val="none"/>
                <w:lang w:eastAsia="zh-CN"/>
              </w:rPr>
              <w:t>测评服务</w:t>
            </w:r>
          </w:p>
        </w:tc>
        <w:tc>
          <w:tcPr>
            <w:tcW w:w="821" w:type="pct"/>
            <w:noWrap w:val="0"/>
            <w:vAlign w:val="center"/>
          </w:tcPr>
          <w:p w14:paraId="1134D51D">
            <w:pPr>
              <w:shd w:val="clea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10.12125</w:t>
            </w:r>
          </w:p>
        </w:tc>
        <w:tc>
          <w:tcPr>
            <w:tcW w:w="3329" w:type="pct"/>
            <w:noWrap w:val="0"/>
            <w:vAlign w:val="center"/>
          </w:tcPr>
          <w:p w14:paraId="05328D32">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本次采购标的为北京市人力资源和社会保障局积分落户管理信息系统适配能力提升项目软件测评服务、安全测评服务</w:t>
            </w:r>
            <w:r>
              <w:rPr>
                <w:rFonts w:hint="eastAsia" w:cs="Times New Roman"/>
                <w:bCs/>
                <w:color w:val="auto"/>
                <w:szCs w:val="21"/>
                <w:highlight w:val="none"/>
                <w:lang w:val="en-US" w:eastAsia="zh-CN"/>
              </w:rPr>
              <w:t>。</w:t>
            </w:r>
          </w:p>
        </w:tc>
      </w:tr>
      <w:tr w14:paraId="0685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2F37C3EE">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03</w:t>
            </w:r>
          </w:p>
        </w:tc>
        <w:tc>
          <w:tcPr>
            <w:tcW w:w="470" w:type="pct"/>
            <w:noWrap w:val="0"/>
            <w:vAlign w:val="center"/>
          </w:tcPr>
          <w:p w14:paraId="73EB45EF">
            <w:pPr>
              <w:shd w:val="clear"/>
              <w:spacing w:line="240" w:lineRule="auto"/>
              <w:jc w:val="center"/>
              <w:rPr>
                <w:rFonts w:hint="eastAsia"/>
                <w:bCs/>
                <w:color w:val="auto"/>
                <w:szCs w:val="21"/>
                <w:highlight w:val="none"/>
                <w:lang w:eastAsia="zh-CN"/>
              </w:rPr>
            </w:pPr>
            <w:r>
              <w:rPr>
                <w:rFonts w:hint="eastAsia"/>
                <w:bCs/>
                <w:color w:val="auto"/>
                <w:szCs w:val="21"/>
                <w:highlight w:val="none"/>
                <w:lang w:eastAsia="zh-CN"/>
              </w:rPr>
              <w:t>监理服务</w:t>
            </w:r>
          </w:p>
        </w:tc>
        <w:tc>
          <w:tcPr>
            <w:tcW w:w="821" w:type="pct"/>
            <w:noWrap w:val="0"/>
            <w:vAlign w:val="center"/>
          </w:tcPr>
          <w:p w14:paraId="2073C992">
            <w:pPr>
              <w:shd w:val="clea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9.75375</w:t>
            </w:r>
          </w:p>
        </w:tc>
        <w:tc>
          <w:tcPr>
            <w:tcW w:w="3329" w:type="pct"/>
            <w:noWrap w:val="0"/>
            <w:vAlign w:val="center"/>
          </w:tcPr>
          <w:p w14:paraId="4556702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北京市人力资源和社会保障局积分落户管理信息系统适配能力提升项目全过程监理</w:t>
            </w:r>
            <w:r>
              <w:rPr>
                <w:rFonts w:hint="eastAsia" w:cs="Times New Roman"/>
                <w:bCs/>
                <w:color w:val="auto"/>
                <w:szCs w:val="21"/>
                <w:highlight w:val="none"/>
                <w:lang w:val="en-US" w:eastAsia="zh-CN"/>
              </w:rPr>
              <w:t>。</w:t>
            </w:r>
          </w:p>
        </w:tc>
      </w:tr>
    </w:tbl>
    <w:p w14:paraId="59E41E02">
      <w:pPr>
        <w:pStyle w:val="82"/>
        <w:shd w:val="clear"/>
        <w:spacing w:line="360" w:lineRule="auto"/>
        <w:ind w:firstLine="480" w:firstLineChars="200"/>
        <w:rPr>
          <w:rFonts w:hint="eastAsia"/>
          <w:color w:val="auto"/>
          <w:sz w:val="24"/>
          <w:highlight w:val="none"/>
          <w:lang w:val="en-US" w:eastAsia="zh-CN"/>
        </w:rPr>
      </w:pPr>
    </w:p>
    <w:p w14:paraId="4AA05A8A">
      <w:pPr>
        <w:numPr>
          <w:ilvl w:val="0"/>
          <w:numId w:val="8"/>
        </w:numPr>
        <w:shd w:val="clear"/>
        <w:spacing w:line="360" w:lineRule="auto"/>
        <w:ind w:firstLine="480" w:firstLineChars="200"/>
        <w:rPr>
          <w:rFonts w:eastAsia="宋体"/>
          <w:color w:val="auto"/>
          <w:sz w:val="24"/>
          <w:highlight w:val="none"/>
        </w:rPr>
      </w:pPr>
      <w:r>
        <w:rPr>
          <w:rFonts w:eastAsia="宋体"/>
          <w:color w:val="auto"/>
          <w:sz w:val="24"/>
          <w:highlight w:val="none"/>
        </w:rPr>
        <w:t>合同履行期限：</w:t>
      </w:r>
    </w:p>
    <w:p w14:paraId="72802186">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第1包</w:t>
      </w:r>
      <w:r>
        <w:rPr>
          <w:rFonts w:eastAsia="宋体"/>
          <w:color w:val="auto"/>
          <w:sz w:val="24"/>
          <w:highlight w:val="none"/>
        </w:rPr>
        <w:t xml:space="preserve"> </w:t>
      </w:r>
      <w:r>
        <w:rPr>
          <w:rFonts w:hint="eastAsia"/>
          <w:color w:val="auto"/>
          <w:sz w:val="24"/>
          <w:highlight w:val="none"/>
          <w:lang w:eastAsia="zh-CN"/>
        </w:rPr>
        <w:t>：</w:t>
      </w:r>
      <w:r>
        <w:rPr>
          <w:rFonts w:hint="eastAsia" w:ascii="Times New Roman" w:hAnsi="Times New Roman" w:cs="Times New Roman"/>
          <w:bCs/>
          <w:color w:val="auto"/>
          <w:szCs w:val="21"/>
          <w:highlight w:val="none"/>
          <w:lang w:eastAsia="zh-CN"/>
        </w:rPr>
        <w:t>本项目应在合同签订后6个月内完成项目所有建设任务，并组织开展初验，初验合格系统连续稳定试运行3个月后，组织进行终验。</w:t>
      </w:r>
    </w:p>
    <w:p w14:paraId="447EF2F4">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第2包</w:t>
      </w:r>
      <w:r>
        <w:rPr>
          <w:rFonts w:eastAsia="宋体"/>
          <w:color w:val="auto"/>
          <w:sz w:val="24"/>
          <w:highlight w:val="none"/>
        </w:rPr>
        <w:t xml:space="preserve"> </w:t>
      </w:r>
      <w:r>
        <w:rPr>
          <w:rFonts w:hint="eastAsia"/>
          <w:color w:val="auto"/>
          <w:sz w:val="24"/>
          <w:highlight w:val="none"/>
          <w:lang w:eastAsia="zh-CN"/>
        </w:rPr>
        <w:t>：自合同签订之日起至北京市人力资源和社会保障局积分落户管理信息系统适配能力提升项目全部竣工并通过终验之日止。</w:t>
      </w:r>
    </w:p>
    <w:p w14:paraId="3208DD33">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第3包</w:t>
      </w:r>
      <w:r>
        <w:rPr>
          <w:rFonts w:eastAsia="宋体"/>
          <w:color w:val="auto"/>
          <w:sz w:val="24"/>
          <w:highlight w:val="none"/>
        </w:rPr>
        <w:t xml:space="preserve"> </w:t>
      </w:r>
      <w:r>
        <w:rPr>
          <w:rFonts w:hint="eastAsia"/>
          <w:color w:val="auto"/>
          <w:sz w:val="24"/>
          <w:highlight w:val="none"/>
          <w:lang w:eastAsia="zh-CN"/>
        </w:rPr>
        <w:t>：自合同签订之日起至北京市人力资源和社会保障局积分落户管理信息系统适配能力提升项目全部竣工并通过终验之日止。</w:t>
      </w:r>
    </w:p>
    <w:p w14:paraId="74703D5C">
      <w:pPr>
        <w:shd w:val="clear"/>
        <w:spacing w:line="360" w:lineRule="auto"/>
        <w:ind w:firstLine="480" w:firstLineChars="200"/>
        <w:rPr>
          <w:rFonts w:eastAsia="宋体"/>
          <w:color w:val="auto"/>
          <w:sz w:val="24"/>
          <w:highlight w:val="none"/>
        </w:rPr>
      </w:pPr>
      <w:r>
        <w:rPr>
          <w:rFonts w:eastAsia="宋体"/>
          <w:color w:val="auto"/>
          <w:sz w:val="24"/>
          <w:highlight w:val="none"/>
        </w:rPr>
        <w:t>7.本项目是否接受联合体：</w:t>
      </w:r>
      <w:r>
        <w:rPr>
          <w:rFonts w:ascii="Times New Roman" w:hAnsi="Times New Roman" w:eastAsia="宋体" w:cs="Times New Roman"/>
          <w:color w:val="auto"/>
          <w:sz w:val="36"/>
          <w:szCs w:val="36"/>
          <w:highlight w:val="none"/>
        </w:rPr>
        <w:t>□</w:t>
      </w:r>
      <w:r>
        <w:rPr>
          <w:rFonts w:eastAsia="宋体"/>
          <w:color w:val="auto"/>
          <w:sz w:val="24"/>
          <w:highlight w:val="none"/>
        </w:rPr>
        <w:t xml:space="preserve">是  </w:t>
      </w:r>
      <w:r>
        <w:rPr>
          <w:rFonts w:hint="eastAsia" w:ascii="仿宋" w:hAnsi="仿宋" w:eastAsia="仿宋" w:cs="仿宋"/>
          <w:color w:val="auto"/>
          <w:sz w:val="24"/>
          <w:highlight w:val="none"/>
        </w:rPr>
        <w:t>■</w:t>
      </w:r>
      <w:r>
        <w:rPr>
          <w:rFonts w:eastAsia="宋体"/>
          <w:color w:val="auto"/>
          <w:sz w:val="24"/>
          <w:highlight w:val="none"/>
        </w:rPr>
        <w:t>否。</w:t>
      </w:r>
    </w:p>
    <w:p w14:paraId="12149A66">
      <w:pPr>
        <w:shd w:val="clear"/>
        <w:spacing w:line="360" w:lineRule="auto"/>
        <w:ind w:firstLine="480" w:firstLineChars="200"/>
        <w:rPr>
          <w:rFonts w:eastAsia="宋体"/>
          <w:color w:val="auto"/>
          <w:sz w:val="24"/>
          <w:highlight w:val="none"/>
        </w:rPr>
      </w:pPr>
    </w:p>
    <w:p w14:paraId="2FA8427C">
      <w:pPr>
        <w:pStyle w:val="5"/>
        <w:shd w:val="clear"/>
        <w:spacing w:before="0" w:line="360" w:lineRule="auto"/>
        <w:jc w:val="left"/>
        <w:rPr>
          <w:rFonts w:ascii="Times New Roman" w:hAnsi="Times New Roman" w:eastAsia="宋体"/>
          <w:color w:val="auto"/>
          <w:sz w:val="24"/>
          <w:szCs w:val="24"/>
          <w:highlight w:val="none"/>
        </w:rPr>
      </w:pPr>
      <w:bookmarkStart w:id="8" w:name="_Toc28359003"/>
      <w:bookmarkStart w:id="9" w:name="_Toc28359080"/>
      <w:bookmarkStart w:id="10" w:name="_Toc35393622"/>
      <w:bookmarkStart w:id="11" w:name="_Toc35393791"/>
      <w:r>
        <w:rPr>
          <w:rFonts w:ascii="Times New Roman" w:hAnsi="Times New Roman" w:eastAsia="宋体"/>
          <w:color w:val="auto"/>
          <w:sz w:val="24"/>
          <w:szCs w:val="24"/>
          <w:highlight w:val="none"/>
        </w:rPr>
        <w:t>二、申请人的资格要求（须同时满足）</w:t>
      </w:r>
      <w:bookmarkEnd w:id="8"/>
      <w:bookmarkEnd w:id="9"/>
      <w:bookmarkEnd w:id="10"/>
      <w:bookmarkEnd w:id="11"/>
    </w:p>
    <w:p w14:paraId="6E6DF7F7">
      <w:pPr>
        <w:shd w:val="clear"/>
        <w:spacing w:line="360" w:lineRule="auto"/>
        <w:ind w:firstLine="480" w:firstLineChars="200"/>
        <w:rPr>
          <w:rFonts w:eastAsia="宋体"/>
          <w:color w:val="auto"/>
          <w:sz w:val="24"/>
          <w:highlight w:val="none"/>
        </w:rPr>
      </w:pPr>
      <w:r>
        <w:rPr>
          <w:rFonts w:eastAsia="宋体"/>
          <w:color w:val="auto"/>
          <w:sz w:val="24"/>
          <w:highlight w:val="none"/>
        </w:rPr>
        <w:t>1.满足《中华人民共和国政府采购法》第二十二条规定；</w:t>
      </w:r>
    </w:p>
    <w:p w14:paraId="7749C352">
      <w:pPr>
        <w:shd w:val="clear"/>
        <w:spacing w:line="360" w:lineRule="auto"/>
        <w:ind w:firstLine="480" w:firstLineChars="200"/>
        <w:rPr>
          <w:rFonts w:eastAsia="宋体"/>
          <w:color w:val="auto"/>
          <w:sz w:val="24"/>
          <w:highlight w:val="none"/>
        </w:rPr>
      </w:pPr>
      <w:bookmarkStart w:id="12" w:name="_Toc28359081"/>
      <w:bookmarkStart w:id="13" w:name="_Toc28359004"/>
      <w:r>
        <w:rPr>
          <w:rFonts w:eastAsia="宋体"/>
          <w:color w:val="auto"/>
          <w:sz w:val="24"/>
          <w:highlight w:val="none"/>
        </w:rPr>
        <w:t>2.落实政府采购政策需满足的资格要求：</w:t>
      </w:r>
    </w:p>
    <w:p w14:paraId="27032827">
      <w:pPr>
        <w:shd w:val="clear"/>
        <w:spacing w:line="360" w:lineRule="auto"/>
        <w:ind w:firstLine="480" w:firstLineChars="200"/>
        <w:rPr>
          <w:rFonts w:eastAsia="宋体"/>
          <w:color w:val="auto"/>
          <w:sz w:val="24"/>
          <w:highlight w:val="none"/>
        </w:rPr>
      </w:pPr>
      <w:r>
        <w:rPr>
          <w:rFonts w:eastAsia="宋体"/>
          <w:color w:val="auto"/>
          <w:sz w:val="24"/>
          <w:highlight w:val="none"/>
        </w:rPr>
        <w:t>2.1 中小企业政策</w:t>
      </w:r>
    </w:p>
    <w:p w14:paraId="3B55AF51">
      <w:pPr>
        <w:pageBreakBefore w:val="0"/>
        <w:shd w:val="clea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721888E4">
      <w:pPr>
        <w:pageBreakBefore w:val="0"/>
        <w:shd w:val="clea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10388E7">
      <w:pPr>
        <w:pageBreakBefore w:val="0"/>
        <w:shd w:val="clear"/>
        <w:topLinePunct w:val="0"/>
        <w:bidi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b/>
          <w:bCs/>
          <w:color w:val="auto"/>
          <w:sz w:val="24"/>
          <w:szCs w:val="24"/>
          <w:highlight w:val="none"/>
          <w:u w:val="single"/>
        </w:rPr>
        <w:t>设置专门采购包，本项目第2包和第3包专门面向中小企业采购</w:t>
      </w:r>
      <w:r>
        <w:rPr>
          <w:rFonts w:hint="eastAsia" w:cs="Times New Roman"/>
          <w:b/>
          <w:bCs/>
          <w:color w:val="auto"/>
          <w:sz w:val="24"/>
          <w:szCs w:val="24"/>
          <w:highlight w:val="none"/>
          <w:u w:val="single"/>
          <w:lang w:eastAsia="zh-CN"/>
        </w:rPr>
        <w:t>，</w:t>
      </w:r>
      <w:r>
        <w:rPr>
          <w:rFonts w:hint="default" w:ascii="Times New Roman" w:hAnsi="Times New Roman" w:eastAsia="宋体" w:cs="Times New Roman"/>
          <w:b/>
          <w:bCs/>
          <w:color w:val="auto"/>
          <w:sz w:val="24"/>
          <w:szCs w:val="24"/>
          <w:highlight w:val="none"/>
          <w:u w:val="single"/>
        </w:rPr>
        <w:t>第</w:t>
      </w:r>
      <w:r>
        <w:rPr>
          <w:rFonts w:hint="eastAsia" w:cs="Times New Roman"/>
          <w:b/>
          <w:bCs/>
          <w:color w:val="auto"/>
          <w:sz w:val="24"/>
          <w:szCs w:val="24"/>
          <w:highlight w:val="none"/>
          <w:u w:val="single"/>
          <w:lang w:val="en-US" w:eastAsia="zh-CN"/>
        </w:rPr>
        <w:t>1</w:t>
      </w:r>
      <w:r>
        <w:rPr>
          <w:rFonts w:hint="default" w:ascii="Times New Roman" w:hAnsi="Times New Roman" w:eastAsia="宋体" w:cs="Times New Roman"/>
          <w:b/>
          <w:bCs/>
          <w:color w:val="auto"/>
          <w:sz w:val="24"/>
          <w:szCs w:val="24"/>
          <w:highlight w:val="none"/>
          <w:u w:val="single"/>
        </w:rPr>
        <w:t>包</w:t>
      </w:r>
      <w:r>
        <w:rPr>
          <w:rFonts w:hint="eastAsia" w:ascii="Times New Roman" w:hAnsi="Times New Roman" w:cs="Times New Roman"/>
          <w:b/>
          <w:bCs/>
          <w:color w:val="auto"/>
          <w:sz w:val="24"/>
          <w:szCs w:val="24"/>
          <w:highlight w:val="none"/>
          <w:u w:val="single"/>
          <w:lang w:val="en-US" w:eastAsia="zh-CN"/>
        </w:rPr>
        <w:t>不</w:t>
      </w:r>
      <w:r>
        <w:rPr>
          <w:rFonts w:hint="default" w:ascii="Times New Roman" w:hAnsi="Times New Roman" w:eastAsia="宋体" w:cs="Times New Roman"/>
          <w:b/>
          <w:bCs/>
          <w:color w:val="auto"/>
          <w:sz w:val="24"/>
          <w:szCs w:val="24"/>
          <w:highlight w:val="none"/>
          <w:u w:val="single"/>
        </w:rPr>
        <w:t>专门面向中小企业采购</w:t>
      </w:r>
      <w:r>
        <w:rPr>
          <w:rFonts w:hint="eastAsia" w:cs="Times New Roman"/>
          <w:b/>
          <w:bCs/>
          <w:color w:val="auto"/>
          <w:sz w:val="24"/>
          <w:szCs w:val="24"/>
          <w:highlight w:val="none"/>
          <w:u w:val="single"/>
          <w:lang w:eastAsia="zh-CN"/>
        </w:rPr>
        <w:t>。</w:t>
      </w:r>
    </w:p>
    <w:p w14:paraId="2ED136DA">
      <w:pPr>
        <w:shd w:val="clear"/>
        <w:spacing w:line="360" w:lineRule="auto"/>
        <w:ind w:firstLine="480" w:firstLineChars="200"/>
        <w:rPr>
          <w:rFonts w:eastAsia="宋体"/>
          <w:color w:val="auto"/>
          <w:sz w:val="24"/>
          <w:highlight w:val="none"/>
        </w:rPr>
      </w:pPr>
      <w:r>
        <w:rPr>
          <w:rFonts w:eastAsia="宋体"/>
          <w:color w:val="auto"/>
          <w:sz w:val="24"/>
          <w:highlight w:val="none"/>
        </w:rPr>
        <w:t>2.2 其它落实政府采购政策的资格要求（如有）：</w:t>
      </w:r>
      <w:r>
        <w:rPr>
          <w:rFonts w:hint="eastAsia"/>
          <w:color w:val="auto"/>
          <w:sz w:val="24"/>
          <w:highlight w:val="none"/>
          <w:lang w:val="en-US" w:eastAsia="zh-CN"/>
        </w:rPr>
        <w:t>无</w:t>
      </w:r>
      <w:r>
        <w:rPr>
          <w:rFonts w:hint="eastAsia" w:eastAsia="宋体"/>
          <w:color w:val="auto"/>
          <w:sz w:val="24"/>
          <w:highlight w:val="none"/>
        </w:rPr>
        <w:t>。</w:t>
      </w:r>
    </w:p>
    <w:p w14:paraId="65821D22">
      <w:pPr>
        <w:shd w:val="clear"/>
        <w:spacing w:line="360" w:lineRule="auto"/>
        <w:ind w:firstLine="480" w:firstLineChars="200"/>
        <w:rPr>
          <w:rFonts w:eastAsia="宋体"/>
          <w:i/>
          <w:iCs/>
          <w:color w:val="auto"/>
          <w:sz w:val="24"/>
          <w:highlight w:val="none"/>
          <w:u w:val="single"/>
        </w:rPr>
      </w:pPr>
      <w:r>
        <w:rPr>
          <w:rFonts w:eastAsia="宋体"/>
          <w:color w:val="auto"/>
          <w:sz w:val="24"/>
          <w:highlight w:val="none"/>
        </w:rPr>
        <w:t>3.本项目的特定资格要求：</w:t>
      </w:r>
    </w:p>
    <w:p w14:paraId="7B0A67E9">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rPr>
      </w:pPr>
      <w:r>
        <w:rPr>
          <w:rFonts w:eastAsia="宋体"/>
          <w:color w:val="auto"/>
          <w:sz w:val="24"/>
          <w:highlight w:val="none"/>
        </w:rPr>
        <w:t>3.</w:t>
      </w:r>
      <w:r>
        <w:rPr>
          <w:rFonts w:hint="eastAsia"/>
          <w:color w:val="auto"/>
          <w:sz w:val="24"/>
          <w:highlight w:val="none"/>
          <w:lang w:val="en-US" w:eastAsia="zh-CN"/>
        </w:rPr>
        <w:t>1</w:t>
      </w:r>
      <w:r>
        <w:rPr>
          <w:rFonts w:eastAsia="宋体"/>
          <w:color w:val="auto"/>
          <w:sz w:val="24"/>
          <w:highlight w:val="none"/>
        </w:rPr>
        <w:t xml:space="preserve"> 本项目是否属于政府购买服务：</w:t>
      </w:r>
    </w:p>
    <w:p w14:paraId="3E40FE23">
      <w:pPr>
        <w:shd w:val="clear"/>
        <w:tabs>
          <w:tab w:val="left" w:pos="900"/>
          <w:tab w:val="left" w:pos="1134"/>
          <w:tab w:val="left" w:pos="1589"/>
          <w:tab w:val="left" w:pos="5521"/>
        </w:tabs>
        <w:snapToGrid w:val="0"/>
        <w:spacing w:line="360" w:lineRule="auto"/>
        <w:ind w:left="991" w:leftChars="0" w:hanging="441"/>
        <w:rPr>
          <w:rFonts w:eastAsia="宋体"/>
          <w:color w:val="auto"/>
          <w:sz w:val="24"/>
          <w:highlight w:val="none"/>
        </w:rPr>
      </w:pPr>
      <w:r>
        <w:rPr>
          <w:rFonts w:ascii="Times New Roman" w:hAnsi="Times New Roman" w:eastAsia="宋体" w:cs="Times New Roman"/>
          <w:color w:val="auto"/>
          <w:sz w:val="36"/>
          <w:szCs w:val="36"/>
          <w:highlight w:val="none"/>
        </w:rPr>
        <w:t>□</w:t>
      </w:r>
      <w:r>
        <w:rPr>
          <w:rFonts w:eastAsia="宋体"/>
          <w:color w:val="auto"/>
          <w:sz w:val="24"/>
          <w:highlight w:val="none"/>
        </w:rPr>
        <w:t>否</w:t>
      </w:r>
    </w:p>
    <w:p w14:paraId="79B77648">
      <w:pPr>
        <w:shd w:val="clear"/>
        <w:tabs>
          <w:tab w:val="left" w:pos="900"/>
          <w:tab w:val="left" w:pos="1134"/>
          <w:tab w:val="left" w:pos="1589"/>
          <w:tab w:val="left" w:pos="5521"/>
        </w:tabs>
        <w:snapToGrid w:val="0"/>
        <w:spacing w:line="360" w:lineRule="auto"/>
        <w:ind w:left="550" w:leftChars="0" w:firstLine="0"/>
        <w:rPr>
          <w:rFonts w:eastAsia="宋体"/>
          <w:color w:val="auto"/>
          <w:sz w:val="24"/>
          <w:highlight w:val="none"/>
        </w:rPr>
      </w:pPr>
      <w:r>
        <w:rPr>
          <w:rFonts w:hint="eastAsia" w:ascii="仿宋" w:hAnsi="仿宋" w:eastAsia="仿宋" w:cs="仿宋"/>
          <w:color w:val="auto"/>
          <w:sz w:val="24"/>
          <w:highlight w:val="none"/>
        </w:rPr>
        <w:t>■</w:t>
      </w:r>
      <w:r>
        <w:rPr>
          <w:rFonts w:eastAsia="宋体"/>
          <w:color w:val="auto"/>
          <w:sz w:val="24"/>
          <w:highlight w:val="none"/>
        </w:rPr>
        <w:t>是，公益一类事业单位、使用事业编制且由财政拨款保障的群团组织，不得作为承接主体；</w:t>
      </w:r>
    </w:p>
    <w:p w14:paraId="1285BE41">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u w:val="single"/>
        </w:rPr>
      </w:pPr>
      <w:r>
        <w:rPr>
          <w:rFonts w:eastAsia="宋体"/>
          <w:color w:val="auto"/>
          <w:sz w:val="24"/>
          <w:highlight w:val="none"/>
        </w:rPr>
        <w:t>3.</w:t>
      </w:r>
      <w:r>
        <w:rPr>
          <w:rFonts w:hint="eastAsia"/>
          <w:color w:val="auto"/>
          <w:sz w:val="24"/>
          <w:highlight w:val="none"/>
          <w:lang w:val="en-US" w:eastAsia="zh-CN"/>
        </w:rPr>
        <w:t>2</w:t>
      </w:r>
      <w:r>
        <w:rPr>
          <w:rFonts w:eastAsia="宋体"/>
          <w:color w:val="auto"/>
          <w:sz w:val="24"/>
          <w:highlight w:val="none"/>
        </w:rPr>
        <w:t>其他特定资格要求：</w:t>
      </w:r>
      <w:r>
        <w:rPr>
          <w:rFonts w:hint="eastAsia"/>
          <w:color w:val="auto"/>
          <w:sz w:val="24"/>
          <w:highlight w:val="none"/>
          <w:lang w:val="en-US" w:eastAsia="zh-CN"/>
        </w:rPr>
        <w:t>无</w:t>
      </w:r>
      <w:r>
        <w:rPr>
          <w:rFonts w:eastAsia="宋体"/>
          <w:color w:val="auto"/>
          <w:sz w:val="24"/>
          <w:highlight w:val="none"/>
        </w:rPr>
        <w:t>。</w:t>
      </w:r>
    </w:p>
    <w:p w14:paraId="63FAB88E">
      <w:pPr>
        <w:shd w:val="clear"/>
        <w:spacing w:line="360" w:lineRule="auto"/>
        <w:ind w:firstLine="480" w:firstLineChars="200"/>
        <w:rPr>
          <w:rFonts w:eastAsia="宋体"/>
          <w:i/>
          <w:iCs/>
          <w:color w:val="auto"/>
          <w:sz w:val="24"/>
          <w:highlight w:val="none"/>
          <w:u w:val="single"/>
        </w:rPr>
      </w:pPr>
    </w:p>
    <w:bookmarkEnd w:id="12"/>
    <w:bookmarkEnd w:id="13"/>
    <w:p w14:paraId="62C4D254">
      <w:pPr>
        <w:pStyle w:val="5"/>
        <w:widowControl/>
        <w:shd w:val="clear"/>
        <w:spacing w:before="0" w:line="360" w:lineRule="auto"/>
        <w:jc w:val="left"/>
        <w:rPr>
          <w:rFonts w:ascii="Times New Roman" w:hAnsi="Times New Roman" w:eastAsia="宋体"/>
          <w:color w:val="auto"/>
          <w:sz w:val="24"/>
          <w:szCs w:val="24"/>
          <w:highlight w:val="none"/>
        </w:rPr>
      </w:pPr>
      <w:bookmarkStart w:id="14" w:name="_Toc35393792"/>
      <w:bookmarkStart w:id="15" w:name="_Toc35393623"/>
      <w:r>
        <w:rPr>
          <w:rFonts w:ascii="Times New Roman" w:hAnsi="Times New Roman" w:eastAsia="宋体"/>
          <w:color w:val="auto"/>
          <w:sz w:val="24"/>
          <w:szCs w:val="24"/>
          <w:highlight w:val="none"/>
        </w:rPr>
        <w:t>三、获取采购文件</w:t>
      </w:r>
      <w:bookmarkEnd w:id="14"/>
      <w:bookmarkEnd w:id="15"/>
    </w:p>
    <w:p w14:paraId="4DF101FF">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时间：</w:t>
      </w:r>
      <w:bookmarkStart w:id="16" w:name="OLE_LINK10"/>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9</w:t>
      </w:r>
      <w:r>
        <w:rPr>
          <w:rFonts w:hint="eastAsia" w:ascii="宋体" w:hAnsi="宋体" w:eastAsia="宋体"/>
          <w:color w:val="auto"/>
          <w:spacing w:val="8"/>
          <w:kern w:val="0"/>
          <w:sz w:val="24"/>
          <w:szCs w:val="24"/>
          <w:highlight w:val="none"/>
          <w:u w:val="single"/>
          <w:shd w:val="clear" w:color="auto" w:fill="FFFFFF"/>
        </w:rPr>
        <w:t>日</w:t>
      </w:r>
      <w:bookmarkEnd w:id="16"/>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14</w:t>
      </w:r>
      <w:r>
        <w:rPr>
          <w:rFonts w:hint="eastAsia" w:ascii="宋体" w:hAnsi="宋体" w:eastAsia="宋体"/>
          <w:color w:val="auto"/>
          <w:spacing w:val="8"/>
          <w:kern w:val="0"/>
          <w:sz w:val="24"/>
          <w:szCs w:val="24"/>
          <w:highlight w:val="none"/>
          <w:u w:val="single"/>
          <w:shd w:val="clear" w:color="auto" w:fill="FFFFFF"/>
        </w:rPr>
        <w:t>日</w:t>
      </w:r>
      <w:r>
        <w:rPr>
          <w:rFonts w:hint="eastAsia" w:ascii="宋体" w:hAnsi="宋体" w:eastAsia="宋体"/>
          <w:color w:val="auto"/>
          <w:spacing w:val="8"/>
          <w:kern w:val="0"/>
          <w:sz w:val="24"/>
          <w:szCs w:val="24"/>
          <w:highlight w:val="none"/>
          <w:shd w:val="clear" w:color="auto" w:fill="FFFFFF"/>
        </w:rPr>
        <w:t>，每天上午</w:t>
      </w:r>
      <w:bookmarkStart w:id="17" w:name="OLE_LINK3"/>
      <w:r>
        <w:rPr>
          <w:rFonts w:hint="eastAsia" w:ascii="宋体" w:hAnsi="宋体" w:eastAsia="宋体"/>
          <w:color w:val="auto"/>
          <w:spacing w:val="8"/>
          <w:kern w:val="0"/>
          <w:sz w:val="24"/>
          <w:szCs w:val="24"/>
          <w:highlight w:val="none"/>
          <w:u w:val="single"/>
          <w:shd w:val="clear" w:color="auto" w:fill="FFFFFF"/>
        </w:rPr>
        <w:t>9:00</w:t>
      </w:r>
      <w:bookmarkEnd w:id="17"/>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，下午</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:00</w:t>
      </w:r>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17</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（北京时间，法定节假日除外）</w:t>
      </w:r>
    </w:p>
    <w:p w14:paraId="798DBC55">
      <w:pPr>
        <w:widowControl/>
        <w:shd w:val="clear"/>
        <w:spacing w:line="360" w:lineRule="auto"/>
        <w:ind w:firstLine="540"/>
        <w:rPr>
          <w:rFonts w:ascii="宋体" w:hAnsi="宋体" w:eastAsia="宋体"/>
          <w:color w:val="auto"/>
          <w:kern w:val="0"/>
          <w:sz w:val="24"/>
          <w:szCs w:val="24"/>
          <w:highlight w:val="none"/>
        </w:rPr>
      </w:pPr>
      <w:r>
        <w:rPr>
          <w:rFonts w:hint="eastAsia" w:ascii="宋体" w:hAnsi="宋体" w:eastAsia="宋体"/>
          <w:color w:val="auto"/>
          <w:spacing w:val="8"/>
          <w:kern w:val="0"/>
          <w:sz w:val="24"/>
          <w:szCs w:val="24"/>
          <w:highlight w:val="none"/>
          <w:shd w:val="clear" w:color="auto" w:fill="FFFFFF"/>
        </w:rPr>
        <w:t>地点：</w:t>
      </w:r>
      <w:r>
        <w:rPr>
          <w:rFonts w:hint="eastAsia" w:ascii="宋体" w:hAnsi="宋体" w:eastAsia="宋体" w:cs="宋体"/>
          <w:color w:val="auto"/>
          <w:spacing w:val="8"/>
          <w:kern w:val="0"/>
          <w:sz w:val="24"/>
          <w:szCs w:val="24"/>
          <w:highlight w:val="none"/>
          <w:shd w:val="clear" w:color="auto" w:fill="FFFFFF"/>
        </w:rPr>
        <w:t>北京市政府采购电子交易平台</w:t>
      </w:r>
    </w:p>
    <w:p w14:paraId="439F3E82">
      <w:pPr>
        <w:keepNext w:val="0"/>
        <w:keepLines w:val="0"/>
        <w:pageBreakBefore w:val="0"/>
        <w:widowControl/>
        <w:shd w:val="clear"/>
        <w:kinsoku/>
        <w:wordWrap w:val="0"/>
        <w:overflowPunct/>
        <w:topLinePunct w:val="0"/>
        <w:autoSpaceDE/>
        <w:autoSpaceDN/>
        <w:bidi w:val="0"/>
        <w:adjustRightInd/>
        <w:snapToGrid/>
        <w:spacing w:line="360" w:lineRule="auto"/>
        <w:ind w:firstLine="539"/>
        <w:jc w:val="left"/>
        <w:textAlignment w:val="auto"/>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方式：</w:t>
      </w:r>
      <w:r>
        <w:rPr>
          <w:rFonts w:hint="eastAsia" w:ascii="宋体" w:hAnsi="宋体" w:eastAsia="宋体" w:cs="宋体"/>
          <w:color w:val="auto"/>
          <w:spacing w:val="8"/>
          <w:kern w:val="0"/>
          <w:sz w:val="24"/>
          <w:szCs w:val="24"/>
          <w:highlight w:val="none"/>
          <w:shd w:val="clear" w:color="auto" w:fill="FFFFFF"/>
        </w:rPr>
        <w:t>供应商使用CA数字证书或电子营业执照登录北京市政府采购电子交易平台（http://zbcg-bjzc.zhongcy.com/bjczj-portal-site/index.html#/home）获取电子版</w:t>
      </w:r>
      <w:r>
        <w:rPr>
          <w:rFonts w:hint="eastAsia" w:ascii="宋体" w:hAnsi="宋体" w:eastAsia="宋体" w:cs="宋体"/>
          <w:color w:val="auto"/>
          <w:spacing w:val="8"/>
          <w:kern w:val="0"/>
          <w:sz w:val="24"/>
          <w:szCs w:val="24"/>
          <w:highlight w:val="none"/>
          <w:shd w:val="clear" w:color="auto" w:fill="FFFFFF"/>
          <w:lang w:val="en-US" w:eastAsia="zh-CN"/>
        </w:rPr>
        <w:t>磋商</w:t>
      </w:r>
      <w:r>
        <w:rPr>
          <w:rFonts w:hint="eastAsia" w:ascii="宋体" w:hAnsi="宋体" w:eastAsia="宋体" w:cs="宋体"/>
          <w:color w:val="auto"/>
          <w:spacing w:val="8"/>
          <w:kern w:val="0"/>
          <w:sz w:val="24"/>
          <w:szCs w:val="24"/>
          <w:highlight w:val="none"/>
          <w:shd w:val="clear" w:color="auto" w:fill="FFFFFF"/>
        </w:rPr>
        <w:t>文件。</w:t>
      </w:r>
    </w:p>
    <w:p w14:paraId="57D7B7E4">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售价：人民币</w:t>
      </w:r>
      <w:r>
        <w:rPr>
          <w:rFonts w:hint="eastAsia" w:ascii="宋体" w:hAnsi="宋体"/>
          <w:color w:val="auto"/>
          <w:spacing w:val="8"/>
          <w:kern w:val="0"/>
          <w:sz w:val="24"/>
          <w:szCs w:val="24"/>
          <w:highlight w:val="none"/>
          <w:shd w:val="clear" w:color="auto" w:fill="FFFFFF"/>
          <w:lang w:val="en-US" w:eastAsia="zh-CN"/>
        </w:rPr>
        <w:t>0</w:t>
      </w:r>
      <w:r>
        <w:rPr>
          <w:rFonts w:hint="eastAsia" w:ascii="宋体" w:hAnsi="宋体" w:eastAsia="宋体"/>
          <w:color w:val="auto"/>
          <w:spacing w:val="8"/>
          <w:kern w:val="0"/>
          <w:sz w:val="24"/>
          <w:szCs w:val="24"/>
          <w:highlight w:val="none"/>
          <w:shd w:val="clear" w:color="auto" w:fill="FFFFFF"/>
        </w:rPr>
        <w:t>元。</w:t>
      </w:r>
    </w:p>
    <w:p w14:paraId="4E411EA7">
      <w:pPr>
        <w:shd w:val="clear"/>
        <w:tabs>
          <w:tab w:val="left" w:pos="900"/>
          <w:tab w:val="left" w:pos="1980"/>
        </w:tabs>
        <w:snapToGrid w:val="0"/>
        <w:spacing w:line="360" w:lineRule="auto"/>
        <w:ind w:left="840"/>
        <w:rPr>
          <w:rFonts w:eastAsia="宋体"/>
          <w:color w:val="auto"/>
          <w:sz w:val="24"/>
          <w:highlight w:val="none"/>
        </w:rPr>
      </w:pPr>
    </w:p>
    <w:p w14:paraId="00439968">
      <w:pPr>
        <w:pStyle w:val="5"/>
        <w:widowControl/>
        <w:shd w:val="clear"/>
        <w:spacing w:before="0" w:line="360" w:lineRule="auto"/>
        <w:jc w:val="left"/>
        <w:rPr>
          <w:rFonts w:ascii="Times New Roman" w:hAnsi="Times New Roman" w:eastAsia="宋体"/>
          <w:color w:val="auto"/>
          <w:sz w:val="24"/>
          <w:szCs w:val="24"/>
          <w:highlight w:val="none"/>
        </w:rPr>
      </w:pPr>
      <w:bookmarkStart w:id="18" w:name="_Toc28359082"/>
      <w:bookmarkStart w:id="19" w:name="_Toc28359005"/>
      <w:bookmarkStart w:id="20" w:name="_Toc35393793"/>
      <w:bookmarkStart w:id="21" w:name="_Toc35393624"/>
      <w:r>
        <w:rPr>
          <w:rFonts w:ascii="Times New Roman" w:hAnsi="Times New Roman" w:eastAsia="宋体"/>
          <w:color w:val="auto"/>
          <w:sz w:val="24"/>
          <w:szCs w:val="24"/>
          <w:highlight w:val="none"/>
        </w:rPr>
        <w:t>四、</w:t>
      </w:r>
      <w:bookmarkEnd w:id="18"/>
      <w:bookmarkEnd w:id="19"/>
      <w:bookmarkEnd w:id="20"/>
      <w:bookmarkEnd w:id="21"/>
      <w:r>
        <w:rPr>
          <w:rFonts w:ascii="Times New Roman" w:hAnsi="Times New Roman" w:eastAsia="宋体"/>
          <w:color w:val="auto"/>
          <w:sz w:val="24"/>
          <w:szCs w:val="24"/>
          <w:highlight w:val="none"/>
        </w:rPr>
        <w:t>响应文件提交</w:t>
      </w:r>
    </w:p>
    <w:p w14:paraId="4C584EE1">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截止时间：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3E48E429">
      <w:pPr>
        <w:widowControl/>
        <w:shd w:val="clear"/>
        <w:spacing w:line="360" w:lineRule="auto"/>
        <w:ind w:firstLine="555"/>
        <w:rPr>
          <w:rFonts w:ascii="宋体" w:hAnsi="宋体" w:eastAsia="宋体"/>
          <w:color w:val="auto"/>
          <w:spacing w:val="8"/>
          <w:kern w:val="0"/>
          <w:sz w:val="24"/>
          <w:szCs w:val="24"/>
          <w:highlight w:val="none"/>
          <w:shd w:val="clear" w:color="auto" w:fill="FFFFFF"/>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73581D1C">
      <w:pPr>
        <w:shd w:val="clear"/>
        <w:spacing w:line="360" w:lineRule="auto"/>
        <w:ind w:firstLine="480" w:firstLineChars="200"/>
        <w:rPr>
          <w:rFonts w:eastAsia="宋体"/>
          <w:color w:val="auto"/>
          <w:sz w:val="24"/>
          <w:highlight w:val="none"/>
          <w:lang w:val="zh-TW" w:bidi="ar"/>
        </w:rPr>
      </w:pPr>
    </w:p>
    <w:p w14:paraId="35C5E612">
      <w:pPr>
        <w:pStyle w:val="5"/>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五、开启</w:t>
      </w:r>
    </w:p>
    <w:p w14:paraId="45014045">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6BE845F1">
      <w:pPr>
        <w:widowControl/>
        <w:shd w:val="clear"/>
        <w:spacing w:line="360" w:lineRule="auto"/>
        <w:ind w:firstLine="480" w:firstLineChars="200"/>
        <w:rPr>
          <w:rFonts w:hint="eastAsia" w:ascii="Times New Roman" w:hAnsi="Times New Roman" w:cs="Times New Roman"/>
          <w:color w:val="auto"/>
          <w:sz w:val="24"/>
          <w:highlight w:val="none"/>
          <w:lang w:val="zh-TW" w:eastAsia="zh-CN"/>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0B5FAA05">
      <w:pPr>
        <w:shd w:val="clear"/>
        <w:spacing w:line="360" w:lineRule="auto"/>
        <w:ind w:firstLine="480" w:firstLineChars="200"/>
        <w:rPr>
          <w:rFonts w:eastAsia="宋体"/>
          <w:bCs/>
          <w:color w:val="auto"/>
          <w:sz w:val="24"/>
          <w:highlight w:val="none"/>
          <w:u w:val="single"/>
        </w:rPr>
      </w:pPr>
    </w:p>
    <w:p w14:paraId="21879FA1">
      <w:pPr>
        <w:pStyle w:val="5"/>
        <w:shd w:val="clear"/>
        <w:spacing w:before="0" w:line="360" w:lineRule="auto"/>
        <w:jc w:val="left"/>
        <w:rPr>
          <w:rFonts w:ascii="Times New Roman" w:hAnsi="Times New Roman" w:eastAsia="宋体"/>
          <w:color w:val="auto"/>
          <w:sz w:val="24"/>
          <w:szCs w:val="24"/>
          <w:highlight w:val="none"/>
        </w:rPr>
      </w:pPr>
      <w:bookmarkStart w:id="22" w:name="_Toc28359084"/>
      <w:bookmarkStart w:id="23" w:name="_Toc35393794"/>
      <w:bookmarkStart w:id="24" w:name="_Toc35393625"/>
      <w:bookmarkStart w:id="25" w:name="_Toc28359007"/>
      <w:r>
        <w:rPr>
          <w:rFonts w:ascii="Times New Roman" w:hAnsi="Times New Roman" w:eastAsia="宋体"/>
          <w:color w:val="auto"/>
          <w:sz w:val="24"/>
          <w:szCs w:val="24"/>
          <w:highlight w:val="none"/>
        </w:rPr>
        <w:t>六、公告期限</w:t>
      </w:r>
      <w:bookmarkEnd w:id="22"/>
      <w:bookmarkEnd w:id="23"/>
      <w:bookmarkEnd w:id="24"/>
      <w:bookmarkEnd w:id="25"/>
    </w:p>
    <w:p w14:paraId="7F681D6E">
      <w:pPr>
        <w:shd w:val="clear"/>
        <w:spacing w:line="360" w:lineRule="auto"/>
        <w:ind w:firstLine="480" w:firstLineChars="200"/>
        <w:rPr>
          <w:rFonts w:eastAsia="宋体"/>
          <w:color w:val="auto"/>
          <w:kern w:val="0"/>
          <w:sz w:val="24"/>
          <w:highlight w:val="none"/>
        </w:rPr>
      </w:pPr>
      <w:r>
        <w:rPr>
          <w:rFonts w:eastAsia="宋体"/>
          <w:color w:val="auto"/>
          <w:kern w:val="0"/>
          <w:sz w:val="24"/>
          <w:highlight w:val="none"/>
        </w:rPr>
        <w:t>自本公告发布之日起3个工作日。</w:t>
      </w:r>
    </w:p>
    <w:p w14:paraId="7DA1EF7B">
      <w:pPr>
        <w:shd w:val="clear"/>
        <w:spacing w:line="360" w:lineRule="auto"/>
        <w:ind w:firstLine="480" w:firstLineChars="200"/>
        <w:rPr>
          <w:rFonts w:eastAsia="宋体"/>
          <w:color w:val="auto"/>
          <w:kern w:val="0"/>
          <w:sz w:val="24"/>
          <w:highlight w:val="none"/>
        </w:rPr>
      </w:pPr>
    </w:p>
    <w:p w14:paraId="3841FFB4">
      <w:pPr>
        <w:pStyle w:val="5"/>
        <w:shd w:val="clear"/>
        <w:spacing w:before="0" w:line="360" w:lineRule="auto"/>
        <w:jc w:val="left"/>
        <w:rPr>
          <w:rFonts w:ascii="Times New Roman" w:hAnsi="Times New Roman" w:eastAsia="宋体"/>
          <w:color w:val="auto"/>
          <w:sz w:val="24"/>
          <w:szCs w:val="24"/>
          <w:highlight w:val="none"/>
        </w:rPr>
      </w:pPr>
      <w:bookmarkStart w:id="26" w:name="_Toc35393626"/>
      <w:bookmarkStart w:id="27" w:name="_Toc35393795"/>
      <w:r>
        <w:rPr>
          <w:rFonts w:ascii="Times New Roman" w:hAnsi="Times New Roman" w:eastAsia="宋体"/>
          <w:color w:val="auto"/>
          <w:sz w:val="24"/>
          <w:szCs w:val="24"/>
          <w:highlight w:val="none"/>
        </w:rPr>
        <w:t>七、其他补充事宜</w:t>
      </w:r>
      <w:bookmarkEnd w:id="26"/>
      <w:bookmarkEnd w:id="27"/>
    </w:p>
    <w:p w14:paraId="25AE730E">
      <w:pPr>
        <w:shd w:val="clear"/>
        <w:spacing w:line="360" w:lineRule="auto"/>
        <w:ind w:firstLine="480" w:firstLineChars="200"/>
        <w:rPr>
          <w:rFonts w:hint="eastAsia"/>
          <w:color w:val="auto"/>
          <w:sz w:val="24"/>
          <w:highlight w:val="none"/>
          <w:lang w:bidi="ar"/>
        </w:rPr>
      </w:pPr>
      <w:r>
        <w:rPr>
          <w:rFonts w:eastAsia="宋体"/>
          <w:color w:val="auto"/>
          <w:sz w:val="24"/>
          <w:highlight w:val="none"/>
        </w:rPr>
        <w:t>1.本项目需要落实的政府采购政策：</w:t>
      </w:r>
      <w:r>
        <w:rPr>
          <w:rFonts w:hint="eastAsia"/>
          <w:color w:val="auto"/>
          <w:sz w:val="24"/>
          <w:highlight w:val="none"/>
          <w:lang w:bidi="ar"/>
        </w:rPr>
        <w:t xml:space="preserve"> </w:t>
      </w:r>
    </w:p>
    <w:p w14:paraId="3F227016">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（1）对小微企业的报价给予价格扣除（监狱企业、残疾人福利性单位视同小微企业；监狱企业、残疾人福利性单位属于小型、微型企业的，不重复享受政策）。</w:t>
      </w:r>
    </w:p>
    <w:p w14:paraId="65E460D3">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（2）优先采购节能环保产品（注：所采购的货物在政府采购节能产品、环境标志产品实施品目清单范围内，且具有国家确定的认证机构出具的、处于有效期之内的节能产品、环境标志产品认证证书）。</w:t>
      </w:r>
    </w:p>
    <w:p w14:paraId="38D65A02">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2.本项目</w:t>
      </w:r>
      <w:r>
        <w:rPr>
          <w:rFonts w:hint="eastAsia"/>
          <w:color w:val="auto"/>
          <w:sz w:val="24"/>
          <w:highlight w:val="none"/>
          <w:lang w:val="en-US" w:eastAsia="zh-CN" w:bidi="ar"/>
        </w:rPr>
        <w:t>递交文件</w:t>
      </w:r>
      <w:r>
        <w:rPr>
          <w:rFonts w:hint="eastAsia"/>
          <w:color w:val="auto"/>
          <w:sz w:val="24"/>
          <w:highlight w:val="none"/>
          <w:lang w:bidi="ar"/>
        </w:rPr>
        <w:t>截止期前被“信用中国”网站（www.creditchina.gov.cn）中列入失信被执行人和/或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14:paraId="596ED750">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3.单位负责人为同一人或者存在控股、管理关系的不同单位，不得同时参加本项目的投标。为本项目提供整体设计、规范编制或者项目管理、监理、检测等服务的</w:t>
      </w:r>
      <w:r>
        <w:rPr>
          <w:rFonts w:hint="eastAsia"/>
          <w:color w:val="auto"/>
          <w:sz w:val="24"/>
          <w:highlight w:val="none"/>
          <w:lang w:val="en-US" w:eastAsia="zh-CN" w:bidi="ar"/>
        </w:rPr>
        <w:t>供应商</w:t>
      </w:r>
      <w:r>
        <w:rPr>
          <w:rFonts w:hint="eastAsia"/>
          <w:color w:val="auto"/>
          <w:sz w:val="24"/>
          <w:highlight w:val="none"/>
          <w:lang w:bidi="ar"/>
        </w:rPr>
        <w:t>，不得再参加本项目</w:t>
      </w:r>
      <w:r>
        <w:rPr>
          <w:rFonts w:hint="eastAsia"/>
          <w:color w:val="auto"/>
          <w:sz w:val="24"/>
          <w:highlight w:val="none"/>
          <w:lang w:val="en-US" w:eastAsia="zh-CN" w:bidi="ar"/>
        </w:rPr>
        <w:t>磋商</w:t>
      </w:r>
      <w:r>
        <w:rPr>
          <w:rFonts w:hint="eastAsia"/>
          <w:color w:val="auto"/>
          <w:sz w:val="24"/>
          <w:highlight w:val="none"/>
          <w:lang w:bidi="ar"/>
        </w:rPr>
        <w:t>。</w:t>
      </w:r>
    </w:p>
    <w:p w14:paraId="257756A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本项目采用政府采购电子化与线下流程结合方式招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B2778">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CA数字证书服务热线 010-58511086</w:t>
      </w:r>
    </w:p>
    <w:p w14:paraId="6750532B">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电子营业执照服务热线 400-699-7000</w:t>
      </w:r>
    </w:p>
    <w:p w14:paraId="0F10E359">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技术支持服务热线    010-86483801</w:t>
      </w:r>
    </w:p>
    <w:p w14:paraId="00CA8CD6">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.1办理CA数字证书或电子营业执照</w:t>
      </w:r>
    </w:p>
    <w:p w14:paraId="12E47771">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供应商登录北京市政府采购电子交易平台查阅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市场主体CA办理操作流程指引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电子营业执照使用指南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，按照程序要求办理。</w:t>
      </w:r>
    </w:p>
    <w:p w14:paraId="66A799AD">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.2注册</w:t>
      </w:r>
    </w:p>
    <w:p w14:paraId="55962551">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市场主体注册入库操作流程指引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进行自助注册绑定。</w:t>
      </w:r>
    </w:p>
    <w:p w14:paraId="23C67D7C">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.3驱动、客户端下载</w:t>
      </w:r>
    </w:p>
    <w:p w14:paraId="67F822C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工具下载</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招标采购系统文件驱动安装包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下载相关驱动。</w:t>
      </w:r>
    </w:p>
    <w:p w14:paraId="21ADFCA9">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.4 获取电子招标文件</w:t>
      </w:r>
    </w:p>
    <w:p w14:paraId="5F3FB3AC">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供应商使用CA数字证书或电子营业执照登录北京市政府采购电子交易平台获取电子招标文件。</w:t>
      </w:r>
    </w:p>
    <w:p w14:paraId="203C275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w:t>
      </w:r>
      <w:r>
        <w:rPr>
          <w:rFonts w:hint="eastAsia" w:ascii="Times New Roman" w:hAnsi="Times New Roman" w:eastAsia="宋体" w:cs="Times New Roman"/>
          <w:color w:val="auto"/>
          <w:sz w:val="24"/>
          <w:highlight w:val="none"/>
          <w:lang w:val="en-US" w:eastAsia="zh-CN" w:bidi="ar"/>
        </w:rPr>
        <w:t>磋商</w:t>
      </w:r>
      <w:r>
        <w:rPr>
          <w:rFonts w:hint="eastAsia" w:ascii="Times New Roman" w:hAnsi="Times New Roman" w:eastAsia="宋体" w:cs="Times New Roman"/>
          <w:color w:val="auto"/>
          <w:sz w:val="24"/>
          <w:highlight w:val="none"/>
          <w:lang w:bidi="ar"/>
        </w:rPr>
        <w:t>文件电子版。</w:t>
      </w:r>
    </w:p>
    <w:p w14:paraId="1AF3D0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highlight w:val="none"/>
        </w:rPr>
      </w:pPr>
      <w:r>
        <w:rPr>
          <w:rFonts w:hint="eastAsia"/>
          <w:color w:val="auto"/>
          <w:sz w:val="24"/>
          <w:highlight w:val="none"/>
          <w:lang w:val="en-US" w:eastAsia="zh-CN"/>
        </w:rPr>
        <w:t>5</w:t>
      </w:r>
      <w:r>
        <w:rPr>
          <w:rFonts w:hint="eastAsia" w:eastAsia="宋体"/>
          <w:color w:val="auto"/>
          <w:sz w:val="24"/>
          <w:highlight w:val="none"/>
        </w:rPr>
        <w:t>. 公告发布媒介：</w:t>
      </w:r>
      <w:r>
        <w:rPr>
          <w:rFonts w:hint="eastAsia"/>
          <w:color w:val="auto"/>
          <w:sz w:val="24"/>
          <w:highlight w:val="none"/>
          <w:lang w:val="en-US" w:eastAsia="zh-CN"/>
        </w:rPr>
        <w:t>北京市政府采购网、</w:t>
      </w:r>
      <w:r>
        <w:rPr>
          <w:rFonts w:hint="eastAsia" w:eastAsia="宋体"/>
          <w:color w:val="auto"/>
          <w:sz w:val="24"/>
          <w:highlight w:val="none"/>
        </w:rPr>
        <w:t>中国政府采购网</w:t>
      </w:r>
    </w:p>
    <w:p w14:paraId="47B3E52C">
      <w:pPr>
        <w:shd w:val="clear"/>
        <w:rPr>
          <w:rFonts w:hint="default"/>
          <w:color w:val="auto"/>
          <w:highlight w:val="none"/>
          <w:lang w:val="en-US" w:eastAsia="zh-CN"/>
        </w:rPr>
      </w:pPr>
    </w:p>
    <w:p w14:paraId="0CB23B10">
      <w:pPr>
        <w:pStyle w:val="5"/>
        <w:shd w:val="clear"/>
        <w:spacing w:before="0" w:line="360" w:lineRule="auto"/>
        <w:jc w:val="left"/>
        <w:rPr>
          <w:rFonts w:ascii="Times New Roman" w:hAnsi="Times New Roman" w:eastAsia="宋体"/>
          <w:color w:val="auto"/>
          <w:sz w:val="24"/>
          <w:szCs w:val="24"/>
          <w:highlight w:val="none"/>
        </w:rPr>
      </w:pPr>
      <w:bookmarkStart w:id="28" w:name="_Toc35393627"/>
      <w:bookmarkStart w:id="29" w:name="_Toc35393796"/>
      <w:bookmarkStart w:id="30" w:name="_Toc28359085"/>
      <w:bookmarkStart w:id="31" w:name="_Toc28359008"/>
      <w:r>
        <w:rPr>
          <w:rFonts w:ascii="Times New Roman" w:hAnsi="Times New Roman" w:eastAsia="宋体"/>
          <w:color w:val="auto"/>
          <w:sz w:val="24"/>
          <w:szCs w:val="24"/>
          <w:highlight w:val="none"/>
        </w:rPr>
        <w:t>八、对本项目提出询问，请按以下方式联系。</w:t>
      </w:r>
      <w:bookmarkEnd w:id="28"/>
      <w:bookmarkEnd w:id="29"/>
      <w:bookmarkEnd w:id="30"/>
      <w:bookmarkEnd w:id="31"/>
    </w:p>
    <w:p w14:paraId="56781A5E">
      <w:pPr>
        <w:widowControl/>
        <w:shd w:val="clear"/>
        <w:spacing w:line="360" w:lineRule="auto"/>
        <w:jc w:val="left"/>
        <w:rPr>
          <w:rFonts w:eastAsia="宋体"/>
          <w:b/>
          <w:color w:val="auto"/>
          <w:sz w:val="24"/>
          <w:highlight w:val="none"/>
        </w:rPr>
      </w:pPr>
      <w:r>
        <w:rPr>
          <w:rFonts w:eastAsia="宋体"/>
          <w:color w:val="auto"/>
          <w:sz w:val="24"/>
          <w:highlight w:val="none"/>
        </w:rPr>
        <w:t>　　　</w:t>
      </w:r>
      <w:r>
        <w:rPr>
          <w:rFonts w:eastAsia="宋体"/>
          <w:b/>
          <w:color w:val="auto"/>
          <w:sz w:val="24"/>
          <w:highlight w:val="none"/>
        </w:rPr>
        <w:t>1.采购人信息</w:t>
      </w:r>
    </w:p>
    <w:p w14:paraId="1096A041">
      <w:pPr>
        <w:shd w:val="clear"/>
        <w:spacing w:line="360" w:lineRule="auto"/>
        <w:ind w:left="1079" w:leftChars="371" w:hanging="300" w:hangingChars="125"/>
        <w:jc w:val="left"/>
        <w:rPr>
          <w:rFonts w:hint="eastAsia" w:eastAsia="宋体"/>
          <w:color w:val="auto"/>
          <w:sz w:val="24"/>
          <w:highlight w:val="none"/>
          <w:lang w:eastAsia="zh-CN"/>
        </w:rPr>
      </w:pPr>
      <w:bookmarkStart w:id="32" w:name="_Toc28359009"/>
      <w:bookmarkStart w:id="33" w:name="_Toc28359086"/>
      <w:r>
        <w:rPr>
          <w:rFonts w:eastAsia="宋体"/>
          <w:color w:val="auto"/>
          <w:sz w:val="24"/>
          <w:highlight w:val="none"/>
        </w:rPr>
        <w:t>名    称：</w:t>
      </w:r>
      <w:r>
        <w:rPr>
          <w:rFonts w:hint="eastAsia"/>
          <w:color w:val="auto"/>
          <w:sz w:val="24"/>
          <w:highlight w:val="none"/>
          <w:u w:val="single"/>
          <w:lang w:eastAsia="zh-CN"/>
        </w:rPr>
        <w:t>北京市人力资源和社会保障局</w:t>
      </w:r>
    </w:p>
    <w:p w14:paraId="6F54D596">
      <w:pPr>
        <w:shd w:val="clear"/>
        <w:spacing w:line="360" w:lineRule="auto"/>
        <w:ind w:left="1079" w:leftChars="371" w:hanging="300" w:hangingChars="125"/>
        <w:jc w:val="left"/>
        <w:rPr>
          <w:rFonts w:eastAsia="宋体"/>
          <w:color w:val="auto"/>
          <w:sz w:val="24"/>
          <w:highlight w:val="none"/>
        </w:rPr>
      </w:pPr>
      <w:r>
        <w:rPr>
          <w:rFonts w:eastAsia="宋体"/>
          <w:color w:val="auto"/>
          <w:sz w:val="24"/>
          <w:highlight w:val="none"/>
        </w:rPr>
        <w:t>地    址：</w:t>
      </w:r>
      <w:r>
        <w:rPr>
          <w:rFonts w:hint="eastAsia" w:eastAsia="宋体"/>
          <w:color w:val="auto"/>
          <w:sz w:val="24"/>
          <w:highlight w:val="none"/>
          <w:u w:val="single"/>
        </w:rPr>
        <w:t>北京市通州区清风路33号院4号楼</w:t>
      </w:r>
    </w:p>
    <w:p w14:paraId="1CF441CF">
      <w:pPr>
        <w:shd w:val="clear"/>
        <w:spacing w:line="360" w:lineRule="auto"/>
        <w:ind w:left="1079" w:leftChars="371" w:hanging="300" w:hangingChars="125"/>
        <w:jc w:val="left"/>
        <w:rPr>
          <w:rFonts w:eastAsia="宋体"/>
          <w:color w:val="auto"/>
          <w:sz w:val="24"/>
          <w:highlight w:val="none"/>
          <w:u w:val="single"/>
        </w:rPr>
      </w:pPr>
      <w:r>
        <w:rPr>
          <w:rFonts w:eastAsia="宋体"/>
          <w:color w:val="auto"/>
          <w:sz w:val="24"/>
          <w:highlight w:val="none"/>
        </w:rPr>
        <w:t>联系方式：</w:t>
      </w:r>
      <w:r>
        <w:rPr>
          <w:rFonts w:hint="eastAsia"/>
          <w:color w:val="auto"/>
          <w:sz w:val="24"/>
          <w:highlight w:val="none"/>
          <w:u w:val="single"/>
          <w:lang w:val="en-US" w:eastAsia="zh-CN"/>
        </w:rPr>
        <w:t>王老师010-55585416</w:t>
      </w:r>
    </w:p>
    <w:p w14:paraId="63507199">
      <w:pPr>
        <w:shd w:val="clear"/>
        <w:spacing w:line="360" w:lineRule="auto"/>
        <w:ind w:left="1078" w:leftChars="371" w:hanging="299" w:hangingChars="124"/>
        <w:jc w:val="left"/>
        <w:rPr>
          <w:rFonts w:eastAsia="宋体"/>
          <w:b/>
          <w:color w:val="auto"/>
          <w:sz w:val="24"/>
          <w:highlight w:val="none"/>
        </w:rPr>
      </w:pPr>
      <w:r>
        <w:rPr>
          <w:rFonts w:eastAsia="宋体"/>
          <w:b/>
          <w:color w:val="auto"/>
          <w:sz w:val="24"/>
          <w:highlight w:val="none"/>
        </w:rPr>
        <w:t>2.采购代理机构信息</w:t>
      </w:r>
      <w:bookmarkEnd w:id="32"/>
      <w:bookmarkEnd w:id="33"/>
    </w:p>
    <w:p w14:paraId="1E1BFD3F">
      <w:pPr>
        <w:shd w:val="clear"/>
        <w:spacing w:line="360" w:lineRule="auto"/>
        <w:ind w:left="1076" w:leftChars="371" w:hanging="297" w:hangingChars="124"/>
        <w:jc w:val="left"/>
        <w:rPr>
          <w:rFonts w:hint="eastAsia" w:eastAsia="宋体"/>
          <w:color w:val="auto"/>
          <w:sz w:val="24"/>
          <w:highlight w:val="none"/>
          <w:lang w:eastAsia="zh-CN"/>
        </w:rPr>
      </w:pPr>
      <w:bookmarkStart w:id="34" w:name="_Toc28359087"/>
      <w:bookmarkStart w:id="35" w:name="_Toc28359010"/>
      <w:r>
        <w:rPr>
          <w:rFonts w:eastAsia="宋体"/>
          <w:color w:val="auto"/>
          <w:sz w:val="24"/>
          <w:highlight w:val="none"/>
        </w:rPr>
        <w:t>名    称：</w:t>
      </w:r>
      <w:r>
        <w:rPr>
          <w:rFonts w:hint="eastAsia"/>
          <w:color w:val="auto"/>
          <w:sz w:val="24"/>
          <w:highlight w:val="none"/>
          <w:u w:val="single"/>
          <w:lang w:eastAsia="zh-CN"/>
        </w:rPr>
        <w:t>国信招标集团股份有限公司</w:t>
      </w:r>
    </w:p>
    <w:p w14:paraId="288B4A2A">
      <w:pPr>
        <w:shd w:val="clear"/>
        <w:spacing w:line="360" w:lineRule="auto"/>
        <w:ind w:left="1076" w:leftChars="371" w:hanging="297" w:hangingChars="124"/>
        <w:jc w:val="left"/>
        <w:rPr>
          <w:rFonts w:hint="eastAsia" w:eastAsia="宋体"/>
          <w:color w:val="auto"/>
          <w:sz w:val="24"/>
          <w:highlight w:val="none"/>
          <w:lang w:eastAsia="zh-CN"/>
        </w:rPr>
      </w:pPr>
      <w:r>
        <w:rPr>
          <w:rFonts w:eastAsia="宋体"/>
          <w:color w:val="auto"/>
          <w:sz w:val="24"/>
          <w:highlight w:val="none"/>
        </w:rPr>
        <w:t>地    址：</w:t>
      </w:r>
      <w:r>
        <w:rPr>
          <w:rFonts w:hint="eastAsia"/>
          <w:color w:val="auto"/>
          <w:sz w:val="24"/>
          <w:highlight w:val="none"/>
          <w:u w:val="single"/>
          <w:lang w:eastAsia="zh-CN"/>
        </w:rPr>
        <w:t>北京市海淀区首体南路22号国兴大厦10层</w:t>
      </w:r>
    </w:p>
    <w:p w14:paraId="2934557C">
      <w:pPr>
        <w:shd w:val="clear"/>
        <w:spacing w:line="360" w:lineRule="auto"/>
        <w:ind w:left="1076" w:leftChars="371" w:hanging="297" w:hangingChars="124"/>
        <w:jc w:val="left"/>
        <w:rPr>
          <w:rFonts w:eastAsia="宋体"/>
          <w:color w:val="auto"/>
          <w:sz w:val="24"/>
          <w:highlight w:val="none"/>
          <w:u w:val="single"/>
        </w:rPr>
      </w:pPr>
      <w:r>
        <w:rPr>
          <w:rFonts w:eastAsia="宋体"/>
          <w:color w:val="auto"/>
          <w:sz w:val="24"/>
          <w:highlight w:val="none"/>
        </w:rPr>
        <w:t>联系方式：</w:t>
      </w:r>
      <w:r>
        <w:rPr>
          <w:rFonts w:hint="eastAsia" w:ascii="Times New Roman" w:hAnsi="Times New Roman"/>
          <w:color w:val="auto"/>
          <w:sz w:val="24"/>
          <w:highlight w:val="none"/>
          <w:u w:val="single"/>
          <w:lang w:val="en-US" w:eastAsia="zh-CN"/>
        </w:rPr>
        <w:t>韩博、辛颖13810474561</w:t>
      </w:r>
    </w:p>
    <w:p w14:paraId="3BA72754">
      <w:pPr>
        <w:shd w:val="clear"/>
        <w:spacing w:line="360" w:lineRule="auto"/>
        <w:ind w:left="1078" w:leftChars="371" w:hanging="299" w:hangingChars="124"/>
        <w:rPr>
          <w:rFonts w:eastAsia="宋体"/>
          <w:b/>
          <w:color w:val="auto"/>
          <w:sz w:val="24"/>
          <w:highlight w:val="none"/>
          <w:u w:val="single"/>
        </w:rPr>
      </w:pPr>
      <w:r>
        <w:rPr>
          <w:rFonts w:eastAsia="宋体"/>
          <w:b/>
          <w:color w:val="auto"/>
          <w:sz w:val="24"/>
          <w:highlight w:val="none"/>
        </w:rPr>
        <w:t>3.项目联系方式</w:t>
      </w:r>
      <w:bookmarkEnd w:id="34"/>
      <w:bookmarkEnd w:id="35"/>
    </w:p>
    <w:p w14:paraId="2E770D9D">
      <w:pPr>
        <w:pStyle w:val="24"/>
        <w:shd w:val="clear"/>
        <w:spacing w:line="360" w:lineRule="auto"/>
        <w:ind w:left="1076" w:leftChars="371" w:hanging="297" w:hangingChars="124"/>
        <w:rPr>
          <w:rFonts w:hint="default" w:ascii="Times New Roman" w:hAnsi="Times New Roman" w:eastAsia="宋体"/>
          <w:color w:val="auto"/>
          <w:sz w:val="24"/>
          <w:highlight w:val="none"/>
          <w:u w:val="single"/>
          <w:lang w:val="en-US" w:bidi="ar"/>
        </w:rPr>
      </w:pPr>
      <w:r>
        <w:rPr>
          <w:rFonts w:hint="default" w:ascii="Times New Roman" w:hAnsi="Times New Roman" w:eastAsia="宋体"/>
          <w:color w:val="auto"/>
          <w:sz w:val="24"/>
          <w:szCs w:val="24"/>
          <w:highlight w:val="none"/>
        </w:rPr>
        <w:t>项目联系人：</w:t>
      </w:r>
      <w:r>
        <w:rPr>
          <w:rFonts w:hint="eastAsia" w:ascii="Times New Roman" w:hAnsi="Times New Roman"/>
          <w:color w:val="auto"/>
          <w:sz w:val="24"/>
          <w:highlight w:val="none"/>
          <w:u w:val="single"/>
          <w:lang w:val="en-US" w:eastAsia="zh-CN"/>
        </w:rPr>
        <w:t>韩博、辛颖</w:t>
      </w:r>
    </w:p>
    <w:p w14:paraId="22E5982A">
      <w:pPr>
        <w:pStyle w:val="24"/>
        <w:shd w:val="clear"/>
        <w:spacing w:line="360" w:lineRule="auto"/>
        <w:ind w:left="1076" w:leftChars="371" w:hanging="297" w:hangingChars="124"/>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电      话：</w:t>
      </w:r>
      <w:r>
        <w:rPr>
          <w:rFonts w:hint="eastAsia" w:ascii="Times New Roman" w:hAnsi="Times New Roman"/>
          <w:color w:val="auto"/>
          <w:sz w:val="24"/>
          <w:highlight w:val="none"/>
          <w:u w:val="single"/>
          <w:lang w:val="en-US" w:eastAsia="zh-CN"/>
        </w:rPr>
        <w:t>13810474561</w:t>
      </w:r>
    </w:p>
    <w:p w14:paraId="561F5BEF">
      <w:pPr>
        <w:shd w:val="clear"/>
        <w:rPr>
          <w:color w:val="auto"/>
          <w:highlight w:val="none"/>
        </w:rPr>
      </w:pPr>
    </w:p>
    <w:p w14:paraId="479DE1A5">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jc w:val="both"/>
        <w:textAlignment w:val="auto"/>
        <w:rPr>
          <w:rFonts w:hint="eastAsia" w:eastAsia="宋体"/>
          <w:color w:val="auto"/>
          <w:sz w:val="24"/>
          <w:highlight w:val="none"/>
        </w:rPr>
      </w:pPr>
    </w:p>
    <w:p w14:paraId="6FAD81C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color w:val="auto"/>
          <w:sz w:val="24"/>
          <w:highlight w:val="none"/>
          <w:lang w:val="en-US" w:eastAsia="zh-CN"/>
        </w:rPr>
        <w:sectPr>
          <w:footerReference r:id="rId10" w:type="first"/>
          <w:footerReference r:id="rId9" w:type="default"/>
          <w:pgSz w:w="11907" w:h="16840"/>
          <w:pgMar w:top="1440" w:right="1800" w:bottom="1440" w:left="1800" w:header="851" w:footer="851" w:gutter="0"/>
          <w:pgNumType w:fmt="decimal" w:start="1"/>
          <w:cols w:space="720" w:num="1"/>
          <w:titlePg/>
          <w:docGrid w:linePitch="462" w:charSpace="0"/>
        </w:sectPr>
      </w:pPr>
    </w:p>
    <w:p w14:paraId="23B97624">
      <w:pPr>
        <w:shd w:val="clear"/>
        <w:spacing w:line="360" w:lineRule="auto"/>
        <w:jc w:val="center"/>
        <w:outlineLvl w:val="0"/>
        <w:rPr>
          <w:rFonts w:eastAsia="宋体"/>
          <w:color w:val="auto"/>
          <w:sz w:val="24"/>
          <w:highlight w:val="none"/>
        </w:rPr>
      </w:pPr>
      <w:bookmarkStart w:id="36" w:name="_Toc353825548"/>
      <w:bookmarkStart w:id="37" w:name="_Toc264969275"/>
      <w:bookmarkStart w:id="38" w:name="_Toc353873938"/>
      <w:bookmarkStart w:id="39" w:name="_Toc512937850"/>
      <w:bookmarkStart w:id="40" w:name="_Toc127161488"/>
      <w:bookmarkStart w:id="41" w:name="_Toc265228423"/>
      <w:bookmarkStart w:id="42" w:name="_Toc305158928"/>
      <w:bookmarkStart w:id="43" w:name="_Toc150774783"/>
      <w:bookmarkStart w:id="44" w:name="_Toc195842950"/>
      <w:bookmarkStart w:id="45" w:name="_Toc226965856"/>
      <w:bookmarkStart w:id="46" w:name="_Toc127151777"/>
      <w:bookmarkStart w:id="47" w:name="_Toc305158854"/>
    </w:p>
    <w:p w14:paraId="1212035E">
      <w:pPr>
        <w:shd w:val="clear"/>
        <w:spacing w:line="360" w:lineRule="auto"/>
        <w:jc w:val="center"/>
        <w:outlineLvl w:val="0"/>
        <w:rPr>
          <w:rFonts w:eastAsia="宋体"/>
          <w:b/>
          <w:color w:val="auto"/>
          <w:sz w:val="32"/>
          <w:szCs w:val="32"/>
          <w:highlight w:val="none"/>
        </w:rPr>
      </w:pPr>
      <w:bookmarkStart w:id="48" w:name="_Toc2988"/>
      <w:r>
        <w:rPr>
          <w:rFonts w:eastAsia="宋体"/>
          <w:b/>
          <w:color w:val="auto"/>
          <w:sz w:val="36"/>
          <w:szCs w:val="36"/>
          <w:highlight w:val="none"/>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3738149B">
      <w:pPr>
        <w:pStyle w:val="5"/>
        <w:shd w:val="clear"/>
        <w:tabs>
          <w:tab w:val="center" w:pos="4592"/>
          <w:tab w:val="left" w:pos="7860"/>
        </w:tabs>
        <w:spacing w:before="0" w:line="360" w:lineRule="auto"/>
        <w:rPr>
          <w:rFonts w:ascii="Times New Roman" w:hAnsi="Times New Roman" w:eastAsia="宋体"/>
          <w:b w:val="0"/>
          <w:color w:val="auto"/>
          <w:sz w:val="28"/>
          <w:highlight w:val="none"/>
        </w:rPr>
      </w:pPr>
      <w:bookmarkStart w:id="49" w:name="_Toc226965709"/>
      <w:bookmarkStart w:id="50" w:name="_Toc151193833"/>
      <w:bookmarkStart w:id="51" w:name="_Toc195842884"/>
      <w:bookmarkStart w:id="52" w:name="_Toc142311021"/>
      <w:bookmarkStart w:id="53" w:name="_Toc149720812"/>
      <w:bookmarkStart w:id="54" w:name="_Toc150509270"/>
      <w:bookmarkStart w:id="55" w:name="_Toc226965792"/>
      <w:bookmarkStart w:id="56" w:name="_Toc151193761"/>
      <w:bookmarkStart w:id="57" w:name="_Toc164351613"/>
      <w:bookmarkStart w:id="58" w:name="_Toc164229360"/>
      <w:bookmarkStart w:id="59" w:name="_Toc127151720"/>
      <w:bookmarkStart w:id="60" w:name="_Toc151193689"/>
      <w:bookmarkStart w:id="61" w:name="_Toc151193907"/>
      <w:bookmarkStart w:id="62" w:name="_Toc151193617"/>
      <w:bookmarkStart w:id="63" w:name="_Toc150480757"/>
      <w:bookmarkStart w:id="64" w:name="_Toc164608788"/>
      <w:bookmarkStart w:id="65" w:name="_Toc151190146"/>
      <w:bookmarkStart w:id="66" w:name="_Toc127151519"/>
      <w:bookmarkStart w:id="67" w:name="_Toc164608633"/>
      <w:bookmarkStart w:id="68" w:name="_Toc150774724"/>
      <w:bookmarkStart w:id="69" w:name="_Toc150774619"/>
      <w:bookmarkStart w:id="70" w:name="_Toc520356144"/>
      <w:bookmarkStart w:id="71" w:name="_Toc164229214"/>
      <w:bookmarkStart w:id="72" w:name="_Toc226309763"/>
      <w:bookmarkStart w:id="73" w:name="_Toc127161433"/>
      <w:bookmarkStart w:id="74" w:name="_Toc226337215"/>
      <w:r>
        <w:rPr>
          <w:rFonts w:ascii="Times New Roman" w:hAnsi="Times New Roman" w:eastAsia="宋体"/>
          <w:color w:val="auto"/>
          <w:sz w:val="28"/>
          <w:highlight w:val="none"/>
        </w:rPr>
        <w:t>供应商须知资料表</w:t>
      </w:r>
    </w:p>
    <w:p w14:paraId="45626359">
      <w:pPr>
        <w:shd w:val="clear"/>
        <w:jc w:val="center"/>
        <w:rPr>
          <w:rFonts w:eastAsia="宋体"/>
          <w:b/>
          <w:color w:val="auto"/>
          <w:sz w:val="28"/>
          <w:szCs w:val="28"/>
          <w:highlight w:val="none"/>
        </w:rPr>
      </w:pPr>
    </w:p>
    <w:p w14:paraId="0873CF09">
      <w:pPr>
        <w:shd w:val="clear"/>
        <w:spacing w:line="360" w:lineRule="auto"/>
        <w:ind w:firstLine="480"/>
        <w:rPr>
          <w:rFonts w:eastAsia="宋体"/>
          <w:color w:val="auto"/>
          <w:sz w:val="24"/>
          <w:highlight w:val="none"/>
        </w:rPr>
      </w:pPr>
      <w:r>
        <w:rPr>
          <w:rFonts w:eastAsia="宋体"/>
          <w:color w:val="auto"/>
          <w:sz w:val="24"/>
          <w:highlight w:val="none"/>
        </w:rPr>
        <w:t>本表是对供应商须知的具体补充和修改，如有矛盾，均以本资料表为准。标记“</w:t>
      </w:r>
      <w:r>
        <w:rPr>
          <w:rFonts w:eastAsia="宋体"/>
          <w:b/>
          <w:color w:val="auto"/>
          <w:sz w:val="24"/>
          <w:highlight w:val="none"/>
        </w:rPr>
        <w:t>■</w:t>
      </w:r>
      <w:r>
        <w:rPr>
          <w:rFonts w:eastAsia="宋体"/>
          <w:color w:val="auto"/>
          <w:sz w:val="24"/>
          <w:highlight w:val="none"/>
        </w:rPr>
        <w:t>”的选项意为适用于本项目，标记“</w:t>
      </w:r>
      <w:r>
        <w:rPr>
          <w:rFonts w:hint="eastAsia"/>
          <w:color w:val="auto"/>
          <w:highlight w:val="none"/>
          <w:lang w:eastAsia="zh-CN"/>
        </w:rPr>
        <w:t>□</w:t>
      </w:r>
      <w:r>
        <w:rPr>
          <w:rFonts w:eastAsia="宋体"/>
          <w:color w:val="auto"/>
          <w:sz w:val="24"/>
          <w:highlight w:val="none"/>
        </w:rPr>
        <w:t>”的选项意为不适用于本项目。</w:t>
      </w:r>
    </w:p>
    <w:tbl>
      <w:tblPr>
        <w:tblStyle w:val="4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33"/>
        <w:gridCol w:w="6113"/>
      </w:tblGrid>
      <w:tr w14:paraId="3FFB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blHeader/>
          <w:jc w:val="center"/>
        </w:trPr>
        <w:tc>
          <w:tcPr>
            <w:tcW w:w="832" w:type="dxa"/>
            <w:noWrap w:val="0"/>
            <w:vAlign w:val="center"/>
          </w:tcPr>
          <w:p w14:paraId="63BCC9E7">
            <w:pPr>
              <w:shd w:val="clear"/>
              <w:jc w:val="center"/>
              <w:rPr>
                <w:rFonts w:eastAsia="宋体"/>
                <w:b/>
                <w:bCs/>
                <w:color w:val="auto"/>
                <w:sz w:val="24"/>
                <w:highlight w:val="none"/>
              </w:rPr>
            </w:pPr>
            <w:r>
              <w:rPr>
                <w:rFonts w:eastAsia="宋体"/>
                <w:b/>
                <w:color w:val="auto"/>
                <w:sz w:val="24"/>
                <w:highlight w:val="none"/>
              </w:rPr>
              <w:t>条款号</w:t>
            </w:r>
          </w:p>
        </w:tc>
        <w:tc>
          <w:tcPr>
            <w:tcW w:w="1433" w:type="dxa"/>
            <w:noWrap w:val="0"/>
            <w:vAlign w:val="center"/>
          </w:tcPr>
          <w:p w14:paraId="689B0CBD">
            <w:pPr>
              <w:shd w:val="clear"/>
              <w:jc w:val="center"/>
              <w:rPr>
                <w:rFonts w:eastAsia="宋体"/>
                <w:b/>
                <w:bCs/>
                <w:color w:val="auto"/>
                <w:sz w:val="24"/>
                <w:highlight w:val="none"/>
              </w:rPr>
            </w:pPr>
            <w:r>
              <w:rPr>
                <w:rFonts w:eastAsia="宋体"/>
                <w:b/>
                <w:bCs/>
                <w:color w:val="auto"/>
                <w:sz w:val="24"/>
                <w:highlight w:val="none"/>
              </w:rPr>
              <w:t>条目</w:t>
            </w:r>
          </w:p>
        </w:tc>
        <w:tc>
          <w:tcPr>
            <w:tcW w:w="6113" w:type="dxa"/>
            <w:noWrap w:val="0"/>
            <w:vAlign w:val="center"/>
          </w:tcPr>
          <w:p w14:paraId="61A44F5D">
            <w:pPr>
              <w:shd w:val="clear"/>
              <w:jc w:val="center"/>
              <w:rPr>
                <w:rFonts w:eastAsia="宋体"/>
                <w:b/>
                <w:bCs/>
                <w:color w:val="auto"/>
                <w:sz w:val="24"/>
                <w:highlight w:val="none"/>
              </w:rPr>
            </w:pPr>
            <w:r>
              <w:rPr>
                <w:rFonts w:eastAsia="宋体"/>
                <w:b/>
                <w:bCs/>
                <w:color w:val="auto"/>
                <w:sz w:val="24"/>
                <w:highlight w:val="none"/>
              </w:rPr>
              <w:t>内容</w:t>
            </w:r>
          </w:p>
        </w:tc>
      </w:tr>
      <w:tr w14:paraId="5BC3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32" w:type="dxa"/>
            <w:noWrap w:val="0"/>
            <w:vAlign w:val="center"/>
          </w:tcPr>
          <w:p w14:paraId="5C370948">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2.2</w:t>
            </w:r>
          </w:p>
        </w:tc>
        <w:tc>
          <w:tcPr>
            <w:tcW w:w="1433" w:type="dxa"/>
            <w:noWrap w:val="0"/>
            <w:vAlign w:val="center"/>
          </w:tcPr>
          <w:p w14:paraId="31D7AFAF">
            <w:pPr>
              <w:shd w:val="clear"/>
              <w:jc w:val="center"/>
              <w:rPr>
                <w:rFonts w:eastAsia="宋体"/>
                <w:color w:val="auto"/>
                <w:sz w:val="24"/>
                <w:highlight w:val="none"/>
              </w:rPr>
            </w:pPr>
            <w:r>
              <w:rPr>
                <w:rFonts w:eastAsia="宋体"/>
                <w:color w:val="auto"/>
                <w:sz w:val="24"/>
                <w:highlight w:val="none"/>
              </w:rPr>
              <w:t>项目属性</w:t>
            </w:r>
          </w:p>
        </w:tc>
        <w:tc>
          <w:tcPr>
            <w:tcW w:w="6113" w:type="dxa"/>
            <w:noWrap w:val="0"/>
            <w:vAlign w:val="center"/>
          </w:tcPr>
          <w:p w14:paraId="2537D593">
            <w:pPr>
              <w:shd w:val="clear"/>
              <w:jc w:val="left"/>
              <w:rPr>
                <w:rFonts w:eastAsia="宋体"/>
                <w:color w:val="auto"/>
                <w:sz w:val="24"/>
                <w:highlight w:val="none"/>
              </w:rPr>
            </w:pPr>
            <w:r>
              <w:rPr>
                <w:rFonts w:eastAsia="宋体"/>
                <w:color w:val="auto"/>
                <w:sz w:val="24"/>
                <w:highlight w:val="none"/>
              </w:rPr>
              <w:t>项目属性：</w:t>
            </w:r>
          </w:p>
          <w:p w14:paraId="21329A2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服务</w:t>
            </w:r>
          </w:p>
          <w:p w14:paraId="25D8CDB6">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货物</w:t>
            </w:r>
          </w:p>
          <w:p w14:paraId="4EFE182A">
            <w:pPr>
              <w:shd w:val="clear"/>
              <w:jc w:val="left"/>
              <w:rPr>
                <w:rFonts w:eastAsia="宋体"/>
                <w:color w:val="auto"/>
                <w:sz w:val="24"/>
                <w:highlight w:val="none"/>
                <w:u w:val="single"/>
              </w:rPr>
            </w:pPr>
            <w:r>
              <w:rPr>
                <w:rFonts w:hint="eastAsia"/>
                <w:color w:val="auto"/>
                <w:highlight w:val="none"/>
                <w:lang w:eastAsia="zh-CN"/>
              </w:rPr>
              <w:t>□</w:t>
            </w:r>
            <w:r>
              <w:rPr>
                <w:rFonts w:hint="eastAsia"/>
                <w:color w:val="auto"/>
                <w:sz w:val="24"/>
                <w:highlight w:val="none"/>
              </w:rPr>
              <w:t>工程</w:t>
            </w:r>
          </w:p>
        </w:tc>
      </w:tr>
      <w:tr w14:paraId="4AFF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4B32225A">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2.3</w:t>
            </w:r>
          </w:p>
        </w:tc>
        <w:tc>
          <w:tcPr>
            <w:tcW w:w="1433" w:type="dxa"/>
            <w:noWrap w:val="0"/>
            <w:vAlign w:val="center"/>
          </w:tcPr>
          <w:p w14:paraId="748E784F">
            <w:pPr>
              <w:shd w:val="clear"/>
              <w:jc w:val="center"/>
              <w:rPr>
                <w:rFonts w:eastAsia="宋体"/>
                <w:color w:val="auto"/>
                <w:sz w:val="24"/>
                <w:highlight w:val="none"/>
              </w:rPr>
            </w:pPr>
            <w:r>
              <w:rPr>
                <w:rFonts w:eastAsia="宋体"/>
                <w:color w:val="auto"/>
                <w:sz w:val="24"/>
                <w:highlight w:val="none"/>
              </w:rPr>
              <w:t>科研仪器设备</w:t>
            </w:r>
          </w:p>
        </w:tc>
        <w:tc>
          <w:tcPr>
            <w:tcW w:w="6113" w:type="dxa"/>
            <w:noWrap w:val="0"/>
            <w:vAlign w:val="center"/>
          </w:tcPr>
          <w:p w14:paraId="1B9BE164">
            <w:pPr>
              <w:shd w:val="clear"/>
              <w:jc w:val="left"/>
              <w:rPr>
                <w:rFonts w:eastAsia="宋体"/>
                <w:color w:val="auto"/>
                <w:sz w:val="24"/>
                <w:highlight w:val="none"/>
              </w:rPr>
            </w:pPr>
            <w:r>
              <w:rPr>
                <w:rFonts w:eastAsia="宋体"/>
                <w:color w:val="auto"/>
                <w:sz w:val="24"/>
                <w:highlight w:val="none"/>
              </w:rPr>
              <w:t>是否属于科研仪器设备采购项目：</w:t>
            </w:r>
          </w:p>
          <w:p w14:paraId="5E719AAD">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是</w:t>
            </w:r>
          </w:p>
          <w:p w14:paraId="2D807C8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否</w:t>
            </w:r>
          </w:p>
        </w:tc>
      </w:tr>
      <w:tr w14:paraId="1AF1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vMerge w:val="restart"/>
            <w:noWrap w:val="0"/>
            <w:vAlign w:val="center"/>
          </w:tcPr>
          <w:p w14:paraId="00430589">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3.1</w:t>
            </w:r>
          </w:p>
        </w:tc>
        <w:tc>
          <w:tcPr>
            <w:tcW w:w="1433" w:type="dxa"/>
            <w:noWrap w:val="0"/>
            <w:vAlign w:val="center"/>
          </w:tcPr>
          <w:p w14:paraId="1F96CE11">
            <w:pPr>
              <w:shd w:val="clear"/>
              <w:jc w:val="center"/>
              <w:rPr>
                <w:rFonts w:eastAsia="宋体"/>
                <w:color w:val="auto"/>
                <w:sz w:val="24"/>
                <w:highlight w:val="none"/>
              </w:rPr>
            </w:pPr>
            <w:r>
              <w:rPr>
                <w:rFonts w:eastAsia="宋体"/>
                <w:color w:val="auto"/>
                <w:sz w:val="24"/>
                <w:highlight w:val="none"/>
              </w:rPr>
              <w:t>现场考察</w:t>
            </w:r>
          </w:p>
        </w:tc>
        <w:tc>
          <w:tcPr>
            <w:tcW w:w="6113" w:type="dxa"/>
            <w:noWrap w:val="0"/>
            <w:vAlign w:val="center"/>
          </w:tcPr>
          <w:p w14:paraId="6F66382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不组织</w:t>
            </w:r>
          </w:p>
          <w:p w14:paraId="50FAD98F">
            <w:pPr>
              <w:shd w:val="clear"/>
              <w:jc w:val="left"/>
              <w:rPr>
                <w:rFonts w:eastAsia="宋体"/>
                <w:bCs/>
                <w:color w:val="auto"/>
                <w:sz w:val="24"/>
                <w:highlight w:val="none"/>
              </w:rPr>
            </w:pPr>
            <w:r>
              <w:rPr>
                <w:rFonts w:hint="eastAsia"/>
                <w:color w:val="auto"/>
                <w:highlight w:val="none"/>
                <w:lang w:eastAsia="zh-CN"/>
              </w:rPr>
              <w:t>□</w:t>
            </w:r>
            <w:r>
              <w:rPr>
                <w:rFonts w:eastAsia="宋体"/>
                <w:color w:val="auto"/>
                <w:sz w:val="24"/>
                <w:highlight w:val="none"/>
              </w:rPr>
              <w:t>组织，考察时间：___</w:t>
            </w:r>
            <w:r>
              <w:rPr>
                <w:rFonts w:eastAsia="宋体"/>
                <w:color w:val="auto"/>
                <w:sz w:val="24"/>
                <w:highlight w:val="none"/>
                <w:lang w:bidi="ar"/>
              </w:rPr>
              <w:t>年</w:t>
            </w:r>
            <w:r>
              <w:rPr>
                <w:rFonts w:eastAsia="宋体"/>
                <w:color w:val="auto"/>
                <w:sz w:val="24"/>
                <w:highlight w:val="none"/>
              </w:rPr>
              <w:t>___</w:t>
            </w:r>
            <w:r>
              <w:rPr>
                <w:rFonts w:eastAsia="宋体"/>
                <w:color w:val="auto"/>
                <w:sz w:val="24"/>
                <w:highlight w:val="none"/>
                <w:lang w:bidi="ar"/>
              </w:rPr>
              <w:t>月</w:t>
            </w:r>
            <w:r>
              <w:rPr>
                <w:rFonts w:eastAsia="宋体"/>
                <w:color w:val="auto"/>
                <w:sz w:val="24"/>
                <w:highlight w:val="none"/>
              </w:rPr>
              <w:t>___</w:t>
            </w:r>
            <w:r>
              <w:rPr>
                <w:rFonts w:eastAsia="宋体"/>
                <w:color w:val="auto"/>
                <w:sz w:val="24"/>
                <w:highlight w:val="none"/>
                <w:lang w:bidi="ar"/>
              </w:rPr>
              <w:t>日</w:t>
            </w:r>
            <w:r>
              <w:rPr>
                <w:rFonts w:eastAsia="宋体"/>
                <w:color w:val="auto"/>
                <w:sz w:val="24"/>
                <w:highlight w:val="none"/>
              </w:rPr>
              <w:t>___</w:t>
            </w:r>
            <w:r>
              <w:rPr>
                <w:rFonts w:eastAsia="宋体"/>
                <w:color w:val="auto"/>
                <w:sz w:val="24"/>
                <w:highlight w:val="none"/>
                <w:lang w:bidi="ar"/>
              </w:rPr>
              <w:t>点</w:t>
            </w:r>
            <w:r>
              <w:rPr>
                <w:rFonts w:eastAsia="宋体"/>
                <w:color w:val="auto"/>
                <w:sz w:val="24"/>
                <w:highlight w:val="none"/>
              </w:rPr>
              <w:t>___</w:t>
            </w:r>
            <w:r>
              <w:rPr>
                <w:rFonts w:eastAsia="宋体"/>
                <w:color w:val="auto"/>
                <w:sz w:val="24"/>
                <w:highlight w:val="none"/>
                <w:lang w:bidi="ar"/>
              </w:rPr>
              <w:t>分</w:t>
            </w:r>
          </w:p>
          <w:p w14:paraId="72321B1C">
            <w:pPr>
              <w:pStyle w:val="24"/>
              <w:shd w:val="clear"/>
              <w:adjustRightInd w:val="0"/>
              <w:snapToGrid w:val="0"/>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考察地点：___________</w:t>
            </w:r>
            <w:r>
              <w:rPr>
                <w:rFonts w:ascii="Times New Roman" w:hAnsi="Times New Roman" w:eastAsia="宋体"/>
                <w:color w:val="auto"/>
                <w:sz w:val="24"/>
                <w:highlight w:val="none"/>
              </w:rPr>
              <w:t>。</w:t>
            </w:r>
          </w:p>
        </w:tc>
      </w:tr>
      <w:tr w14:paraId="115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vMerge w:val="continue"/>
            <w:noWrap w:val="0"/>
            <w:vAlign w:val="center"/>
          </w:tcPr>
          <w:p w14:paraId="404E2840">
            <w:pPr>
              <w:pStyle w:val="24"/>
              <w:shd w:val="clear"/>
              <w:adjustRightInd w:val="0"/>
              <w:snapToGrid w:val="0"/>
              <w:jc w:val="center"/>
              <w:rPr>
                <w:rFonts w:hint="default" w:ascii="Times New Roman" w:hAnsi="Times New Roman" w:eastAsia="宋体"/>
                <w:color w:val="auto"/>
                <w:sz w:val="24"/>
                <w:szCs w:val="24"/>
                <w:highlight w:val="none"/>
              </w:rPr>
            </w:pPr>
          </w:p>
        </w:tc>
        <w:tc>
          <w:tcPr>
            <w:tcW w:w="1433" w:type="dxa"/>
            <w:noWrap w:val="0"/>
            <w:vAlign w:val="center"/>
          </w:tcPr>
          <w:p w14:paraId="5255295A">
            <w:pPr>
              <w:shd w:val="clear"/>
              <w:jc w:val="center"/>
              <w:rPr>
                <w:rFonts w:eastAsia="宋体"/>
                <w:color w:val="auto"/>
                <w:sz w:val="24"/>
                <w:highlight w:val="none"/>
              </w:rPr>
            </w:pPr>
            <w:r>
              <w:rPr>
                <w:rFonts w:eastAsia="宋体"/>
                <w:color w:val="auto"/>
                <w:sz w:val="24"/>
                <w:highlight w:val="none"/>
              </w:rPr>
              <w:t>磋商前答疑会</w:t>
            </w:r>
          </w:p>
        </w:tc>
        <w:tc>
          <w:tcPr>
            <w:tcW w:w="6113" w:type="dxa"/>
            <w:noWrap w:val="0"/>
            <w:vAlign w:val="center"/>
          </w:tcPr>
          <w:p w14:paraId="6141BFF5">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不召开</w:t>
            </w:r>
          </w:p>
          <w:p w14:paraId="47581E9B">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召开，召开时间：___</w:t>
            </w:r>
            <w:r>
              <w:rPr>
                <w:rFonts w:eastAsia="宋体"/>
                <w:color w:val="auto"/>
                <w:sz w:val="24"/>
                <w:highlight w:val="none"/>
                <w:lang w:bidi="ar"/>
              </w:rPr>
              <w:t>年</w:t>
            </w:r>
            <w:r>
              <w:rPr>
                <w:rFonts w:eastAsia="宋体"/>
                <w:color w:val="auto"/>
                <w:sz w:val="24"/>
                <w:highlight w:val="none"/>
              </w:rPr>
              <w:t>___</w:t>
            </w:r>
            <w:r>
              <w:rPr>
                <w:rFonts w:eastAsia="宋体"/>
                <w:color w:val="auto"/>
                <w:sz w:val="24"/>
                <w:highlight w:val="none"/>
                <w:lang w:bidi="ar"/>
              </w:rPr>
              <w:t>月</w:t>
            </w:r>
            <w:r>
              <w:rPr>
                <w:rFonts w:eastAsia="宋体"/>
                <w:color w:val="auto"/>
                <w:sz w:val="24"/>
                <w:highlight w:val="none"/>
              </w:rPr>
              <w:t>___</w:t>
            </w:r>
            <w:r>
              <w:rPr>
                <w:rFonts w:eastAsia="宋体"/>
                <w:color w:val="auto"/>
                <w:sz w:val="24"/>
                <w:highlight w:val="none"/>
                <w:lang w:bidi="ar"/>
              </w:rPr>
              <w:t>日</w:t>
            </w:r>
            <w:r>
              <w:rPr>
                <w:rFonts w:eastAsia="宋体"/>
                <w:color w:val="auto"/>
                <w:sz w:val="24"/>
                <w:highlight w:val="none"/>
              </w:rPr>
              <w:t>___</w:t>
            </w:r>
            <w:r>
              <w:rPr>
                <w:rFonts w:eastAsia="宋体"/>
                <w:color w:val="auto"/>
                <w:sz w:val="24"/>
                <w:highlight w:val="none"/>
                <w:lang w:bidi="ar"/>
              </w:rPr>
              <w:t>点</w:t>
            </w:r>
            <w:r>
              <w:rPr>
                <w:rFonts w:eastAsia="宋体"/>
                <w:color w:val="auto"/>
                <w:sz w:val="24"/>
                <w:highlight w:val="none"/>
              </w:rPr>
              <w:t>___</w:t>
            </w:r>
            <w:r>
              <w:rPr>
                <w:rFonts w:eastAsia="宋体"/>
                <w:color w:val="auto"/>
                <w:sz w:val="24"/>
                <w:highlight w:val="none"/>
                <w:lang w:bidi="ar"/>
              </w:rPr>
              <w:t>分</w:t>
            </w:r>
          </w:p>
          <w:p w14:paraId="4D9E84A3">
            <w:pPr>
              <w:shd w:val="clear"/>
              <w:jc w:val="left"/>
              <w:rPr>
                <w:rFonts w:eastAsia="宋体"/>
                <w:color w:val="auto"/>
                <w:sz w:val="24"/>
                <w:highlight w:val="none"/>
              </w:rPr>
            </w:pPr>
            <w:r>
              <w:rPr>
                <w:rFonts w:eastAsia="宋体"/>
                <w:color w:val="auto"/>
                <w:sz w:val="24"/>
                <w:highlight w:val="none"/>
              </w:rPr>
              <w:t>召开地点：___________</w:t>
            </w:r>
            <w:r>
              <w:rPr>
                <w:rFonts w:hint="eastAsia" w:eastAsia="宋体"/>
                <w:color w:val="auto"/>
                <w:sz w:val="24"/>
                <w:highlight w:val="none"/>
              </w:rPr>
              <w:t>。</w:t>
            </w:r>
          </w:p>
        </w:tc>
      </w:tr>
      <w:tr w14:paraId="0753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32" w:type="dxa"/>
            <w:noWrap w:val="0"/>
            <w:vAlign w:val="center"/>
          </w:tcPr>
          <w:p w14:paraId="5E42C2F1">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4.2.5</w:t>
            </w:r>
          </w:p>
        </w:tc>
        <w:tc>
          <w:tcPr>
            <w:tcW w:w="1433" w:type="dxa"/>
            <w:noWrap w:val="0"/>
            <w:vAlign w:val="center"/>
          </w:tcPr>
          <w:p w14:paraId="05A22D58">
            <w:pPr>
              <w:shd w:val="clear"/>
              <w:jc w:val="center"/>
              <w:rPr>
                <w:rFonts w:eastAsia="宋体"/>
                <w:color w:val="auto"/>
                <w:sz w:val="24"/>
                <w:highlight w:val="none"/>
              </w:rPr>
            </w:pPr>
            <w:r>
              <w:rPr>
                <w:rFonts w:eastAsia="宋体"/>
                <w:color w:val="auto"/>
                <w:sz w:val="24"/>
                <w:highlight w:val="none"/>
              </w:rPr>
              <w:t>标的所属行业</w:t>
            </w:r>
          </w:p>
        </w:tc>
        <w:tc>
          <w:tcPr>
            <w:tcW w:w="6113" w:type="dxa"/>
            <w:noWrap w:val="0"/>
            <w:vAlign w:val="center"/>
          </w:tcPr>
          <w:p w14:paraId="7C33357A">
            <w:pPr>
              <w:shd w:val="clear"/>
              <w:jc w:val="left"/>
              <w:rPr>
                <w:rFonts w:eastAsia="宋体"/>
                <w:color w:val="auto"/>
                <w:sz w:val="24"/>
                <w:highlight w:val="none"/>
              </w:rPr>
            </w:pPr>
            <w:r>
              <w:rPr>
                <w:rFonts w:eastAsia="宋体"/>
                <w:color w:val="auto"/>
                <w:sz w:val="24"/>
                <w:highlight w:val="none"/>
              </w:rPr>
              <w:t>采购标的对应的中小企业划分标准所属行业：</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70"/>
              <w:gridCol w:w="2802"/>
            </w:tblGrid>
            <w:tr w14:paraId="2A6D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6D99F598">
                  <w:pPr>
                    <w:shd w:val="clea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包号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692A2F3">
                  <w:pPr>
                    <w:shd w:val="clear"/>
                    <w:jc w:val="center"/>
                    <w:rPr>
                      <w:rFonts w:eastAsia="宋体"/>
                      <w:bCs/>
                      <w:color w:val="auto"/>
                      <w:sz w:val="21"/>
                      <w:szCs w:val="21"/>
                      <w:highlight w:val="none"/>
                    </w:rPr>
                  </w:pPr>
                  <w:r>
                    <w:rPr>
                      <w:rFonts w:eastAsia="宋体"/>
                      <w:bCs/>
                      <w:color w:val="auto"/>
                      <w:sz w:val="21"/>
                      <w:szCs w:val="21"/>
                      <w:highlight w:val="none"/>
                    </w:rPr>
                    <w:t>标的名称</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0BB60BC3">
                  <w:pPr>
                    <w:shd w:val="clear"/>
                    <w:jc w:val="center"/>
                    <w:rPr>
                      <w:rFonts w:eastAsia="宋体"/>
                      <w:color w:val="auto"/>
                      <w:sz w:val="21"/>
                      <w:szCs w:val="21"/>
                      <w:highlight w:val="none"/>
                    </w:rPr>
                  </w:pPr>
                  <w:r>
                    <w:rPr>
                      <w:rFonts w:eastAsia="宋体"/>
                      <w:color w:val="auto"/>
                      <w:sz w:val="21"/>
                      <w:szCs w:val="21"/>
                      <w:highlight w:val="none"/>
                    </w:rPr>
                    <w:t>中小企业划分标准所属行业</w:t>
                  </w:r>
                </w:p>
              </w:tc>
            </w:tr>
            <w:tr w14:paraId="5D8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546A53FB">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95BBA8D">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系统建设</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63FBC3CF">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r w14:paraId="0A8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315C6625">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4A83953">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测评服务</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1CB0A458">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r w14:paraId="04F1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02EE0B8E">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F9A5F29">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监理服务</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29E8326D">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bl>
          <w:p w14:paraId="07DB3DFD">
            <w:pPr>
              <w:shd w:val="clear"/>
              <w:jc w:val="left"/>
              <w:rPr>
                <w:rFonts w:eastAsia="宋体"/>
                <w:color w:val="auto"/>
                <w:sz w:val="24"/>
                <w:highlight w:val="none"/>
              </w:rPr>
            </w:pPr>
          </w:p>
        </w:tc>
      </w:tr>
      <w:tr w14:paraId="32D7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70C57DA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10.2</w:t>
            </w:r>
          </w:p>
        </w:tc>
        <w:tc>
          <w:tcPr>
            <w:tcW w:w="1433" w:type="dxa"/>
            <w:noWrap w:val="0"/>
            <w:vAlign w:val="center"/>
          </w:tcPr>
          <w:p w14:paraId="443B5FAA">
            <w:pPr>
              <w:shd w:val="clear"/>
              <w:jc w:val="center"/>
              <w:rPr>
                <w:rFonts w:eastAsia="宋体"/>
                <w:color w:val="auto"/>
                <w:sz w:val="24"/>
                <w:highlight w:val="none"/>
              </w:rPr>
            </w:pPr>
            <w:r>
              <w:rPr>
                <w:rFonts w:eastAsia="宋体"/>
                <w:color w:val="auto"/>
                <w:sz w:val="24"/>
                <w:highlight w:val="none"/>
              </w:rPr>
              <w:t>报价</w:t>
            </w:r>
          </w:p>
        </w:tc>
        <w:tc>
          <w:tcPr>
            <w:tcW w:w="6113" w:type="dxa"/>
            <w:noWrap w:val="0"/>
            <w:vAlign w:val="center"/>
          </w:tcPr>
          <w:p w14:paraId="741AE2DC">
            <w:pPr>
              <w:shd w:val="clear"/>
              <w:jc w:val="left"/>
              <w:rPr>
                <w:rFonts w:eastAsia="宋体"/>
                <w:color w:val="auto"/>
                <w:sz w:val="24"/>
                <w:highlight w:val="none"/>
              </w:rPr>
            </w:pPr>
            <w:r>
              <w:rPr>
                <w:rFonts w:eastAsia="宋体"/>
                <w:color w:val="auto"/>
                <w:sz w:val="24"/>
                <w:highlight w:val="none"/>
              </w:rPr>
              <w:t>报价的特殊规定：</w:t>
            </w:r>
          </w:p>
          <w:p w14:paraId="41CBD96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w:t>
            </w:r>
          </w:p>
          <w:p w14:paraId="6B9CFCEE">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有，具体情形：___________。</w:t>
            </w:r>
          </w:p>
        </w:tc>
      </w:tr>
      <w:tr w14:paraId="7E58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832" w:type="dxa"/>
            <w:noWrap w:val="0"/>
            <w:vAlign w:val="center"/>
          </w:tcPr>
          <w:p w14:paraId="5539D7B0">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11.1</w:t>
            </w:r>
          </w:p>
        </w:tc>
        <w:tc>
          <w:tcPr>
            <w:tcW w:w="1433" w:type="dxa"/>
            <w:vMerge w:val="restart"/>
            <w:noWrap w:val="0"/>
            <w:vAlign w:val="center"/>
          </w:tcPr>
          <w:p w14:paraId="1FD16ADC">
            <w:pPr>
              <w:shd w:val="clear"/>
              <w:jc w:val="center"/>
              <w:rPr>
                <w:rFonts w:eastAsia="宋体"/>
                <w:color w:val="auto"/>
                <w:sz w:val="24"/>
                <w:highlight w:val="none"/>
              </w:rPr>
            </w:pPr>
            <w:r>
              <w:rPr>
                <w:rFonts w:eastAsia="宋体"/>
                <w:color w:val="auto"/>
                <w:sz w:val="24"/>
                <w:highlight w:val="none"/>
              </w:rPr>
              <w:t>磋商保证金</w:t>
            </w:r>
          </w:p>
        </w:tc>
        <w:tc>
          <w:tcPr>
            <w:tcW w:w="6113" w:type="dxa"/>
            <w:noWrap w:val="0"/>
            <w:vAlign w:val="center"/>
          </w:tcPr>
          <w:p w14:paraId="709BFBB9">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第1包：</w:t>
            </w:r>
          </w:p>
          <w:p w14:paraId="50769EB7">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50000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075FB7A2">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1EAA34E8">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3225F811">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w:t>
            </w:r>
            <w:r>
              <w:rPr>
                <w:rFonts w:hint="eastAsia" w:cs="Times New Roman"/>
                <w:color w:val="auto"/>
                <w:kern w:val="2"/>
                <w:sz w:val="24"/>
                <w:szCs w:val="24"/>
                <w:highlight w:val="none"/>
                <w:lang w:val="en-US" w:eastAsia="zh-CN" w:bidi="ar-SA"/>
              </w:rPr>
              <w:t>30206098012454</w:t>
            </w:r>
          </w:p>
          <w:p w14:paraId="469ABF2A">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p w14:paraId="1815BBA9">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第2包：</w:t>
            </w:r>
          </w:p>
          <w:p w14:paraId="56D4B958">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2000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176AA273">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0F154DF7">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6E158F6A">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账号：30206098012456</w:t>
            </w:r>
          </w:p>
          <w:p w14:paraId="2DC23DDB">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p w14:paraId="15E62EF2">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第3包：</w:t>
            </w:r>
          </w:p>
          <w:p w14:paraId="4E6457F2">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1500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34DE59F3">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60A2D332">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008A6500">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w:t>
            </w:r>
            <w:r>
              <w:rPr>
                <w:rFonts w:hint="eastAsia" w:cs="Times New Roman"/>
                <w:color w:val="auto"/>
                <w:kern w:val="2"/>
                <w:sz w:val="24"/>
                <w:szCs w:val="24"/>
                <w:highlight w:val="none"/>
                <w:lang w:val="en-US" w:eastAsia="zh-CN" w:bidi="ar-SA"/>
              </w:rPr>
              <w:t>30206098012458</w:t>
            </w:r>
          </w:p>
          <w:p w14:paraId="10E35132">
            <w:pPr>
              <w:pStyle w:val="82"/>
              <w:shd w:val="clea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tc>
      </w:tr>
      <w:tr w14:paraId="1135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7E7251E1">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11.7.5</w:t>
            </w:r>
          </w:p>
        </w:tc>
        <w:tc>
          <w:tcPr>
            <w:tcW w:w="1433" w:type="dxa"/>
            <w:vMerge w:val="continue"/>
            <w:noWrap w:val="0"/>
            <w:vAlign w:val="center"/>
          </w:tcPr>
          <w:p w14:paraId="28913958">
            <w:pPr>
              <w:shd w:val="clear"/>
              <w:jc w:val="center"/>
              <w:rPr>
                <w:rFonts w:eastAsia="宋体"/>
                <w:color w:val="auto"/>
                <w:sz w:val="24"/>
                <w:highlight w:val="none"/>
              </w:rPr>
            </w:pPr>
          </w:p>
        </w:tc>
        <w:tc>
          <w:tcPr>
            <w:tcW w:w="6113" w:type="dxa"/>
            <w:noWrap w:val="0"/>
            <w:vAlign w:val="center"/>
          </w:tcPr>
          <w:p w14:paraId="33F7101A">
            <w:pPr>
              <w:shd w:val="clear"/>
              <w:jc w:val="left"/>
              <w:rPr>
                <w:rFonts w:eastAsia="宋体"/>
                <w:color w:val="auto"/>
                <w:sz w:val="24"/>
                <w:highlight w:val="none"/>
              </w:rPr>
            </w:pPr>
            <w:r>
              <w:rPr>
                <w:rFonts w:eastAsia="宋体"/>
                <w:color w:val="auto"/>
                <w:sz w:val="24"/>
                <w:highlight w:val="none"/>
              </w:rPr>
              <w:t>磋商保证金不予退还的其他情形：</w:t>
            </w:r>
          </w:p>
          <w:p w14:paraId="553CBF1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w:t>
            </w:r>
          </w:p>
          <w:p w14:paraId="32799271">
            <w:pPr>
              <w:pStyle w:val="24"/>
              <w:shd w:val="clear"/>
              <w:adjustRightInd w:val="0"/>
              <w:snapToGrid w:val="0"/>
              <w:rPr>
                <w:rFonts w:hint="default" w:ascii="Times New Roman" w:hAnsi="Times New Roman" w:eastAsia="宋体"/>
                <w:color w:val="auto"/>
                <w:sz w:val="24"/>
                <w:szCs w:val="24"/>
                <w:highlight w:val="none"/>
              </w:rPr>
            </w:pPr>
            <w:r>
              <w:rPr>
                <w:rFonts w:hint="eastAsia"/>
                <w:color w:val="auto"/>
                <w:highlight w:val="none"/>
                <w:lang w:eastAsia="zh-CN"/>
              </w:rPr>
              <w:t>□</w:t>
            </w:r>
            <w:r>
              <w:rPr>
                <w:rFonts w:hint="default" w:ascii="Times New Roman" w:hAnsi="Times New Roman" w:eastAsia="宋体"/>
                <w:color w:val="auto"/>
                <w:sz w:val="24"/>
                <w:highlight w:val="none"/>
              </w:rPr>
              <w:t>有，具体情形：___________。</w:t>
            </w:r>
          </w:p>
        </w:tc>
      </w:tr>
      <w:tr w14:paraId="31D9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2" w:type="dxa"/>
            <w:noWrap w:val="0"/>
            <w:vAlign w:val="center"/>
          </w:tcPr>
          <w:p w14:paraId="678218B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12.1</w:t>
            </w:r>
          </w:p>
        </w:tc>
        <w:tc>
          <w:tcPr>
            <w:tcW w:w="1433" w:type="dxa"/>
            <w:noWrap w:val="0"/>
            <w:vAlign w:val="center"/>
          </w:tcPr>
          <w:p w14:paraId="33C3006F">
            <w:pPr>
              <w:shd w:val="clear"/>
              <w:jc w:val="center"/>
              <w:rPr>
                <w:rFonts w:eastAsia="宋体"/>
                <w:color w:val="auto"/>
                <w:sz w:val="24"/>
                <w:highlight w:val="none"/>
              </w:rPr>
            </w:pPr>
            <w:r>
              <w:rPr>
                <w:rFonts w:eastAsia="宋体"/>
                <w:color w:val="auto"/>
                <w:sz w:val="24"/>
                <w:highlight w:val="none"/>
              </w:rPr>
              <w:t>响应有效期</w:t>
            </w:r>
          </w:p>
        </w:tc>
        <w:tc>
          <w:tcPr>
            <w:tcW w:w="6113" w:type="dxa"/>
            <w:noWrap w:val="0"/>
            <w:vAlign w:val="center"/>
          </w:tcPr>
          <w:p w14:paraId="517E5983">
            <w:pPr>
              <w:shd w:val="clear"/>
              <w:jc w:val="left"/>
              <w:rPr>
                <w:rFonts w:eastAsia="宋体"/>
                <w:color w:val="auto"/>
                <w:sz w:val="24"/>
                <w:highlight w:val="none"/>
              </w:rPr>
            </w:pPr>
            <w:r>
              <w:rPr>
                <w:rFonts w:eastAsia="宋体"/>
                <w:color w:val="auto"/>
                <w:sz w:val="24"/>
                <w:highlight w:val="none"/>
              </w:rPr>
              <w:t>自提交响应文件的截止之日起算</w:t>
            </w:r>
            <w:r>
              <w:rPr>
                <w:rFonts w:hint="eastAsia"/>
                <w:color w:val="auto"/>
                <w:sz w:val="24"/>
                <w:highlight w:val="none"/>
                <w:u w:val="none"/>
                <w:lang w:val="en-US" w:eastAsia="zh-CN"/>
              </w:rPr>
              <w:t>90</w:t>
            </w:r>
            <w:r>
              <w:rPr>
                <w:rFonts w:eastAsia="宋体"/>
                <w:color w:val="auto"/>
                <w:sz w:val="24"/>
                <w:highlight w:val="none"/>
              </w:rPr>
              <w:t>日历天。</w:t>
            </w:r>
          </w:p>
        </w:tc>
      </w:tr>
      <w:tr w14:paraId="335A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32" w:type="dxa"/>
            <w:noWrap w:val="0"/>
            <w:vAlign w:val="center"/>
          </w:tcPr>
          <w:p w14:paraId="7798E48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20.1</w:t>
            </w:r>
          </w:p>
        </w:tc>
        <w:tc>
          <w:tcPr>
            <w:tcW w:w="1433" w:type="dxa"/>
            <w:noWrap w:val="0"/>
            <w:vAlign w:val="center"/>
          </w:tcPr>
          <w:p w14:paraId="22AC83B2">
            <w:pPr>
              <w:shd w:val="clear"/>
              <w:jc w:val="center"/>
              <w:rPr>
                <w:rFonts w:eastAsia="宋体"/>
                <w:color w:val="auto"/>
                <w:sz w:val="24"/>
                <w:highlight w:val="none"/>
              </w:rPr>
            </w:pPr>
            <w:r>
              <w:rPr>
                <w:rFonts w:eastAsia="宋体"/>
                <w:color w:val="auto"/>
                <w:sz w:val="24"/>
                <w:highlight w:val="none"/>
              </w:rPr>
              <w:t>成交供应商的确认</w:t>
            </w:r>
          </w:p>
        </w:tc>
        <w:tc>
          <w:tcPr>
            <w:tcW w:w="6113" w:type="dxa"/>
            <w:noWrap w:val="0"/>
            <w:vAlign w:val="center"/>
          </w:tcPr>
          <w:p w14:paraId="55CF963F">
            <w:pPr>
              <w:pStyle w:val="24"/>
              <w:shd w:val="clear"/>
              <w:adjustRightInd w:val="0"/>
              <w:snapToGrid w:val="0"/>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采购人是否授权磋商小组直接确定成交供应商：</w:t>
            </w:r>
          </w:p>
          <w:p w14:paraId="19A9B97A">
            <w:pPr>
              <w:pStyle w:val="24"/>
              <w:shd w:val="clear"/>
              <w:adjustRightInd w:val="0"/>
              <w:snapToGrid w:val="0"/>
              <w:rPr>
                <w:rFonts w:hint="default" w:ascii="Times New Roman" w:hAnsi="Times New Roman" w:eastAsia="宋体"/>
                <w:color w:val="auto"/>
                <w:sz w:val="24"/>
                <w:highlight w:val="none"/>
              </w:rPr>
            </w:pPr>
            <w:r>
              <w:rPr>
                <w:rFonts w:hint="eastAsia" w:ascii="宋体" w:hAnsi="宋体" w:eastAsia="宋体" w:cs="宋体"/>
                <w:color w:val="auto"/>
                <w:sz w:val="24"/>
                <w:highlight w:val="none"/>
                <w:lang w:eastAsia="zh-CN"/>
              </w:rPr>
              <w:t>■</w:t>
            </w:r>
            <w:r>
              <w:rPr>
                <w:rFonts w:hint="default" w:ascii="Times New Roman" w:hAnsi="Times New Roman" w:eastAsia="宋体"/>
                <w:color w:val="auto"/>
                <w:sz w:val="24"/>
                <w:highlight w:val="none"/>
              </w:rPr>
              <w:t>否</w:t>
            </w:r>
          </w:p>
          <w:p w14:paraId="318D89F8">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是</w:t>
            </w:r>
          </w:p>
          <w:p w14:paraId="088C260E">
            <w:pPr>
              <w:shd w:val="clear"/>
              <w:jc w:val="left"/>
              <w:rPr>
                <w:rFonts w:eastAsia="宋体"/>
                <w:color w:val="auto"/>
                <w:sz w:val="24"/>
                <w:highlight w:val="none"/>
                <w:u w:val="single"/>
              </w:rPr>
            </w:pPr>
            <w:r>
              <w:rPr>
                <w:rFonts w:eastAsia="宋体"/>
                <w:color w:val="auto"/>
                <w:sz w:val="24"/>
                <w:highlight w:val="none"/>
              </w:rPr>
              <w:t>成交候选人并列的，按照以下方式确定成交供应商：</w:t>
            </w:r>
            <w:r>
              <w:rPr>
                <w:rFonts w:hint="eastAsia" w:eastAsia="宋体"/>
                <w:color w:val="auto"/>
                <w:sz w:val="24"/>
                <w:highlight w:val="none"/>
                <w:u w:val="single"/>
              </w:rPr>
              <w:t>最后报价最低优先，如最后报价相同则“技术部分”得分最高优先，最后报价相同且“技术部分”得分也相同的，由磋商小组现场采取随机抽取方式确定排序</w:t>
            </w:r>
            <w:r>
              <w:rPr>
                <w:rFonts w:eastAsia="宋体"/>
                <w:color w:val="auto"/>
                <w:sz w:val="24"/>
                <w:highlight w:val="none"/>
                <w:u w:val="single"/>
              </w:rPr>
              <w:t>。</w:t>
            </w:r>
          </w:p>
        </w:tc>
      </w:tr>
      <w:tr w14:paraId="70C7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832" w:type="dxa"/>
            <w:noWrap w:val="0"/>
            <w:vAlign w:val="center"/>
          </w:tcPr>
          <w:p w14:paraId="7B494E2B">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23.5</w:t>
            </w:r>
          </w:p>
        </w:tc>
        <w:tc>
          <w:tcPr>
            <w:tcW w:w="1433" w:type="dxa"/>
            <w:noWrap w:val="0"/>
            <w:vAlign w:val="center"/>
          </w:tcPr>
          <w:p w14:paraId="7FE8314B">
            <w:pPr>
              <w:shd w:val="clear"/>
              <w:jc w:val="center"/>
              <w:rPr>
                <w:rFonts w:eastAsia="宋体"/>
                <w:color w:val="auto"/>
                <w:sz w:val="24"/>
                <w:highlight w:val="none"/>
              </w:rPr>
            </w:pPr>
            <w:r>
              <w:rPr>
                <w:rFonts w:eastAsia="宋体"/>
                <w:color w:val="auto"/>
                <w:sz w:val="24"/>
                <w:highlight w:val="none"/>
              </w:rPr>
              <w:t>分包</w:t>
            </w:r>
          </w:p>
        </w:tc>
        <w:tc>
          <w:tcPr>
            <w:tcW w:w="6113" w:type="dxa"/>
            <w:noWrap w:val="0"/>
            <w:vAlign w:val="center"/>
          </w:tcPr>
          <w:p w14:paraId="6B51CD6A">
            <w:pPr>
              <w:shd w:val="clear"/>
              <w:jc w:val="left"/>
              <w:rPr>
                <w:rFonts w:eastAsia="宋体"/>
                <w:color w:val="auto"/>
                <w:sz w:val="24"/>
                <w:highlight w:val="none"/>
              </w:rPr>
            </w:pPr>
            <w:r>
              <w:rPr>
                <w:rFonts w:eastAsia="宋体"/>
                <w:color w:val="auto"/>
                <w:sz w:val="24"/>
                <w:highlight w:val="none"/>
              </w:rPr>
              <w:t xml:space="preserve">本项目是否允许分包： </w:t>
            </w:r>
          </w:p>
          <w:p w14:paraId="7C3EBB8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不允许</w:t>
            </w:r>
          </w:p>
          <w:p w14:paraId="719B0700">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sym w:font="Wingdings 2" w:char="00A3"/>
            </w:r>
            <w:r>
              <w:rPr>
                <w:rFonts w:hint="eastAsia" w:ascii="Times New Roman" w:hAnsi="Times New Roman" w:eastAsia="宋体" w:cs="Times New Roman"/>
                <w:color w:val="auto"/>
                <w:sz w:val="24"/>
                <w:highlight w:val="none"/>
                <w:lang w:val="en-US" w:eastAsia="zh-CN"/>
              </w:rPr>
              <w:t xml:space="preserve">允许，具体要求： </w:t>
            </w:r>
          </w:p>
          <w:p w14:paraId="1D54F4D3">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（1）可以分包履行的具体内容：/；</w:t>
            </w:r>
          </w:p>
          <w:p w14:paraId="65BF067E">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（2）允许分包的金额或者比例：/；</w:t>
            </w:r>
          </w:p>
          <w:p w14:paraId="1EB05B8D">
            <w:pPr>
              <w:shd w:val="clear"/>
              <w:jc w:val="left"/>
              <w:rPr>
                <w:rFonts w:eastAsia="宋体"/>
                <w:color w:val="auto"/>
                <w:sz w:val="24"/>
                <w:highlight w:val="none"/>
                <w:u w:val="single"/>
              </w:rPr>
            </w:pPr>
            <w:r>
              <w:rPr>
                <w:rFonts w:hint="eastAsia" w:ascii="Times New Roman" w:hAnsi="Times New Roman" w:eastAsia="宋体" w:cs="Times New Roman"/>
                <w:color w:val="auto"/>
                <w:sz w:val="24"/>
                <w:highlight w:val="none"/>
                <w:lang w:val="en-US" w:eastAsia="zh-CN"/>
              </w:rPr>
              <w:t>（3）其他要求：/。</w:t>
            </w:r>
          </w:p>
        </w:tc>
      </w:tr>
      <w:tr w14:paraId="2DF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2" w:type="dxa"/>
            <w:noWrap w:val="0"/>
            <w:vAlign w:val="center"/>
          </w:tcPr>
          <w:p w14:paraId="2ABAAF2E">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24.1.1</w:t>
            </w:r>
          </w:p>
        </w:tc>
        <w:tc>
          <w:tcPr>
            <w:tcW w:w="1433" w:type="dxa"/>
            <w:noWrap w:val="0"/>
            <w:vAlign w:val="center"/>
          </w:tcPr>
          <w:p w14:paraId="0F0FAACA">
            <w:pPr>
              <w:shd w:val="clear"/>
              <w:jc w:val="center"/>
              <w:rPr>
                <w:rFonts w:eastAsia="宋体"/>
                <w:color w:val="auto"/>
                <w:sz w:val="24"/>
                <w:highlight w:val="none"/>
              </w:rPr>
            </w:pPr>
            <w:r>
              <w:rPr>
                <w:rFonts w:eastAsia="宋体"/>
                <w:color w:val="auto"/>
                <w:sz w:val="24"/>
                <w:highlight w:val="none"/>
              </w:rPr>
              <w:t>询问</w:t>
            </w:r>
          </w:p>
        </w:tc>
        <w:tc>
          <w:tcPr>
            <w:tcW w:w="6113" w:type="dxa"/>
            <w:noWrap w:val="0"/>
            <w:vAlign w:val="center"/>
          </w:tcPr>
          <w:p w14:paraId="6FC8050E">
            <w:pPr>
              <w:shd w:val="clear"/>
              <w:jc w:val="left"/>
              <w:rPr>
                <w:rFonts w:eastAsia="宋体"/>
                <w:color w:val="auto"/>
                <w:sz w:val="24"/>
                <w:highlight w:val="none"/>
              </w:rPr>
            </w:pPr>
            <w:r>
              <w:rPr>
                <w:rFonts w:eastAsia="宋体"/>
                <w:color w:val="auto"/>
                <w:sz w:val="24"/>
                <w:highlight w:val="none"/>
              </w:rPr>
              <w:t>询问送达形式：</w:t>
            </w:r>
            <w:r>
              <w:rPr>
                <w:rFonts w:hint="eastAsia" w:eastAsia="宋体"/>
                <w:color w:val="auto"/>
                <w:sz w:val="24"/>
                <w:highlight w:val="none"/>
                <w:u w:val="single"/>
              </w:rPr>
              <w:t>现场递交</w:t>
            </w:r>
            <w:r>
              <w:rPr>
                <w:rFonts w:eastAsia="宋体"/>
                <w:color w:val="auto"/>
                <w:sz w:val="24"/>
                <w:highlight w:val="none"/>
              </w:rPr>
              <w:t>。</w:t>
            </w:r>
          </w:p>
        </w:tc>
      </w:tr>
      <w:tr w14:paraId="5FF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32" w:type="dxa"/>
            <w:noWrap w:val="0"/>
            <w:vAlign w:val="center"/>
          </w:tcPr>
          <w:p w14:paraId="3532F6A5">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24.3</w:t>
            </w:r>
          </w:p>
        </w:tc>
        <w:tc>
          <w:tcPr>
            <w:tcW w:w="1433" w:type="dxa"/>
            <w:noWrap w:val="0"/>
            <w:vAlign w:val="center"/>
          </w:tcPr>
          <w:p w14:paraId="500196FD">
            <w:pPr>
              <w:shd w:val="clear"/>
              <w:jc w:val="center"/>
              <w:rPr>
                <w:rFonts w:eastAsia="宋体"/>
                <w:color w:val="auto"/>
                <w:sz w:val="24"/>
                <w:highlight w:val="none"/>
              </w:rPr>
            </w:pPr>
            <w:r>
              <w:rPr>
                <w:rFonts w:eastAsia="宋体"/>
                <w:color w:val="auto"/>
                <w:sz w:val="24"/>
                <w:highlight w:val="none"/>
              </w:rPr>
              <w:t>联系方式</w:t>
            </w:r>
          </w:p>
        </w:tc>
        <w:tc>
          <w:tcPr>
            <w:tcW w:w="6113" w:type="dxa"/>
            <w:noWrap w:val="0"/>
            <w:vAlign w:val="center"/>
          </w:tcPr>
          <w:p w14:paraId="4588DAEE">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接收询问和质疑的联系方式</w:t>
            </w:r>
          </w:p>
          <w:p w14:paraId="667730A3">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联系部门：</w:t>
            </w:r>
            <w:r>
              <w:rPr>
                <w:rFonts w:hint="eastAsia" w:ascii="Times New Roman" w:hAnsi="Times New Roman" w:cs="Times New Roman"/>
                <w:color w:val="auto"/>
                <w:sz w:val="24"/>
                <w:highlight w:val="none"/>
                <w:lang w:val="en-US" w:eastAsia="zh-CN"/>
              </w:rPr>
              <w:t>国信招标集团股份有限公司</w:t>
            </w:r>
            <w:r>
              <w:rPr>
                <w:rFonts w:hint="eastAsia" w:ascii="Times New Roman" w:hAnsi="Times New Roman" w:eastAsia="宋体" w:cs="Times New Roman"/>
                <w:color w:val="auto"/>
                <w:sz w:val="24"/>
                <w:highlight w:val="none"/>
                <w:lang w:val="en-US" w:eastAsia="zh-CN"/>
              </w:rPr>
              <w:t>；</w:t>
            </w:r>
          </w:p>
          <w:p w14:paraId="70D9E229">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联系电话：韩</w:t>
            </w:r>
            <w:r>
              <w:rPr>
                <w:rFonts w:hint="eastAsia" w:ascii="Times New Roman" w:hAnsi="Times New Roman" w:cs="Times New Roman"/>
                <w:color w:val="auto"/>
                <w:sz w:val="24"/>
                <w:highlight w:val="none"/>
                <w:lang w:val="en-US" w:eastAsia="zh-CN"/>
              </w:rPr>
              <w:t>博13810474561</w:t>
            </w:r>
            <w:r>
              <w:rPr>
                <w:rFonts w:hint="eastAsia" w:ascii="Times New Roman" w:hAnsi="Times New Roman" w:eastAsia="宋体" w:cs="Times New Roman"/>
                <w:color w:val="auto"/>
                <w:sz w:val="24"/>
                <w:highlight w:val="none"/>
                <w:lang w:val="en-US" w:eastAsia="zh-CN"/>
              </w:rPr>
              <w:t>；</w:t>
            </w:r>
          </w:p>
          <w:p w14:paraId="0ADE9236">
            <w:pPr>
              <w:shd w:val="clear"/>
              <w:jc w:val="left"/>
              <w:rPr>
                <w:color w:val="auto"/>
                <w:highlight w:val="none"/>
              </w:rPr>
            </w:pPr>
            <w:r>
              <w:rPr>
                <w:rFonts w:hint="eastAsia" w:ascii="Times New Roman" w:hAnsi="Times New Roman" w:eastAsia="宋体" w:cs="Times New Roman"/>
                <w:color w:val="auto"/>
                <w:sz w:val="24"/>
                <w:highlight w:val="none"/>
                <w:lang w:val="en-US" w:eastAsia="zh-CN"/>
              </w:rPr>
              <w:t>通讯地址：</w:t>
            </w:r>
            <w:r>
              <w:rPr>
                <w:rFonts w:hint="eastAsia" w:ascii="Times New Roman" w:hAnsi="Times New Roman" w:cs="Times New Roman"/>
                <w:color w:val="auto"/>
                <w:sz w:val="24"/>
                <w:highlight w:val="none"/>
                <w:lang w:val="en-US" w:eastAsia="zh-CN"/>
              </w:rPr>
              <w:t>北京市海淀区首体南路22号国兴大厦10层</w:t>
            </w:r>
            <w:r>
              <w:rPr>
                <w:color w:val="auto"/>
                <w:highlight w:val="none"/>
              </w:rPr>
              <w:t>。</w:t>
            </w:r>
          </w:p>
        </w:tc>
      </w:tr>
      <w:tr w14:paraId="10B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832" w:type="dxa"/>
            <w:noWrap w:val="0"/>
            <w:vAlign w:val="center"/>
          </w:tcPr>
          <w:p w14:paraId="664567AE">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25</w:t>
            </w:r>
          </w:p>
        </w:tc>
        <w:tc>
          <w:tcPr>
            <w:tcW w:w="1433" w:type="dxa"/>
            <w:noWrap w:val="0"/>
            <w:vAlign w:val="center"/>
          </w:tcPr>
          <w:p w14:paraId="100BA74B">
            <w:pPr>
              <w:shd w:val="clear"/>
              <w:jc w:val="center"/>
              <w:rPr>
                <w:rFonts w:eastAsia="宋体"/>
                <w:color w:val="auto"/>
                <w:sz w:val="24"/>
                <w:highlight w:val="none"/>
              </w:rPr>
            </w:pPr>
            <w:r>
              <w:rPr>
                <w:rFonts w:eastAsia="宋体"/>
                <w:color w:val="auto"/>
                <w:sz w:val="24"/>
                <w:highlight w:val="none"/>
              </w:rPr>
              <w:t>代理费</w:t>
            </w:r>
          </w:p>
        </w:tc>
        <w:tc>
          <w:tcPr>
            <w:tcW w:w="6113" w:type="dxa"/>
            <w:noWrap w:val="0"/>
            <w:vAlign w:val="center"/>
          </w:tcPr>
          <w:p w14:paraId="090DC459">
            <w:pPr>
              <w:shd w:val="clear"/>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收费对象：</w:t>
            </w:r>
          </w:p>
          <w:p w14:paraId="184E4036">
            <w:pPr>
              <w:shd w:val="clear"/>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采购人</w:t>
            </w:r>
          </w:p>
          <w:p w14:paraId="74B1C980">
            <w:pPr>
              <w:shd w:val="clear"/>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成交供应商</w:t>
            </w:r>
          </w:p>
          <w:p w14:paraId="13A20779">
            <w:pPr>
              <w:shd w:val="clear"/>
              <w:jc w:val="left"/>
              <w:rPr>
                <w:rFonts w:hint="eastAsia" w:ascii="宋体" w:hAnsi="宋体" w:cs="仿宋_GB2312"/>
                <w:color w:val="auto"/>
                <w:kern w:val="0"/>
                <w:sz w:val="24"/>
                <w:highlight w:val="none"/>
              </w:rPr>
            </w:pPr>
            <w:r>
              <w:rPr>
                <w:rFonts w:ascii="Times New Roman" w:hAnsi="Times New Roman" w:eastAsia="宋体" w:cs="Times New Roman"/>
                <w:color w:val="auto"/>
                <w:sz w:val="24"/>
                <w:highlight w:val="none"/>
              </w:rPr>
              <w:t>收费标准：</w:t>
            </w:r>
            <w:r>
              <w:rPr>
                <w:rFonts w:hint="eastAsia" w:ascii="宋体" w:hAnsi="宋体" w:cs="仿宋_GB2312"/>
                <w:color w:val="auto"/>
                <w:kern w:val="0"/>
                <w:sz w:val="24"/>
                <w:highlight w:val="none"/>
              </w:rPr>
              <w:t>参照“计价格[2002]1980号”、“发改价格[2011]534号”文件所列的“</w:t>
            </w:r>
            <w:r>
              <w:rPr>
                <w:rFonts w:hint="eastAsia" w:ascii="宋体" w:hAnsi="宋体" w:cs="仿宋_GB2312"/>
                <w:color w:val="auto"/>
                <w:kern w:val="0"/>
                <w:sz w:val="24"/>
                <w:highlight w:val="none"/>
                <w:lang w:val="en-US" w:eastAsia="zh-CN"/>
              </w:rPr>
              <w:t>服务</w:t>
            </w:r>
            <w:r>
              <w:rPr>
                <w:rFonts w:hint="eastAsia" w:ascii="宋体" w:hAnsi="宋体" w:cs="仿宋_GB2312"/>
                <w:color w:val="auto"/>
                <w:kern w:val="0"/>
                <w:sz w:val="24"/>
                <w:highlight w:val="none"/>
              </w:rPr>
              <w:t>”收费标准按差额累进方式计算。</w:t>
            </w:r>
          </w:p>
          <w:p w14:paraId="6029D02A">
            <w:pPr>
              <w:shd w:val="clear"/>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缴纳时间：</w:t>
            </w:r>
            <w:r>
              <w:rPr>
                <w:rFonts w:hint="eastAsia" w:ascii="Times New Roman" w:hAnsi="Times New Roman" w:eastAsia="宋体" w:cs="Times New Roman"/>
                <w:color w:val="auto"/>
                <w:sz w:val="24"/>
                <w:highlight w:val="none"/>
              </w:rPr>
              <w:t>领取成交通知书时向采购代理机构一次性支付中标服务费</w:t>
            </w:r>
            <w:r>
              <w:rPr>
                <w:rFonts w:ascii="Times New Roman" w:hAnsi="Times New Roman" w:eastAsia="宋体" w:cs="Times New Roman"/>
                <w:color w:val="auto"/>
                <w:sz w:val="24"/>
                <w:highlight w:val="none"/>
              </w:rPr>
              <w:t>。</w:t>
            </w:r>
          </w:p>
          <w:p w14:paraId="0F6D9842">
            <w:pPr>
              <w:shd w:val="clear"/>
              <w:jc w:val="left"/>
              <w:rPr>
                <w:color w:val="auto"/>
                <w:highlight w:val="none"/>
              </w:rPr>
            </w:pPr>
          </w:p>
        </w:tc>
      </w:tr>
      <w:tr w14:paraId="325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32" w:type="dxa"/>
            <w:noWrap w:val="0"/>
            <w:vAlign w:val="center"/>
          </w:tcPr>
          <w:p w14:paraId="0D1F0B4E">
            <w:pPr>
              <w:pStyle w:val="24"/>
              <w:shd w:val="clear"/>
              <w:adjustRightInd w:val="0"/>
              <w:snapToGrid w:val="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26</w:t>
            </w:r>
          </w:p>
        </w:tc>
        <w:tc>
          <w:tcPr>
            <w:tcW w:w="1433" w:type="dxa"/>
            <w:noWrap w:val="0"/>
            <w:vAlign w:val="center"/>
          </w:tcPr>
          <w:p w14:paraId="54C0A369">
            <w:pPr>
              <w:shd w:val="clear"/>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电子版要求</w:t>
            </w:r>
          </w:p>
        </w:tc>
        <w:tc>
          <w:tcPr>
            <w:tcW w:w="6113" w:type="dxa"/>
            <w:noWrap w:val="0"/>
            <w:vAlign w:val="center"/>
          </w:tcPr>
          <w:p w14:paraId="692023DA">
            <w:pPr>
              <w:shd w:val="clear"/>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除准备纸质版</w:t>
            </w:r>
            <w:r>
              <w:rPr>
                <w:rFonts w:hint="eastAsia" w:ascii="宋体" w:hAnsi="宋体"/>
                <w:color w:val="auto"/>
                <w:kern w:val="0"/>
                <w:sz w:val="24"/>
                <w:szCs w:val="24"/>
                <w:highlight w:val="none"/>
                <w:lang w:val="en-US" w:eastAsia="zh-CN"/>
              </w:rPr>
              <w:t>响应</w:t>
            </w:r>
            <w:r>
              <w:rPr>
                <w:rFonts w:hint="eastAsia" w:ascii="宋体" w:hAnsi="宋体" w:eastAsia="宋体"/>
                <w:color w:val="auto"/>
                <w:kern w:val="0"/>
                <w:sz w:val="24"/>
                <w:szCs w:val="24"/>
                <w:highlight w:val="none"/>
              </w:rPr>
              <w:t>文件正本1份，副本</w:t>
            </w:r>
            <w:r>
              <w:rPr>
                <w:rFonts w:hint="eastAsia" w:ascii="宋体" w:hAnsi="宋体"/>
                <w:color w:val="auto"/>
                <w:kern w:val="0"/>
                <w:sz w:val="24"/>
                <w:szCs w:val="24"/>
                <w:highlight w:val="none"/>
                <w:lang w:val="en-US" w:eastAsia="zh-CN"/>
              </w:rPr>
              <w:t>2</w:t>
            </w:r>
            <w:r>
              <w:rPr>
                <w:rFonts w:hint="eastAsia" w:ascii="宋体" w:hAnsi="宋体" w:eastAsia="宋体"/>
                <w:color w:val="auto"/>
                <w:kern w:val="0"/>
                <w:sz w:val="24"/>
                <w:szCs w:val="24"/>
                <w:highlight w:val="none"/>
              </w:rPr>
              <w:t>份外，还需准备2份电子版本（U盘），每个U盘中存放</w:t>
            </w:r>
            <w:r>
              <w:rPr>
                <w:rFonts w:hint="eastAsia" w:ascii="宋体" w:hAnsi="宋体"/>
                <w:b/>
                <w:bCs/>
                <w:color w:val="auto"/>
                <w:kern w:val="0"/>
                <w:sz w:val="24"/>
                <w:szCs w:val="24"/>
                <w:highlight w:val="none"/>
                <w:lang w:val="en-US" w:eastAsia="zh-CN"/>
              </w:rPr>
              <w:t>响应</w:t>
            </w:r>
            <w:r>
              <w:rPr>
                <w:rFonts w:hint="eastAsia" w:ascii="宋体" w:hAnsi="宋体" w:eastAsia="宋体"/>
                <w:b/>
                <w:bCs/>
                <w:color w:val="auto"/>
                <w:kern w:val="0"/>
                <w:sz w:val="24"/>
                <w:szCs w:val="24"/>
                <w:highlight w:val="none"/>
              </w:rPr>
              <w:t>文件的word版及</w:t>
            </w:r>
            <w:r>
              <w:rPr>
                <w:rFonts w:hint="eastAsia" w:ascii="宋体" w:hAnsi="宋体"/>
                <w:b/>
                <w:bCs/>
                <w:color w:val="auto"/>
                <w:kern w:val="0"/>
                <w:sz w:val="24"/>
                <w:szCs w:val="24"/>
                <w:highlight w:val="none"/>
                <w:lang w:val="en-US" w:eastAsia="zh-CN"/>
              </w:rPr>
              <w:t>正本</w:t>
            </w:r>
            <w:r>
              <w:rPr>
                <w:rFonts w:hint="eastAsia" w:ascii="宋体" w:hAnsi="宋体" w:eastAsia="宋体"/>
                <w:b/>
                <w:bCs/>
                <w:color w:val="auto"/>
                <w:kern w:val="0"/>
                <w:sz w:val="24"/>
                <w:szCs w:val="24"/>
                <w:highlight w:val="none"/>
              </w:rPr>
              <w:t>盖章后的PDF</w:t>
            </w:r>
            <w:r>
              <w:rPr>
                <w:rFonts w:hint="eastAsia" w:ascii="宋体" w:hAnsi="宋体"/>
                <w:b/>
                <w:bCs/>
                <w:color w:val="auto"/>
                <w:kern w:val="0"/>
                <w:sz w:val="24"/>
                <w:szCs w:val="24"/>
                <w:highlight w:val="none"/>
                <w:lang w:val="en-US" w:eastAsia="zh-CN"/>
              </w:rPr>
              <w:t>扫描件</w:t>
            </w:r>
            <w:r>
              <w:rPr>
                <w:rFonts w:hint="eastAsia" w:ascii="宋体" w:hAnsi="宋体" w:eastAsia="宋体"/>
                <w:color w:val="auto"/>
                <w:kern w:val="0"/>
                <w:sz w:val="24"/>
                <w:szCs w:val="24"/>
                <w:highlight w:val="none"/>
              </w:rPr>
              <w:t>，（</w:t>
            </w:r>
            <w:r>
              <w:rPr>
                <w:rFonts w:hint="eastAsia" w:ascii="宋体" w:hAnsi="宋体"/>
                <w:color w:val="auto"/>
                <w:kern w:val="0"/>
                <w:sz w:val="24"/>
                <w:szCs w:val="24"/>
                <w:highlight w:val="none"/>
                <w:lang w:val="en-US" w:eastAsia="zh-CN"/>
              </w:rPr>
              <w:t>响应</w:t>
            </w:r>
            <w:r>
              <w:rPr>
                <w:rFonts w:hint="eastAsia" w:ascii="宋体" w:hAnsi="宋体" w:eastAsia="宋体"/>
                <w:color w:val="auto"/>
                <w:kern w:val="0"/>
                <w:sz w:val="24"/>
                <w:szCs w:val="24"/>
                <w:highlight w:val="none"/>
              </w:rPr>
              <w:t>文件中若有电子表及图纸，需一同提供）；文件命名格式：</w:t>
            </w:r>
            <w:r>
              <w:rPr>
                <w:rFonts w:hint="eastAsia" w:ascii="宋体" w:hAnsi="宋体"/>
                <w:b/>
                <w:bCs/>
                <w:color w:val="auto"/>
                <w:kern w:val="0"/>
                <w:sz w:val="24"/>
                <w:szCs w:val="24"/>
                <w:highlight w:val="none"/>
                <w:lang w:val="en-US" w:eastAsia="zh-CN"/>
              </w:rPr>
              <w:t>项目名称</w:t>
            </w:r>
            <w:r>
              <w:rPr>
                <w:rFonts w:hint="eastAsia" w:ascii="宋体" w:hAnsi="宋体" w:eastAsia="宋体"/>
                <w:b/>
                <w:bCs/>
                <w:color w:val="auto"/>
                <w:kern w:val="0"/>
                <w:sz w:val="24"/>
                <w:szCs w:val="24"/>
                <w:highlight w:val="none"/>
              </w:rPr>
              <w:t>+</w:t>
            </w:r>
            <w:r>
              <w:rPr>
                <w:rFonts w:hint="eastAsia" w:ascii="宋体" w:hAnsi="宋体"/>
                <w:b/>
                <w:bCs/>
                <w:color w:val="auto"/>
                <w:kern w:val="0"/>
                <w:sz w:val="24"/>
                <w:szCs w:val="24"/>
                <w:highlight w:val="none"/>
                <w:lang w:val="en-US" w:eastAsia="zh-CN"/>
              </w:rPr>
              <w:t>供应商</w:t>
            </w:r>
            <w:r>
              <w:rPr>
                <w:rFonts w:hint="eastAsia" w:ascii="宋体" w:hAnsi="宋体" w:eastAsia="宋体"/>
                <w:b/>
                <w:bCs/>
                <w:color w:val="auto"/>
                <w:kern w:val="0"/>
                <w:sz w:val="24"/>
                <w:szCs w:val="24"/>
                <w:highlight w:val="none"/>
              </w:rPr>
              <w:t>名称</w:t>
            </w:r>
            <w:r>
              <w:rPr>
                <w:rFonts w:hint="eastAsia" w:ascii="宋体" w:hAnsi="宋体" w:eastAsia="宋体"/>
                <w:color w:val="auto"/>
                <w:kern w:val="0"/>
                <w:sz w:val="24"/>
                <w:szCs w:val="24"/>
                <w:highlight w:val="none"/>
              </w:rPr>
              <w:t>。</w:t>
            </w:r>
          </w:p>
        </w:tc>
      </w:tr>
    </w:tbl>
    <w:p w14:paraId="5FC15346">
      <w:pPr>
        <w:shd w:val="clear"/>
        <w:tabs>
          <w:tab w:val="left" w:pos="5580"/>
        </w:tabs>
        <w:adjustRightInd w:val="0"/>
        <w:spacing w:line="360" w:lineRule="auto"/>
        <w:jc w:val="distribute"/>
        <w:rPr>
          <w:rFonts w:eastAsia="宋体"/>
          <w:color w:val="auto"/>
          <w:sz w:val="24"/>
          <w:highlight w:val="none"/>
        </w:rPr>
        <w:sectPr>
          <w:pgSz w:w="11907" w:h="16840"/>
          <w:pgMar w:top="1440" w:right="1800" w:bottom="1440" w:left="1800" w:header="851" w:footer="851" w:gutter="0"/>
          <w:pgNumType w:fmt="decimal"/>
          <w:cols w:space="720" w:num="1"/>
          <w:titlePg/>
          <w:docGrid w:linePitch="462" w:charSpace="0"/>
        </w:sectPr>
      </w:pPr>
    </w:p>
    <w:p w14:paraId="76247550">
      <w:pPr>
        <w:shd w:val="clear"/>
        <w:spacing w:before="240" w:beforeLines="100" w:after="240" w:afterLines="100"/>
        <w:jc w:val="center"/>
        <w:rPr>
          <w:rFonts w:eastAsia="宋体"/>
          <w:b/>
          <w:color w:val="auto"/>
          <w:sz w:val="28"/>
          <w:szCs w:val="28"/>
          <w:highlight w:val="none"/>
        </w:rPr>
      </w:pPr>
      <w:r>
        <w:rPr>
          <w:rFonts w:eastAsia="宋体"/>
          <w:b/>
          <w:color w:val="auto"/>
          <w:sz w:val="28"/>
          <w:szCs w:val="28"/>
          <w:highlight w:val="none"/>
        </w:rPr>
        <w:t>供应商须知</w:t>
      </w:r>
    </w:p>
    <w:p w14:paraId="7831DBEB">
      <w:pPr>
        <w:pStyle w:val="5"/>
        <w:shd w:val="clear"/>
        <w:tabs>
          <w:tab w:val="center" w:pos="4592"/>
          <w:tab w:val="left" w:pos="7860"/>
        </w:tabs>
        <w:spacing w:before="0" w:line="360" w:lineRule="auto"/>
        <w:jc w:val="left"/>
        <w:rPr>
          <w:rFonts w:ascii="Times New Roman" w:hAnsi="Times New Roman" w:eastAsia="宋体"/>
          <w:color w:val="auto"/>
          <w:sz w:val="28"/>
          <w:highlight w:val="none"/>
        </w:rPr>
      </w:pPr>
      <w:bookmarkStart w:id="75" w:name="_Toc520356143"/>
      <w:bookmarkStart w:id="76" w:name="_Toc127151518"/>
      <w:r>
        <w:rPr>
          <w:rFonts w:ascii="Times New Roman" w:hAnsi="Times New Roman" w:eastAsia="宋体"/>
          <w:color w:val="auto"/>
          <w:sz w:val="28"/>
          <w:highlight w:val="none"/>
        </w:rPr>
        <w:tab/>
      </w:r>
      <w:bookmarkStart w:id="77" w:name="_Toc305158860"/>
      <w:bookmarkStart w:id="78" w:name="_Toc264969208"/>
      <w:bookmarkStart w:id="79" w:name="_Toc150480756"/>
      <w:bookmarkStart w:id="80" w:name="_Toc150774723"/>
      <w:bookmarkStart w:id="81" w:name="_Toc265228356"/>
      <w:bookmarkStart w:id="82" w:name="_Toc142311020"/>
      <w:bookmarkStart w:id="83" w:name="_Toc195842883"/>
      <w:bookmarkStart w:id="84" w:name="_Toc151193616"/>
      <w:bookmarkStart w:id="85" w:name="_Toc151193906"/>
      <w:bookmarkStart w:id="86" w:name="_Toc226965791"/>
      <w:bookmarkStart w:id="87" w:name="_Toc226309762"/>
      <w:bookmarkStart w:id="88" w:name="_Toc305158786"/>
      <w:bookmarkStart w:id="89" w:name="_Toc151193688"/>
      <w:bookmarkStart w:id="90" w:name="_Toc151190145"/>
      <w:bookmarkStart w:id="91" w:name="_Toc150774618"/>
      <w:bookmarkStart w:id="92" w:name="_Toc226337214"/>
      <w:bookmarkStart w:id="93" w:name="_Toc150509269"/>
      <w:bookmarkStart w:id="94" w:name="_Toc151193760"/>
      <w:bookmarkStart w:id="95" w:name="_Toc151193832"/>
      <w:bookmarkStart w:id="96" w:name="_Toc226965708"/>
      <w:r>
        <w:rPr>
          <w:rFonts w:ascii="Times New Roman" w:hAnsi="Times New Roman" w:eastAsia="宋体"/>
          <w:color w:val="auto"/>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宋体"/>
          <w:color w:val="auto"/>
          <w:sz w:val="28"/>
          <w:highlight w:val="none"/>
        </w:rPr>
        <w:tab/>
      </w:r>
    </w:p>
    <w:p w14:paraId="4C97900D">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bookmarkStart w:id="97" w:name="_Toc305158861"/>
      <w:bookmarkStart w:id="98" w:name="_Toc305158787"/>
      <w:bookmarkStart w:id="99" w:name="_Toc265228357"/>
      <w:bookmarkStart w:id="100" w:name="_Toc264969209"/>
      <w:r>
        <w:rPr>
          <w:rFonts w:eastAsia="宋体"/>
          <w:color w:val="auto"/>
          <w:sz w:val="24"/>
          <w:highlight w:val="none"/>
        </w:rPr>
        <w:t>采购人、采购代理机构、供应商</w:t>
      </w:r>
      <w:bookmarkEnd w:id="97"/>
      <w:bookmarkEnd w:id="98"/>
      <w:bookmarkEnd w:id="99"/>
      <w:bookmarkEnd w:id="100"/>
      <w:r>
        <w:rPr>
          <w:rFonts w:eastAsia="宋体"/>
          <w:color w:val="auto"/>
          <w:sz w:val="24"/>
          <w:highlight w:val="none"/>
        </w:rPr>
        <w:t>、联合体</w:t>
      </w:r>
    </w:p>
    <w:p w14:paraId="4ABC0080">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采购人、采购代理机构：指依法进行政府采购的国家机关、事业单位、团体组织，及其委托的采购代理机构。本项目采购人、采购代理机构见第一章《采购邀请》。</w:t>
      </w:r>
    </w:p>
    <w:p w14:paraId="745A5831">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供应商（也称“申请人”）：指向采购人提供货物、工程或者服务的法人、其他组织或者自然人。</w:t>
      </w:r>
    </w:p>
    <w:p w14:paraId="1B7EA956">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联合体：指两个以上的自然人、法人或者其他组织组成一个联合体，以一个供应商的身份共同参加政府采购。</w:t>
      </w:r>
    </w:p>
    <w:p w14:paraId="4EB0F127">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bookmarkStart w:id="101" w:name="_Toc150774620"/>
      <w:bookmarkStart w:id="102" w:name="_Toc226965793"/>
      <w:bookmarkStart w:id="103" w:name="_Toc164608789"/>
      <w:bookmarkStart w:id="104" w:name="_Toc151193908"/>
      <w:bookmarkStart w:id="105" w:name="_Toc264969210"/>
      <w:bookmarkStart w:id="106" w:name="_Toc164608634"/>
      <w:bookmarkStart w:id="107" w:name="_Toc151190147"/>
      <w:bookmarkStart w:id="108" w:name="_Toc127151520"/>
      <w:bookmarkStart w:id="109" w:name="_Toc149720813"/>
      <w:bookmarkStart w:id="110" w:name="_Toc150480758"/>
      <w:bookmarkStart w:id="111" w:name="_Toc164351614"/>
      <w:bookmarkStart w:id="112" w:name="_Toc127151721"/>
      <w:bookmarkStart w:id="113" w:name="_Toc151193834"/>
      <w:bookmarkStart w:id="114" w:name="_Toc151193618"/>
      <w:bookmarkStart w:id="115" w:name="_Toc151193762"/>
      <w:bookmarkStart w:id="116" w:name="_Toc305158788"/>
      <w:bookmarkStart w:id="117" w:name="_Toc164229215"/>
      <w:bookmarkStart w:id="118" w:name="_Toc127161434"/>
      <w:bookmarkStart w:id="119" w:name="_Toc226309764"/>
      <w:bookmarkStart w:id="120" w:name="_Toc195842885"/>
      <w:bookmarkStart w:id="121" w:name="_Toc164229361"/>
      <w:bookmarkStart w:id="122" w:name="_Toc142311022"/>
      <w:bookmarkStart w:id="123" w:name="_Toc305158862"/>
      <w:bookmarkStart w:id="124" w:name="_Toc150774725"/>
      <w:bookmarkStart w:id="125" w:name="_Toc265228358"/>
      <w:bookmarkStart w:id="126" w:name="_Toc151193690"/>
      <w:bookmarkStart w:id="127" w:name="_Toc226965710"/>
      <w:bookmarkStart w:id="128" w:name="_Toc226337216"/>
      <w:bookmarkStart w:id="129" w:name="_Toc150509271"/>
      <w:r>
        <w:rPr>
          <w:rFonts w:eastAsia="宋体"/>
          <w:color w:val="auto"/>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宋体"/>
          <w:color w:val="auto"/>
          <w:sz w:val="24"/>
          <w:highlight w:val="none"/>
        </w:rPr>
        <w:t>、项目属性、科研仪器设备采购</w:t>
      </w:r>
    </w:p>
    <w:p w14:paraId="38AC6368">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资金来源为财政性资金和/或本项目采购中无法与财政性资金分割的非财政性资金。</w:t>
      </w:r>
    </w:p>
    <w:p w14:paraId="51047C07">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项目属性见《供应商须知资料表》。</w:t>
      </w:r>
    </w:p>
    <w:p w14:paraId="7F6C81FB">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是否属于科研仪器设备采购见《供应商须知资料表》。</w:t>
      </w:r>
    </w:p>
    <w:p w14:paraId="5A78E694">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现场考察、磋商前答疑会</w:t>
      </w:r>
    </w:p>
    <w:p w14:paraId="0426DB56">
      <w:pPr>
        <w:numPr>
          <w:ilvl w:val="1"/>
          <w:numId w:val="9"/>
        </w:numPr>
        <w:shd w:val="clear"/>
        <w:tabs>
          <w:tab w:val="left" w:pos="1080"/>
          <w:tab w:val="left" w:pos="2014"/>
        </w:tabs>
        <w:snapToGrid w:val="0"/>
        <w:spacing w:line="360" w:lineRule="auto"/>
        <w:ind w:left="1080" w:hanging="720"/>
        <w:rPr>
          <w:rFonts w:eastAsia="宋体"/>
          <w:color w:val="auto"/>
          <w:sz w:val="28"/>
          <w:highlight w:val="none"/>
        </w:rPr>
      </w:pPr>
      <w:r>
        <w:rPr>
          <w:rFonts w:eastAsia="宋体"/>
          <w:color w:val="auto"/>
          <w:sz w:val="24"/>
          <w:highlight w:val="none"/>
        </w:rPr>
        <w:t>若《供应商须知资料表》中规定了组织现场考察、召开磋商前答疑会，则供应商应按要求在规定的时间和地点参加。</w:t>
      </w:r>
      <w:bookmarkStart w:id="130" w:name="_Toc305158864"/>
      <w:bookmarkStart w:id="131" w:name="_Toc264969212"/>
      <w:bookmarkStart w:id="132" w:name="_Toc226337218"/>
      <w:bookmarkStart w:id="133" w:name="_Toc151193910"/>
      <w:bookmarkStart w:id="134" w:name="_Toc150480760"/>
      <w:bookmarkStart w:id="135" w:name="_Toc142311024"/>
      <w:bookmarkStart w:id="136" w:name="_Toc150774622"/>
      <w:bookmarkStart w:id="137" w:name="_Toc265228360"/>
      <w:bookmarkStart w:id="138" w:name="_Toc151193620"/>
      <w:bookmarkStart w:id="139" w:name="_Toc195842887"/>
      <w:bookmarkStart w:id="140" w:name="_Toc226965712"/>
      <w:bookmarkStart w:id="141" w:name="_Toc151193764"/>
      <w:bookmarkStart w:id="142" w:name="_Toc305158790"/>
      <w:bookmarkStart w:id="143" w:name="_Toc151193836"/>
      <w:bookmarkStart w:id="144" w:name="_Toc520356146"/>
      <w:bookmarkStart w:id="145" w:name="_Toc150509273"/>
      <w:bookmarkStart w:id="146" w:name="_Toc226309766"/>
      <w:bookmarkStart w:id="147" w:name="_Toc151193692"/>
      <w:bookmarkStart w:id="148" w:name="_Toc127151522"/>
      <w:bookmarkStart w:id="149" w:name="_Toc150774727"/>
      <w:bookmarkStart w:id="150" w:name="_Toc226965795"/>
      <w:bookmarkStart w:id="151" w:name="_Toc151190149"/>
    </w:p>
    <w:p w14:paraId="68BFE788">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523D3FC0">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r>
        <w:rPr>
          <w:rFonts w:eastAsia="宋体"/>
          <w:color w:val="auto"/>
          <w:sz w:val="24"/>
          <w:highlight w:val="none"/>
        </w:rPr>
        <w:t>政府采购政策（包括但不限于下列具体政策要求）</w:t>
      </w:r>
    </w:p>
    <w:p w14:paraId="52AC7E53">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进口产品</w:t>
      </w:r>
    </w:p>
    <w:p w14:paraId="6215A273">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9412C1">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本项目是否接受进口产品见第四章《采购需求》。</w:t>
      </w:r>
    </w:p>
    <w:p w14:paraId="22AE09E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中小企业、监狱企业及残疾人福利性单位</w:t>
      </w:r>
    </w:p>
    <w:p w14:paraId="1B0674C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中小企业定义：</w:t>
      </w:r>
    </w:p>
    <w:p w14:paraId="48F91F04">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1592D824">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752907EF">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6DDB5443">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4B927546">
      <w:pPr>
        <w:pStyle w:val="125"/>
        <w:numPr>
          <w:ilvl w:val="1"/>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38685F19">
      <w:pPr>
        <w:pStyle w:val="125"/>
        <w:numPr>
          <w:ilvl w:val="1"/>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5051491F">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188B23AD">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60EFAD0">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供应商提供的货物、工程或者服务符合下列情形的，享受中小企业扶持政策：</w:t>
      </w:r>
    </w:p>
    <w:p w14:paraId="204C7911">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（1）在货物采购项目中，货物由中小企业制造，即货物由中小企业生产且使用该中小企业商号或者注册商标；</w:t>
      </w:r>
    </w:p>
    <w:p w14:paraId="17D8FC07">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（2）在工程采购项目中，工程由中小企业承建，即工程施工单位为中小企业；</w:t>
      </w:r>
    </w:p>
    <w:p w14:paraId="40D48C50">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（3）在服务采购项目中，服务由中小企业承接，即提供服务的人员为中小企业依照《中华人民共和国劳动合同法》订立劳动合同的从业人员。</w:t>
      </w:r>
    </w:p>
    <w:p w14:paraId="40D54005">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在货物采购项目中，供应商提供的货物既有中小企业制造货物，也有大型企业制造货物的，不享受中小企业扶持政策。</w:t>
      </w:r>
    </w:p>
    <w:p w14:paraId="1BF6F93B">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以联合体形式参加政府采购活动，联合体各方均为中小企业的，联合体视同中小企业。其中，联合体各方均为小微企业的，联合体视同小微企业。</w:t>
      </w:r>
    </w:p>
    <w:p w14:paraId="086DE40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A284F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残疾人福利单位定义：享受政府采购支持政策的残疾人福利性单位应当同时满足以下条件：</w:t>
      </w:r>
    </w:p>
    <w:p w14:paraId="1E121886">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06741E5A">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2951FBA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安置的残疾人占本单位在职职工人数的比例不低于25%（含25%），并且安置的残疾人人数不少于10 人（含10 人）；</w:t>
      </w:r>
    </w:p>
    <w:p w14:paraId="43081DA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依法与安置的每位残疾人签订了一年以上（含一年）的劳动合同或服务协议；</w:t>
      </w:r>
    </w:p>
    <w:p w14:paraId="140CA16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为安置的每位残疾人按月足额缴纳了基本养老保险、基本医疗保险、失业保险、工伤保险和生育保险等社会保险费；</w:t>
      </w:r>
    </w:p>
    <w:p w14:paraId="32C7539B">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通过银行等金融机构向安置的每位残疾人，按月支付了不低于单位所在区县适用的经省级人民政府批准的月最低工资标准的工资；</w:t>
      </w:r>
    </w:p>
    <w:p w14:paraId="42B9AE7E">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提供本单位制造的货物、承担的工程或者服务（以下简称产品），或者提供其他残疾人福利性单位制造的货物（不包括使用非残疾人福利性单位注册商标的货物）；</w:t>
      </w:r>
    </w:p>
    <w:p w14:paraId="42305194">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4A4380">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本项目是否专门面向中小企业预留采购份额见第一章《采购邀请》。</w:t>
      </w:r>
    </w:p>
    <w:p w14:paraId="5B10804A">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采购标的对应的中小企业划分标准所属行业见《供应商须知资料表》。</w:t>
      </w:r>
    </w:p>
    <w:p w14:paraId="450795B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小微企业价格评审优惠的政策调整：见第三章《评审方法和评审标准》。</w:t>
      </w:r>
    </w:p>
    <w:p w14:paraId="64D5979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政府采购节能产品、环境标志产品</w:t>
      </w:r>
    </w:p>
    <w:p w14:paraId="0364F3D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0A655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4B3A1F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w:t>
      </w:r>
    </w:p>
    <w:p w14:paraId="6EB4F12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非政府强制采购的节能产品或环境标志产品，依据品目清单和认证证书实施政府优先采购。优先采购的具体规定见第三章《评审方法和评审标准》（如涉及）。</w:t>
      </w:r>
    </w:p>
    <w:p w14:paraId="1B3E755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支持乡村产业振兴管理</w:t>
      </w:r>
    </w:p>
    <w:p w14:paraId="21D9AD64">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79A2E301">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正版软件</w:t>
      </w:r>
    </w:p>
    <w:p w14:paraId="48617C9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44AEBC1">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E55C017">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信息安全产品</w:t>
      </w:r>
    </w:p>
    <w:p w14:paraId="6576E267">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所投产品属于《关于调整信息安全产品强制性认证实施要求的公告》（2009 年第33 号）范围的，采购经国家认证的信息安全产品，</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。关于信息安全相关规定依据《关于信息安全产品实施政府采购的通知》（财库〔2010〕48 号）。</w:t>
      </w:r>
    </w:p>
    <w:p w14:paraId="17A57814">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推广使用低挥发性有机化合物（VOCs）</w:t>
      </w:r>
    </w:p>
    <w:p w14:paraId="570EEA3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；属于推荐性标准的，优先采购，具体见第三章《评审方法和评审标准》。</w:t>
      </w:r>
    </w:p>
    <w:p w14:paraId="7EDF61CE">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响应费用</w:t>
      </w:r>
    </w:p>
    <w:p w14:paraId="066A59BC">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供应商应自行承担所有与准备和参加磋商有关的费用，无论磋商的结果如何，采购人或采购代理机构在任何情况下均无承担这些费用的义务和责任。</w:t>
      </w:r>
    </w:p>
    <w:p w14:paraId="306E52F6">
      <w:pPr>
        <w:shd w:val="clear"/>
        <w:tabs>
          <w:tab w:val="left" w:pos="1080"/>
        </w:tabs>
        <w:snapToGrid w:val="0"/>
        <w:spacing w:line="360" w:lineRule="auto"/>
        <w:ind w:left="1080"/>
        <w:rPr>
          <w:rFonts w:eastAsia="宋体"/>
          <w:color w:val="auto"/>
          <w:sz w:val="28"/>
          <w:highlight w:val="none"/>
        </w:rPr>
      </w:pPr>
      <w:bookmarkStart w:id="152" w:name="_1.8_计量单位"/>
      <w:bookmarkEnd w:id="152"/>
    </w:p>
    <w:p w14:paraId="71EC82ED">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64D4685">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153" w:name="_Toc127161437"/>
      <w:bookmarkStart w:id="154" w:name="_Toc127151523"/>
      <w:bookmarkStart w:id="155" w:name="_Toc150480761"/>
      <w:bookmarkStart w:id="156" w:name="_Toc151193911"/>
      <w:bookmarkStart w:id="157" w:name="_Toc151193837"/>
      <w:bookmarkStart w:id="158" w:name="_Toc150774623"/>
      <w:bookmarkStart w:id="159" w:name="_Toc164351617"/>
      <w:bookmarkStart w:id="160" w:name="_Toc226965713"/>
      <w:bookmarkStart w:id="161" w:name="_Toc226965796"/>
      <w:bookmarkStart w:id="162" w:name="_Toc164229364"/>
      <w:bookmarkStart w:id="163" w:name="_Toc151193621"/>
      <w:bookmarkStart w:id="164" w:name="_Toc226337219"/>
      <w:bookmarkStart w:id="165" w:name="_Toc150509274"/>
      <w:bookmarkStart w:id="166" w:name="_Toc226309767"/>
      <w:bookmarkStart w:id="167" w:name="_Toc520356147"/>
      <w:bookmarkStart w:id="168" w:name="_Toc305158865"/>
      <w:bookmarkStart w:id="169" w:name="_Toc164229218"/>
      <w:bookmarkStart w:id="170" w:name="_Toc127151724"/>
      <w:bookmarkStart w:id="171" w:name="_Toc149720816"/>
      <w:bookmarkStart w:id="172" w:name="_Toc265228361"/>
      <w:bookmarkStart w:id="173" w:name="_Toc151193765"/>
      <w:bookmarkStart w:id="174" w:name="_Toc150774728"/>
      <w:bookmarkStart w:id="175" w:name="_Toc164608792"/>
      <w:bookmarkStart w:id="176" w:name="_Toc305158791"/>
      <w:bookmarkStart w:id="177" w:name="_Toc164608637"/>
      <w:bookmarkStart w:id="178" w:name="_Toc195842888"/>
      <w:bookmarkStart w:id="179" w:name="_Toc151190150"/>
      <w:bookmarkStart w:id="180" w:name="_Toc264969213"/>
      <w:bookmarkStart w:id="181" w:name="_Toc151193693"/>
      <w:bookmarkStart w:id="182" w:name="_Toc142311025"/>
      <w:r>
        <w:rPr>
          <w:rFonts w:eastAsia="宋体"/>
          <w:color w:val="auto"/>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宋体"/>
          <w:color w:val="auto"/>
          <w:sz w:val="24"/>
          <w:highlight w:val="none"/>
        </w:rPr>
        <w:t>成</w:t>
      </w:r>
    </w:p>
    <w:p w14:paraId="6B3BEAD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竞争性磋商文件包括以下部分：</w:t>
      </w:r>
    </w:p>
    <w:p w14:paraId="294FB3FF">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采购邀请</w:t>
      </w:r>
    </w:p>
    <w:p w14:paraId="4F4656B5">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供应商须知</w:t>
      </w:r>
    </w:p>
    <w:p w14:paraId="4E453D90">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评审方法和评审标准</w:t>
      </w:r>
    </w:p>
    <w:p w14:paraId="2F9C6F2E">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采购需求</w:t>
      </w:r>
    </w:p>
    <w:p w14:paraId="48B7259C">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合同草案条款</w:t>
      </w:r>
    </w:p>
    <w:p w14:paraId="50D01295">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响应文件格式</w:t>
      </w:r>
    </w:p>
    <w:p w14:paraId="74B08E8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宋体"/>
          <w:b/>
          <w:color w:val="auto"/>
          <w:sz w:val="24"/>
          <w:highlight w:val="none"/>
        </w:rPr>
        <w:t>响应无效</w:t>
      </w:r>
      <w:r>
        <w:rPr>
          <w:rFonts w:eastAsia="宋体"/>
          <w:color w:val="auto"/>
          <w:sz w:val="24"/>
          <w:highlight w:val="none"/>
        </w:rPr>
        <w:t>。</w:t>
      </w:r>
    </w:p>
    <w:p w14:paraId="12721986">
      <w:pPr>
        <w:numPr>
          <w:ilvl w:val="0"/>
          <w:numId w:val="9"/>
        </w:numPr>
        <w:shd w:val="clear"/>
        <w:tabs>
          <w:tab w:val="left" w:pos="1080"/>
          <w:tab w:val="left" w:pos="2014"/>
        </w:tabs>
        <w:snapToGrid w:val="0"/>
        <w:spacing w:line="360" w:lineRule="auto"/>
        <w:ind w:left="357" w:hanging="357"/>
        <w:outlineLvl w:val="1"/>
        <w:rPr>
          <w:rFonts w:eastAsia="宋体"/>
          <w:color w:val="auto"/>
          <w:sz w:val="24"/>
          <w:highlight w:val="none"/>
        </w:rPr>
      </w:pPr>
      <w:r>
        <w:rPr>
          <w:rFonts w:eastAsia="宋体"/>
          <w:color w:val="auto"/>
          <w:sz w:val="24"/>
          <w:highlight w:val="none"/>
        </w:rPr>
        <w:t>对竞争性磋商文件的澄清或修改</w:t>
      </w:r>
    </w:p>
    <w:p w14:paraId="6EDC9FAE">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采购人或采购代理机构对已发出的竞争性磋商文件进行必要澄清或者修改的，</w:t>
      </w:r>
      <w:r>
        <w:rPr>
          <w:rFonts w:hint="eastAsia" w:eastAsia="宋体"/>
          <w:color w:val="auto"/>
          <w:sz w:val="24"/>
          <w:highlight w:val="none"/>
        </w:rPr>
        <w:t>将</w:t>
      </w:r>
      <w:r>
        <w:rPr>
          <w:rFonts w:eastAsia="宋体"/>
          <w:color w:val="auto"/>
          <w:sz w:val="24"/>
          <w:highlight w:val="none"/>
        </w:rPr>
        <w:t>以书面形式通知所有获取竞争性磋商文件的潜在供应商。</w:t>
      </w:r>
      <w:r>
        <w:rPr>
          <w:rFonts w:hint="eastAsia" w:eastAsia="宋体"/>
          <w:color w:val="auto"/>
          <w:sz w:val="24"/>
          <w:highlight w:val="none"/>
        </w:rPr>
        <w:t>采用公告方式邀请供应商参与的，还将</w:t>
      </w:r>
      <w:r>
        <w:rPr>
          <w:rFonts w:eastAsia="宋体"/>
          <w:color w:val="auto"/>
          <w:sz w:val="24"/>
          <w:highlight w:val="none"/>
        </w:rPr>
        <w:t>在原公告发布媒体上发布更正公告</w:t>
      </w:r>
      <w:r>
        <w:rPr>
          <w:rFonts w:hint="eastAsia" w:eastAsia="宋体"/>
          <w:color w:val="auto"/>
          <w:sz w:val="24"/>
          <w:highlight w:val="none"/>
        </w:rPr>
        <w:t>。</w:t>
      </w:r>
    </w:p>
    <w:p w14:paraId="01DB6541">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0D5B14C5">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4E8BB2C">
      <w:pPr>
        <w:shd w:val="clear"/>
        <w:tabs>
          <w:tab w:val="left" w:pos="1080"/>
          <w:tab w:val="left" w:pos="1561"/>
        </w:tabs>
        <w:snapToGrid w:val="0"/>
        <w:spacing w:line="360" w:lineRule="auto"/>
        <w:ind w:left="1080"/>
        <w:rPr>
          <w:rFonts w:eastAsia="宋体"/>
          <w:color w:val="auto"/>
          <w:sz w:val="28"/>
          <w:highlight w:val="none"/>
        </w:rPr>
      </w:pPr>
      <w:bookmarkStart w:id="183" w:name="_Toc516367020"/>
      <w:bookmarkStart w:id="184" w:name="_Toc520356150"/>
      <w:bookmarkStart w:id="185" w:name="_Toc142311028"/>
      <w:bookmarkStart w:id="186" w:name="_Toc264969216"/>
      <w:bookmarkStart w:id="187" w:name="_Toc150509277"/>
      <w:bookmarkStart w:id="188" w:name="_Toc150480764"/>
      <w:bookmarkStart w:id="189" w:name="_Toc151193624"/>
      <w:bookmarkStart w:id="190" w:name="_Toc127151526"/>
      <w:bookmarkStart w:id="191" w:name="_Toc226337222"/>
      <w:bookmarkStart w:id="192" w:name="_Toc151193840"/>
      <w:bookmarkStart w:id="193" w:name="_Toc150774731"/>
      <w:bookmarkStart w:id="194" w:name="_Toc305158794"/>
      <w:bookmarkStart w:id="195" w:name="_Toc195842891"/>
      <w:bookmarkStart w:id="196" w:name="_Toc305158868"/>
      <w:bookmarkStart w:id="197" w:name="_Toc226965799"/>
      <w:bookmarkStart w:id="198" w:name="_Toc265228364"/>
      <w:bookmarkStart w:id="199" w:name="_Toc150774626"/>
      <w:bookmarkStart w:id="200" w:name="_Toc151193768"/>
      <w:bookmarkStart w:id="201" w:name="_Toc151190153"/>
      <w:bookmarkStart w:id="202" w:name="_Toc151193914"/>
      <w:bookmarkStart w:id="203" w:name="_Toc151193696"/>
      <w:bookmarkStart w:id="204" w:name="_Toc226965716"/>
      <w:bookmarkStart w:id="205" w:name="_Toc226309770"/>
    </w:p>
    <w:p w14:paraId="1EFC8E80">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83"/>
      <w:r>
        <w:rPr>
          <w:rFonts w:ascii="Times New Roman" w:hAnsi="Times New Roman" w:eastAsia="宋体"/>
          <w:color w:val="auto"/>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9AA3B64">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06" w:name="_Toc127161441"/>
      <w:bookmarkStart w:id="207" w:name="_Toc195842892"/>
      <w:bookmarkStart w:id="208" w:name="_Toc164351621"/>
      <w:bookmarkStart w:id="209" w:name="_Toc150480765"/>
      <w:bookmarkStart w:id="210" w:name="_Toc151190154"/>
      <w:bookmarkStart w:id="211" w:name="_Toc226965717"/>
      <w:bookmarkStart w:id="212" w:name="_Toc151193625"/>
      <w:bookmarkStart w:id="213" w:name="_Toc516367021"/>
      <w:bookmarkStart w:id="214" w:name="_Toc226337223"/>
      <w:bookmarkStart w:id="215" w:name="_Toc264969217"/>
      <w:bookmarkStart w:id="216" w:name="_Toc305158795"/>
      <w:bookmarkStart w:id="217" w:name="_Toc127151728"/>
      <w:bookmarkStart w:id="218" w:name="_Toc226965800"/>
      <w:bookmarkStart w:id="219" w:name="_Toc164229368"/>
      <w:bookmarkStart w:id="220" w:name="_Toc151193769"/>
      <w:bookmarkStart w:id="221" w:name="_Toc149720820"/>
      <w:bookmarkStart w:id="222" w:name="_Toc520356151"/>
      <w:bookmarkStart w:id="223" w:name="_Toc142311029"/>
      <w:bookmarkStart w:id="224" w:name="_Toc150509278"/>
      <w:bookmarkStart w:id="225" w:name="_Toc164229222"/>
      <w:bookmarkStart w:id="226" w:name="_Toc265228365"/>
      <w:bookmarkStart w:id="227" w:name="_Toc151193697"/>
      <w:bookmarkStart w:id="228" w:name="_Toc151193841"/>
      <w:bookmarkStart w:id="229" w:name="_Toc150774627"/>
      <w:bookmarkStart w:id="230" w:name="_Toc164608796"/>
      <w:bookmarkStart w:id="231" w:name="_Toc150774732"/>
      <w:bookmarkStart w:id="232" w:name="_Toc226309771"/>
      <w:bookmarkStart w:id="233" w:name="_Toc164608641"/>
      <w:bookmarkStart w:id="234" w:name="_Toc127151527"/>
      <w:bookmarkStart w:id="235" w:name="_Toc305158869"/>
      <w:bookmarkStart w:id="236" w:name="_Toc151193915"/>
      <w:r>
        <w:rPr>
          <w:rFonts w:eastAsia="宋体"/>
          <w:color w:val="auto"/>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宋体"/>
          <w:color w:val="auto"/>
          <w:sz w:val="24"/>
          <w:highlight w:val="none"/>
        </w:rPr>
        <w:t>及磋商语言</w:t>
      </w:r>
    </w:p>
    <w:p w14:paraId="052A8D7A">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eastAsia="宋体"/>
          <w:b/>
          <w:color w:val="auto"/>
          <w:sz w:val="24"/>
          <w:highlight w:val="none"/>
        </w:rPr>
        <w:t>响应无效</w:t>
      </w:r>
      <w:r>
        <w:rPr>
          <w:rFonts w:eastAsia="宋体"/>
          <w:color w:val="auto"/>
          <w:sz w:val="24"/>
          <w:highlight w:val="none"/>
        </w:rPr>
        <w:t>。</w:t>
      </w:r>
    </w:p>
    <w:p w14:paraId="52459103">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除竞争性磋商文件有特殊要求外，本项目磋商所使用的计量单位，应采用中华人民共和国法定计量单位。</w:t>
      </w:r>
    </w:p>
    <w:p w14:paraId="0579983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1B5DCCE">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37" w:name="_Ref467306195"/>
      <w:bookmarkStart w:id="238" w:name="_Toc516367022"/>
      <w:bookmarkStart w:id="239" w:name="_Ref467306676"/>
      <w:bookmarkStart w:id="240" w:name="_Toc264969218"/>
      <w:bookmarkStart w:id="241" w:name="_Toc164351622"/>
      <w:bookmarkStart w:id="242" w:name="_Toc305158870"/>
      <w:bookmarkStart w:id="243" w:name="_Toc151190155"/>
      <w:bookmarkStart w:id="244" w:name="_Toc151193626"/>
      <w:bookmarkStart w:id="245" w:name="_Toc151193842"/>
      <w:bookmarkStart w:id="246" w:name="_Toc127161442"/>
      <w:bookmarkStart w:id="247" w:name="_Toc150509279"/>
      <w:bookmarkStart w:id="248" w:name="_Toc150774628"/>
      <w:bookmarkStart w:id="249" w:name="_Toc142311030"/>
      <w:bookmarkStart w:id="250" w:name="_Toc150774733"/>
      <w:bookmarkStart w:id="251" w:name="_Toc150480766"/>
      <w:bookmarkStart w:id="252" w:name="_Toc226965718"/>
      <w:bookmarkStart w:id="253" w:name="_Toc164608797"/>
      <w:bookmarkStart w:id="254" w:name="_Toc151193916"/>
      <w:bookmarkStart w:id="255" w:name="_Toc195842893"/>
      <w:bookmarkStart w:id="256" w:name="_Toc265228366"/>
      <w:bookmarkStart w:id="257" w:name="_Toc226309772"/>
      <w:bookmarkStart w:id="258" w:name="_Toc305158796"/>
      <w:bookmarkStart w:id="259" w:name="_Toc520356152"/>
      <w:bookmarkStart w:id="260" w:name="_Toc164229223"/>
      <w:bookmarkStart w:id="261" w:name="_Toc226965801"/>
      <w:bookmarkStart w:id="262" w:name="_Toc127151528"/>
      <w:bookmarkStart w:id="263" w:name="_Toc164608642"/>
      <w:bookmarkStart w:id="264" w:name="_Toc151193770"/>
      <w:bookmarkStart w:id="265" w:name="_Toc164229369"/>
      <w:bookmarkStart w:id="266" w:name="_Toc226337224"/>
      <w:bookmarkStart w:id="267" w:name="_Toc151193698"/>
      <w:bookmarkStart w:id="268" w:name="_Toc127151729"/>
      <w:bookmarkStart w:id="269" w:name="_Toc149720821"/>
      <w:r>
        <w:rPr>
          <w:rFonts w:eastAsia="宋体"/>
          <w:color w:val="auto"/>
          <w:sz w:val="24"/>
          <w:highlight w:val="none"/>
        </w:rPr>
        <w:t>响应文件</w:t>
      </w:r>
      <w:bookmarkEnd w:id="237"/>
      <w:bookmarkEnd w:id="238"/>
      <w:bookmarkEnd w:id="239"/>
      <w:r>
        <w:rPr>
          <w:rFonts w:eastAsia="宋体"/>
          <w:color w:val="auto"/>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0A0B4D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270" w:name="_Ref467052588"/>
      <w:r>
        <w:rPr>
          <w:rFonts w:eastAsia="宋体"/>
          <w:color w:val="auto"/>
          <w:sz w:val="24"/>
          <w:highlight w:val="none"/>
        </w:rPr>
        <w:t>供应商应当按照竞争性磋商文件的要求编制响应文件，</w:t>
      </w:r>
      <w:r>
        <w:rPr>
          <w:rFonts w:eastAsia="宋体"/>
          <w:color w:val="auto"/>
          <w:kern w:val="0"/>
          <w:sz w:val="24"/>
          <w:highlight w:val="none"/>
        </w:rPr>
        <w:t>并对其提交的响应文件的真实性、合法性承担法律责任</w:t>
      </w:r>
      <w:r>
        <w:rPr>
          <w:rFonts w:eastAsia="宋体"/>
          <w:color w:val="auto"/>
          <w:sz w:val="24"/>
          <w:highlight w:val="none"/>
        </w:rPr>
        <w:t>。响应文件的部分格式要求，见第六章《响应文件格式》。</w:t>
      </w:r>
    </w:p>
    <w:p w14:paraId="7A87C0B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kern w:val="0"/>
          <w:sz w:val="24"/>
          <w:highlight w:val="none"/>
        </w:rPr>
        <w:t>对于竞争性磋商文件中标记了“实质性格式”文件的，</w:t>
      </w:r>
      <w:r>
        <w:rPr>
          <w:rFonts w:eastAsia="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color w:val="auto"/>
          <w:kern w:val="0"/>
          <w:sz w:val="24"/>
          <w:highlight w:val="none"/>
        </w:rPr>
        <w:t>否则响应无效</w:t>
      </w:r>
      <w:r>
        <w:rPr>
          <w:rFonts w:eastAsia="宋体"/>
          <w:color w:val="auto"/>
          <w:kern w:val="0"/>
          <w:sz w:val="24"/>
          <w:highlight w:val="none"/>
        </w:rPr>
        <w:t>。未标记“实质性格式”的文件和竞争性磋商文件未提供格式的内容，可由供应商自行编写。</w:t>
      </w:r>
    </w:p>
    <w:p w14:paraId="21787AD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第三章《评审方法和评审标准》中涉及的证明文件。</w:t>
      </w:r>
    </w:p>
    <w:p w14:paraId="21C0FF6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BB2739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供应商认为应附的其他材料。</w:t>
      </w:r>
      <w:bookmarkEnd w:id="270"/>
    </w:p>
    <w:p w14:paraId="4C85835F">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71" w:name="_Toc151193700"/>
      <w:bookmarkStart w:id="272" w:name="_Toc164608799"/>
      <w:bookmarkStart w:id="273" w:name="_Toc127151530"/>
      <w:bookmarkStart w:id="274" w:name="_Toc142311032"/>
      <w:bookmarkStart w:id="275" w:name="_Toc150774735"/>
      <w:bookmarkStart w:id="276" w:name="_Toc151193918"/>
      <w:bookmarkStart w:id="277" w:name="_Toc149720823"/>
      <w:bookmarkStart w:id="278" w:name="_Toc127151731"/>
      <w:bookmarkStart w:id="279" w:name="_Toc164351624"/>
      <w:bookmarkStart w:id="280" w:name="_Toc195842895"/>
      <w:bookmarkStart w:id="281" w:name="_Toc520356155"/>
      <w:bookmarkStart w:id="282" w:name="_Toc150774630"/>
      <w:bookmarkStart w:id="283" w:name="_Toc151193628"/>
      <w:bookmarkStart w:id="284" w:name="_Toc127161444"/>
      <w:bookmarkStart w:id="285" w:name="_Toc164229225"/>
      <w:bookmarkStart w:id="286" w:name="_Toc164608644"/>
      <w:bookmarkStart w:id="287" w:name="_Toc150509281"/>
      <w:bookmarkStart w:id="288" w:name="_Toc164229371"/>
      <w:bookmarkStart w:id="289" w:name="_Toc151193844"/>
      <w:bookmarkStart w:id="290" w:name="_Toc150480768"/>
      <w:bookmarkStart w:id="291" w:name="_Toc151193772"/>
      <w:bookmarkStart w:id="292" w:name="_Toc151190157"/>
      <w:r>
        <w:rPr>
          <w:rFonts w:eastAsia="宋体"/>
          <w:color w:val="auto"/>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0CC46BE">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所有响应均以人民币报价。</w:t>
      </w:r>
    </w:p>
    <w:p w14:paraId="6A426301">
      <w:pPr>
        <w:numPr>
          <w:ilvl w:val="1"/>
          <w:numId w:val="9"/>
        </w:numPr>
        <w:shd w:val="clear"/>
        <w:tabs>
          <w:tab w:val="left" w:pos="1080"/>
        </w:tabs>
        <w:snapToGrid w:val="0"/>
        <w:spacing w:line="360" w:lineRule="auto"/>
        <w:rPr>
          <w:rFonts w:eastAsia="宋体"/>
          <w:color w:val="auto"/>
          <w:sz w:val="24"/>
          <w:highlight w:val="none"/>
        </w:rPr>
      </w:pPr>
      <w:r>
        <w:rPr>
          <w:rFonts w:eastAsia="宋体"/>
          <w:color w:val="auto"/>
          <w:sz w:val="24"/>
          <w:highlight w:val="none"/>
        </w:rPr>
        <w:t>供应商的报价应包括为完成本项目所发生的一切费用和税费，采购人将不再支付报价以外的任何费用。</w:t>
      </w:r>
      <w:r>
        <w:rPr>
          <w:rFonts w:hint="eastAsia" w:eastAsia="宋体"/>
          <w:color w:val="auto"/>
          <w:sz w:val="24"/>
          <w:highlight w:val="none"/>
        </w:rPr>
        <w:t>供应商的报价应包括但不限于下列内容，《供应商须知资料表》中有特殊规定的，从其规定。</w:t>
      </w:r>
    </w:p>
    <w:p w14:paraId="5765A178">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84B1080">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按照竞争性磋商文件要求完成本项</w:t>
      </w:r>
      <w:r>
        <w:rPr>
          <w:rFonts w:hint="eastAsia" w:eastAsia="宋体"/>
          <w:color w:val="auto"/>
          <w:sz w:val="24"/>
          <w:highlight w:val="none"/>
        </w:rPr>
        <w:t>目的全部相关工程或服务费用。</w:t>
      </w:r>
    </w:p>
    <w:p w14:paraId="70CA098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采购人不得向供应商索要或者接受其给予的赠品、回扣或者与采购无关的其他商品、服务。</w:t>
      </w:r>
    </w:p>
    <w:p w14:paraId="2902715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供应商不能提供任何有选择性或可调整的最后报价（</w:t>
      </w:r>
      <w:r>
        <w:rPr>
          <w:rFonts w:eastAsia="宋体"/>
          <w:color w:val="auto"/>
          <w:kern w:val="0"/>
          <w:sz w:val="24"/>
          <w:highlight w:val="none"/>
        </w:rPr>
        <w:t>竞争性磋商文件</w:t>
      </w:r>
      <w:r>
        <w:rPr>
          <w:rFonts w:eastAsia="宋体"/>
          <w:color w:val="auto"/>
          <w:sz w:val="24"/>
          <w:highlight w:val="none"/>
        </w:rPr>
        <w:t>另有规定的除外），否则其</w:t>
      </w:r>
      <w:r>
        <w:rPr>
          <w:rFonts w:eastAsia="宋体"/>
          <w:b/>
          <w:color w:val="auto"/>
          <w:sz w:val="24"/>
          <w:highlight w:val="none"/>
        </w:rPr>
        <w:t>响应无效</w:t>
      </w:r>
      <w:r>
        <w:rPr>
          <w:rFonts w:eastAsia="宋体"/>
          <w:color w:val="auto"/>
          <w:sz w:val="24"/>
          <w:highlight w:val="none"/>
        </w:rPr>
        <w:t>。</w:t>
      </w:r>
    </w:p>
    <w:p w14:paraId="151956CA">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磋商保证金</w:t>
      </w:r>
    </w:p>
    <w:p w14:paraId="7F94C90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293" w:name="_Ref467306302"/>
      <w:r>
        <w:rPr>
          <w:rFonts w:eastAsia="宋体"/>
          <w:color w:val="auto"/>
          <w:sz w:val="24"/>
          <w:highlight w:val="none"/>
        </w:rPr>
        <w:t>供应商应按《供应商须知资料表》中规定的金额及要求交纳磋商保证金</w:t>
      </w:r>
      <w:bookmarkEnd w:id="293"/>
      <w:r>
        <w:rPr>
          <w:rFonts w:eastAsia="宋体"/>
          <w:color w:val="auto"/>
          <w:sz w:val="24"/>
          <w:highlight w:val="none"/>
        </w:rPr>
        <w:t>，并作为其响应文件的一部分。</w:t>
      </w:r>
    </w:p>
    <w:p w14:paraId="2C879A3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交纳磋商保证金可采用的形式：政府采购法律法规接受的支票、汇票、本票、网上银行支付或者金融机构、担保机构出具的保函等非现金形式。</w:t>
      </w:r>
    </w:p>
    <w:p w14:paraId="23FA34A0">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磋商保证金到账（保函提交）截止时间同首次响应文件提交截止时间。以支票、汇票、本票、</w:t>
      </w:r>
      <w:r>
        <w:rPr>
          <w:color w:val="auto"/>
          <w:sz w:val="24"/>
          <w:highlight w:val="none"/>
        </w:rPr>
        <w:t>网上银行支付</w:t>
      </w:r>
      <w:r>
        <w:rPr>
          <w:rFonts w:eastAsia="宋体"/>
          <w:color w:val="auto"/>
          <w:sz w:val="24"/>
          <w:highlight w:val="none"/>
        </w:rPr>
        <w:t>等形式提交磋商保证金的，应在首次响应文件提交截止时间前</w:t>
      </w:r>
      <w:r>
        <w:rPr>
          <w:rFonts w:hint="eastAsia" w:eastAsia="宋体"/>
          <w:color w:val="auto"/>
          <w:sz w:val="24"/>
          <w:highlight w:val="none"/>
        </w:rPr>
        <w:t>到账</w:t>
      </w:r>
      <w:r>
        <w:rPr>
          <w:rFonts w:eastAsia="宋体"/>
          <w:color w:val="auto"/>
          <w:sz w:val="24"/>
          <w:highlight w:val="none"/>
        </w:rPr>
        <w:t>；</w:t>
      </w:r>
      <w:r>
        <w:rPr>
          <w:rFonts w:hint="eastAsia"/>
          <w:color w:val="auto"/>
          <w:sz w:val="24"/>
          <w:highlight w:val="none"/>
        </w:rPr>
        <w:t>以</w:t>
      </w:r>
      <w:r>
        <w:rPr>
          <w:color w:val="auto"/>
          <w:sz w:val="24"/>
          <w:highlight w:val="none"/>
        </w:rPr>
        <w:t>金融机构、担保机构出具的保函等形式提交</w:t>
      </w:r>
      <w:r>
        <w:rPr>
          <w:rFonts w:hint="eastAsia"/>
          <w:color w:val="auto"/>
          <w:sz w:val="24"/>
          <w:highlight w:val="none"/>
        </w:rPr>
        <w:t>磋商</w:t>
      </w:r>
      <w:r>
        <w:rPr>
          <w:color w:val="auto"/>
          <w:sz w:val="24"/>
          <w:highlight w:val="none"/>
        </w:rPr>
        <w:t>保证金的，应在</w:t>
      </w:r>
      <w:r>
        <w:rPr>
          <w:rFonts w:eastAsia="宋体"/>
          <w:color w:val="auto"/>
          <w:sz w:val="24"/>
          <w:highlight w:val="none"/>
        </w:rPr>
        <w:t>首次响应文件</w:t>
      </w:r>
      <w:r>
        <w:rPr>
          <w:rFonts w:hint="eastAsia" w:eastAsia="宋体"/>
          <w:color w:val="auto"/>
          <w:sz w:val="24"/>
          <w:highlight w:val="none"/>
        </w:rPr>
        <w:t>提交</w:t>
      </w:r>
      <w:r>
        <w:rPr>
          <w:color w:val="auto"/>
          <w:sz w:val="24"/>
          <w:highlight w:val="none"/>
        </w:rPr>
        <w:t>截止时间前</w:t>
      </w:r>
      <w:r>
        <w:rPr>
          <w:rFonts w:eastAsia="宋体"/>
          <w:color w:val="auto"/>
          <w:sz w:val="24"/>
          <w:highlight w:val="none"/>
        </w:rPr>
        <w:t>将原件提交至采购代理机构；由于</w:t>
      </w:r>
      <w:r>
        <w:rPr>
          <w:rFonts w:hint="eastAsia"/>
          <w:color w:val="auto"/>
          <w:sz w:val="24"/>
          <w:highlight w:val="none"/>
        </w:rPr>
        <w:t>到账时间</w:t>
      </w:r>
      <w:r>
        <w:rPr>
          <w:color w:val="auto"/>
          <w:sz w:val="24"/>
          <w:highlight w:val="none"/>
        </w:rPr>
        <w:t>晚于</w:t>
      </w:r>
      <w:r>
        <w:rPr>
          <w:rFonts w:eastAsia="宋体"/>
          <w:color w:val="auto"/>
          <w:sz w:val="24"/>
          <w:highlight w:val="none"/>
        </w:rPr>
        <w:t>首次响应文件提交</w:t>
      </w:r>
      <w:r>
        <w:rPr>
          <w:color w:val="auto"/>
          <w:sz w:val="24"/>
          <w:highlight w:val="none"/>
        </w:rPr>
        <w:t>截止时间的，或者</w:t>
      </w:r>
      <w:r>
        <w:rPr>
          <w:rFonts w:eastAsia="宋体"/>
          <w:color w:val="auto"/>
          <w:sz w:val="24"/>
          <w:highlight w:val="none"/>
        </w:rPr>
        <w:t>票据错误、印鉴不清等原因导致不能到账的，其</w:t>
      </w:r>
      <w:r>
        <w:rPr>
          <w:rFonts w:eastAsia="宋体"/>
          <w:b/>
          <w:color w:val="auto"/>
          <w:sz w:val="24"/>
          <w:highlight w:val="none"/>
        </w:rPr>
        <w:t>响应无效</w:t>
      </w:r>
      <w:r>
        <w:rPr>
          <w:rFonts w:eastAsia="宋体"/>
          <w:color w:val="auto"/>
          <w:sz w:val="24"/>
          <w:highlight w:val="none"/>
        </w:rPr>
        <w:t>。</w:t>
      </w:r>
    </w:p>
    <w:p w14:paraId="43239B67">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磋商保证金（保函）有效期同响应有效期。</w:t>
      </w:r>
    </w:p>
    <w:p w14:paraId="31567E1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供应商为联合体的，可以由联合体中的一方或者多方共同交纳磋商保证金，其交纳的保证金对联合体各方均具有约束力。</w:t>
      </w:r>
    </w:p>
    <w:p w14:paraId="7BB3AF6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BA293BE">
      <w:pPr>
        <w:numPr>
          <w:ilvl w:val="2"/>
          <w:numId w:val="9"/>
        </w:numPr>
        <w:shd w:val="clear"/>
        <w:snapToGrid w:val="0"/>
        <w:spacing w:line="360" w:lineRule="auto"/>
        <w:rPr>
          <w:rFonts w:eastAsia="宋体"/>
          <w:color w:val="auto"/>
          <w:sz w:val="24"/>
          <w:highlight w:val="none"/>
        </w:rPr>
      </w:pPr>
      <w:r>
        <w:rPr>
          <w:rFonts w:eastAsia="宋体"/>
          <w:snapToGrid w:val="0"/>
          <w:color w:val="auto"/>
          <w:kern w:val="0"/>
          <w:sz w:val="24"/>
          <w:highlight w:val="none"/>
        </w:rPr>
        <w:t>已提交响应文件的供应商，在提交最后报价之前，可以根据磋商情况退出磋商。采购人、采购代理机构将退还退出磋商的供应商的磋商保证金</w:t>
      </w:r>
      <w:r>
        <w:rPr>
          <w:rFonts w:hint="eastAsia" w:eastAsia="宋体"/>
          <w:snapToGrid w:val="0"/>
          <w:color w:val="auto"/>
          <w:kern w:val="0"/>
          <w:sz w:val="24"/>
          <w:highlight w:val="none"/>
        </w:rPr>
        <w:t>；</w:t>
      </w:r>
    </w:p>
    <w:p w14:paraId="6C86FCB7">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成交供应商的磋商保证金，在采购合同签订后5个工作日内退还成交供应商；</w:t>
      </w:r>
    </w:p>
    <w:p w14:paraId="37871FD3">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未成交供应商的磋商保证金，在成交通知书发出后5个工作日内退还</w:t>
      </w:r>
      <w:r>
        <w:rPr>
          <w:rFonts w:hint="eastAsia" w:eastAsia="宋体"/>
          <w:color w:val="auto"/>
          <w:sz w:val="24"/>
          <w:highlight w:val="none"/>
        </w:rPr>
        <w:t>。</w:t>
      </w:r>
    </w:p>
    <w:p w14:paraId="043D226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有下列情形之一的，采购人或采购代理机构不予退还磋商保证金：</w:t>
      </w:r>
    </w:p>
    <w:p w14:paraId="636BB8F3">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供应商在提交响应文件截止时间后撤回响应文件的；</w:t>
      </w:r>
    </w:p>
    <w:p w14:paraId="0FFEC8F7">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供应商在响应文件中提供虚假材料的；</w:t>
      </w:r>
    </w:p>
    <w:p w14:paraId="5499ACC6">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除因不可抗力或磋商文件认可的情形以外，成交供应商不与采购人签订合同的；</w:t>
      </w:r>
    </w:p>
    <w:p w14:paraId="071A256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供应商与采购人、其他供应商或者采购代理机构恶意串通的；</w:t>
      </w:r>
    </w:p>
    <w:p w14:paraId="31166C01">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《供应商须知资料表》规定的其他情形。</w:t>
      </w:r>
    </w:p>
    <w:p w14:paraId="23D79349">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响应有效期</w:t>
      </w:r>
    </w:p>
    <w:p w14:paraId="0803991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响应文件应在本竞争性磋商文件《供应商须知资料表》中规定的响应有效期内保持有效，响应有效期少于竞争性磋商文件规定期限的，其</w:t>
      </w:r>
      <w:r>
        <w:rPr>
          <w:rFonts w:eastAsia="宋体"/>
          <w:b/>
          <w:color w:val="auto"/>
          <w:sz w:val="24"/>
          <w:highlight w:val="none"/>
        </w:rPr>
        <w:t>响应无效</w:t>
      </w:r>
      <w:r>
        <w:rPr>
          <w:rFonts w:eastAsia="宋体"/>
          <w:color w:val="auto"/>
          <w:sz w:val="24"/>
          <w:highlight w:val="none"/>
        </w:rPr>
        <w:t>。</w:t>
      </w:r>
    </w:p>
    <w:p w14:paraId="3644DB37">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94" w:name="_Toc520356158"/>
      <w:bookmarkStart w:id="295" w:name="_Toc142311035"/>
      <w:bookmarkStart w:id="296" w:name="_Toc305158801"/>
      <w:bookmarkStart w:id="297" w:name="_Toc265228371"/>
      <w:bookmarkStart w:id="298" w:name="_Toc305158875"/>
      <w:bookmarkStart w:id="299" w:name="_Toc226965806"/>
      <w:bookmarkStart w:id="300" w:name="_Toc226309777"/>
      <w:bookmarkStart w:id="301" w:name="_Toc150480771"/>
      <w:bookmarkStart w:id="302" w:name="_Toc127161447"/>
      <w:bookmarkStart w:id="303" w:name="_Toc226337229"/>
      <w:bookmarkStart w:id="304" w:name="_Toc151193631"/>
      <w:bookmarkStart w:id="305" w:name="_Toc151193775"/>
      <w:bookmarkStart w:id="306" w:name="_Toc127151734"/>
      <w:bookmarkStart w:id="307" w:name="_Toc195842898"/>
      <w:bookmarkStart w:id="308" w:name="_Toc226965723"/>
      <w:bookmarkStart w:id="309" w:name="_Toc164608802"/>
      <w:bookmarkStart w:id="310" w:name="_Toc164608647"/>
      <w:bookmarkStart w:id="311" w:name="_Toc127151533"/>
      <w:bookmarkStart w:id="312" w:name="_Toc164351627"/>
      <w:bookmarkStart w:id="313" w:name="_Toc150509284"/>
      <w:bookmarkStart w:id="314" w:name="_Toc164229228"/>
      <w:bookmarkStart w:id="315" w:name="_Toc151193921"/>
      <w:bookmarkStart w:id="316" w:name="_Toc149720826"/>
      <w:bookmarkStart w:id="317" w:name="_Toc151193847"/>
      <w:bookmarkStart w:id="318" w:name="_Toc150774633"/>
      <w:bookmarkStart w:id="319" w:name="_Toc150774738"/>
      <w:bookmarkStart w:id="320" w:name="_Toc151190160"/>
      <w:bookmarkStart w:id="321" w:name="_Toc164229374"/>
      <w:bookmarkStart w:id="322" w:name="_Toc151193703"/>
      <w:bookmarkStart w:id="323" w:name="_Toc264969223"/>
      <w:r>
        <w:rPr>
          <w:rFonts w:eastAsia="宋体"/>
          <w:color w:val="auto"/>
          <w:sz w:val="24"/>
          <w:highlight w:val="none"/>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宋体"/>
          <w:color w:val="auto"/>
          <w:sz w:val="24"/>
          <w:highlight w:val="none"/>
        </w:rPr>
        <w:t>、盖章</w:t>
      </w:r>
    </w:p>
    <w:p w14:paraId="5DD43F4D">
      <w:pPr>
        <w:numPr>
          <w:ilvl w:val="1"/>
          <w:numId w:val="9"/>
        </w:numPr>
        <w:shd w:val="clear"/>
        <w:tabs>
          <w:tab w:val="left" w:pos="1080"/>
          <w:tab w:val="left" w:pos="2014"/>
        </w:tabs>
        <w:snapToGrid w:val="0"/>
        <w:spacing w:line="360" w:lineRule="auto"/>
        <w:ind w:left="1077" w:hanging="720"/>
        <w:rPr>
          <w:rFonts w:hint="eastAsia" w:eastAsia="宋体"/>
          <w:color w:val="auto"/>
          <w:sz w:val="24"/>
          <w:highlight w:val="none"/>
        </w:rPr>
      </w:pPr>
      <w:bookmarkStart w:id="324" w:name="_Toc151193922"/>
      <w:bookmarkStart w:id="325" w:name="_Toc142311036"/>
      <w:bookmarkStart w:id="326" w:name="_Toc195842899"/>
      <w:bookmarkStart w:id="327" w:name="_Toc151193848"/>
      <w:bookmarkStart w:id="328" w:name="_Toc127151534"/>
      <w:bookmarkStart w:id="329" w:name="_Toc264969224"/>
      <w:bookmarkStart w:id="330" w:name="_Toc226309778"/>
      <w:bookmarkStart w:id="331" w:name="_Toc150774634"/>
      <w:bookmarkStart w:id="332" w:name="_Toc520356159"/>
      <w:bookmarkStart w:id="333" w:name="_Toc151193776"/>
      <w:bookmarkStart w:id="334" w:name="_Toc265228372"/>
      <w:bookmarkStart w:id="335" w:name="_Toc226337230"/>
      <w:bookmarkStart w:id="336" w:name="_Toc150480772"/>
      <w:bookmarkStart w:id="337" w:name="_Toc226965724"/>
      <w:bookmarkStart w:id="338" w:name="_Toc305158802"/>
      <w:bookmarkStart w:id="339" w:name="_Toc151190161"/>
      <w:bookmarkStart w:id="340" w:name="_Toc305158876"/>
      <w:bookmarkStart w:id="341" w:name="_Toc226965807"/>
      <w:bookmarkStart w:id="342" w:name="_Toc151193704"/>
      <w:bookmarkStart w:id="343" w:name="_Toc151193632"/>
      <w:bookmarkStart w:id="344" w:name="_Toc150774739"/>
      <w:bookmarkStart w:id="345" w:name="_Toc150509285"/>
      <w:r>
        <w:rPr>
          <w:rFonts w:hint="eastAsia" w:eastAsia="宋体"/>
          <w:color w:val="auto"/>
          <w:sz w:val="24"/>
          <w:highlight w:val="none"/>
        </w:rPr>
        <w:t>供应商应当准备响应文件份数（见《供应商须知资料表》中规定），每份响应</w:t>
      </w:r>
    </w:p>
    <w:p w14:paraId="1A7283CD">
      <w:pPr>
        <w:numPr>
          <w:ilvl w:val="0"/>
          <w:numId w:val="0"/>
        </w:numPr>
        <w:shd w:val="clear"/>
        <w:tabs>
          <w:tab w:val="left" w:pos="1080"/>
          <w:tab w:val="left" w:pos="2014"/>
        </w:tabs>
        <w:snapToGrid w:val="0"/>
        <w:spacing w:line="360" w:lineRule="auto"/>
        <w:ind w:left="357" w:leftChars="0"/>
        <w:rPr>
          <w:rFonts w:hint="eastAsia" w:eastAsia="宋体"/>
          <w:color w:val="auto"/>
          <w:sz w:val="24"/>
          <w:highlight w:val="none"/>
        </w:rPr>
      </w:pPr>
      <w:r>
        <w:rPr>
          <w:rFonts w:hint="eastAsia"/>
          <w:color w:val="auto"/>
          <w:sz w:val="24"/>
          <w:highlight w:val="none"/>
          <w:lang w:val="en-US" w:eastAsia="zh-CN"/>
        </w:rPr>
        <w:t xml:space="preserve">      </w:t>
      </w:r>
      <w:r>
        <w:rPr>
          <w:rFonts w:hint="eastAsia" w:eastAsia="宋体"/>
          <w:color w:val="auto"/>
          <w:sz w:val="24"/>
          <w:highlight w:val="none"/>
        </w:rPr>
        <w:t>文件须清楚地标明“正本”、“副本”、“电子版”字样。若正本和副本不符，</w:t>
      </w:r>
    </w:p>
    <w:p w14:paraId="3DE4DE2B">
      <w:pPr>
        <w:shd w:val="clear"/>
        <w:tabs>
          <w:tab w:val="left" w:pos="900"/>
          <w:tab w:val="left" w:pos="1080"/>
        </w:tabs>
        <w:snapToGrid w:val="0"/>
        <w:spacing w:line="360" w:lineRule="auto"/>
        <w:ind w:left="357"/>
        <w:rPr>
          <w:rFonts w:hint="eastAsia" w:eastAsia="宋体"/>
          <w:color w:val="auto"/>
          <w:sz w:val="24"/>
          <w:highlight w:val="none"/>
        </w:rPr>
      </w:pPr>
      <w:r>
        <w:rPr>
          <w:rFonts w:hint="eastAsia"/>
          <w:color w:val="auto"/>
          <w:sz w:val="24"/>
          <w:highlight w:val="none"/>
          <w:lang w:val="en-US" w:eastAsia="zh-CN"/>
        </w:rPr>
        <w:t xml:space="preserve">13.2   </w:t>
      </w:r>
      <w:r>
        <w:rPr>
          <w:rFonts w:hint="eastAsia" w:eastAsia="宋体"/>
          <w:color w:val="auto"/>
          <w:sz w:val="24"/>
          <w:highlight w:val="none"/>
        </w:rPr>
        <w:t>响应文件的正本需打印或者用不褪色墨水书写，并由投标人的法定代表人授</w:t>
      </w:r>
    </w:p>
    <w:p w14:paraId="5B2BA5BE">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权的代表在投标文件上需签字的地方签字并 逐页加盖单位印章。授权代表须</w:t>
      </w:r>
    </w:p>
    <w:p w14:paraId="4D9A761B">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持有书面的“法定代表人授权委托书”（格式见附件），并将其附在响应文件</w:t>
      </w:r>
    </w:p>
    <w:p w14:paraId="44416BE3">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中。如对响应文件进行了修改，则应当由供应商的法定代表人授权代表在修</w:t>
      </w:r>
    </w:p>
    <w:p w14:paraId="3847EB3B">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改的每一页上签字并加盖单位公章。响应文件的副本可以采用正本的复印件。</w:t>
      </w:r>
    </w:p>
    <w:p w14:paraId="26F0DBC4">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13.3 </w:t>
      </w:r>
      <w:r>
        <w:rPr>
          <w:rFonts w:hint="eastAsia"/>
          <w:color w:val="auto"/>
          <w:sz w:val="24"/>
          <w:highlight w:val="none"/>
          <w:lang w:val="en-US" w:eastAsia="zh-CN"/>
        </w:rPr>
        <w:t xml:space="preserve">  </w:t>
      </w:r>
      <w:r>
        <w:rPr>
          <w:rFonts w:hint="eastAsia" w:eastAsia="宋体"/>
          <w:color w:val="auto"/>
          <w:sz w:val="24"/>
          <w:highlight w:val="none"/>
        </w:rPr>
        <w:t>任何行间插字、涂改和增删，必须由响应文件法定代表人授权的代表签字或</w:t>
      </w:r>
    </w:p>
    <w:p w14:paraId="52C7D799">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者加盖公章后才有效。</w:t>
      </w:r>
    </w:p>
    <w:p w14:paraId="7808F645">
      <w:pPr>
        <w:shd w:val="clear"/>
        <w:tabs>
          <w:tab w:val="left" w:pos="900"/>
          <w:tab w:val="left" w:pos="1080"/>
        </w:tabs>
        <w:snapToGrid w:val="0"/>
        <w:spacing w:line="360" w:lineRule="auto"/>
        <w:ind w:left="357"/>
        <w:rPr>
          <w:rFonts w:eastAsia="宋体"/>
          <w:color w:val="auto"/>
          <w:highlight w:val="none"/>
        </w:rPr>
      </w:pPr>
      <w:r>
        <w:rPr>
          <w:rFonts w:hint="eastAsia" w:eastAsia="宋体"/>
          <w:color w:val="auto"/>
          <w:sz w:val="24"/>
          <w:highlight w:val="none"/>
        </w:rPr>
        <w:t xml:space="preserve">13.4 </w:t>
      </w:r>
      <w:r>
        <w:rPr>
          <w:rFonts w:hint="eastAsia"/>
          <w:color w:val="auto"/>
          <w:sz w:val="24"/>
          <w:highlight w:val="none"/>
          <w:lang w:val="en-US" w:eastAsia="zh-CN"/>
        </w:rPr>
        <w:t xml:space="preserve">  </w:t>
      </w:r>
      <w:r>
        <w:rPr>
          <w:rFonts w:hint="eastAsia" w:eastAsia="宋体"/>
          <w:color w:val="auto"/>
          <w:sz w:val="24"/>
          <w:highlight w:val="none"/>
        </w:rPr>
        <w:t>响应文件因字迹潦草或者表达不清所引起的后果由供应商负责。</w:t>
      </w:r>
    </w:p>
    <w:p w14:paraId="78C6A285">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5391853">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346" w:name="_Toc127161449"/>
      <w:bookmarkStart w:id="347" w:name="_Toc127151535"/>
      <w:bookmarkStart w:id="348" w:name="_Toc226965808"/>
      <w:bookmarkStart w:id="349" w:name="_Toc264969225"/>
      <w:bookmarkStart w:id="350" w:name="_Toc151193849"/>
      <w:bookmarkStart w:id="351" w:name="_Toc226965725"/>
      <w:bookmarkStart w:id="352" w:name="_Toc164229230"/>
      <w:bookmarkStart w:id="353" w:name="_Toc164229376"/>
      <w:bookmarkStart w:id="354" w:name="_Toc150774635"/>
      <w:bookmarkStart w:id="355" w:name="_Toc226309779"/>
      <w:bookmarkStart w:id="356" w:name="_Toc151193777"/>
      <w:bookmarkStart w:id="357" w:name="_Toc150774740"/>
      <w:bookmarkStart w:id="358" w:name="_Toc151190162"/>
      <w:bookmarkStart w:id="359" w:name="_Toc151193633"/>
      <w:bookmarkStart w:id="360" w:name="_Toc226337231"/>
      <w:bookmarkStart w:id="361" w:name="_Toc150509286"/>
      <w:bookmarkStart w:id="362" w:name="_Toc151193705"/>
      <w:bookmarkStart w:id="363" w:name="_Toc305158803"/>
      <w:bookmarkStart w:id="364" w:name="_Toc149720828"/>
      <w:bookmarkStart w:id="365" w:name="_Toc164608804"/>
      <w:bookmarkStart w:id="366" w:name="_Toc305158877"/>
      <w:bookmarkStart w:id="367" w:name="_Toc150480773"/>
      <w:bookmarkStart w:id="368" w:name="_Toc142311037"/>
      <w:bookmarkStart w:id="369" w:name="_Toc164351629"/>
      <w:bookmarkStart w:id="370" w:name="_Toc265228373"/>
      <w:bookmarkStart w:id="371" w:name="_Toc164608649"/>
      <w:bookmarkStart w:id="372" w:name="_Toc520356160"/>
      <w:bookmarkStart w:id="373" w:name="_Toc151193923"/>
      <w:bookmarkStart w:id="374" w:name="_Toc127151736"/>
      <w:bookmarkStart w:id="375" w:name="_Toc195842900"/>
      <w:r>
        <w:rPr>
          <w:rFonts w:hint="eastAsia"/>
          <w:color w:val="auto"/>
          <w:sz w:val="24"/>
          <w:highlight w:val="none"/>
          <w:lang w:val="en-US" w:eastAsia="zh-CN"/>
        </w:rPr>
        <w:t xml:space="preserve">   </w:t>
      </w:r>
      <w:r>
        <w:rPr>
          <w:rFonts w:eastAsia="宋体"/>
          <w:color w:val="auto"/>
          <w:sz w:val="24"/>
          <w:highlight w:val="none"/>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宋体"/>
          <w:color w:val="auto"/>
          <w:sz w:val="24"/>
          <w:highlight w:val="none"/>
        </w:rPr>
        <w:t>提交</w:t>
      </w:r>
    </w:p>
    <w:p w14:paraId="72BA4709">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376" w:name="_Toc195921820"/>
      <w:bookmarkStart w:id="377" w:name="_Toc127161450"/>
      <w:bookmarkStart w:id="378" w:name="_Toc226309780"/>
      <w:bookmarkStart w:id="379" w:name="_Toc164608805"/>
      <w:bookmarkStart w:id="380" w:name="_Toc305158878"/>
      <w:bookmarkStart w:id="381" w:name="_Toc151190163"/>
      <w:bookmarkStart w:id="382" w:name="_Toc150480774"/>
      <w:bookmarkStart w:id="383" w:name="_Toc195842901"/>
      <w:bookmarkStart w:id="384" w:name="_Toc151193924"/>
      <w:bookmarkStart w:id="385" w:name="_Toc164608650"/>
      <w:bookmarkStart w:id="386" w:name="_Toc520356161"/>
      <w:bookmarkStart w:id="387" w:name="_Toc151193850"/>
      <w:bookmarkStart w:id="388" w:name="_Toc149720829"/>
      <w:bookmarkStart w:id="389" w:name="_Toc164351630"/>
      <w:bookmarkStart w:id="390" w:name="_Toc226965809"/>
      <w:bookmarkStart w:id="391" w:name="_Toc164229231"/>
      <w:bookmarkStart w:id="392" w:name="_Toc226965726"/>
      <w:bookmarkStart w:id="393" w:name="_Toc150774636"/>
      <w:bookmarkStart w:id="394" w:name="_Toc265228374"/>
      <w:bookmarkStart w:id="395" w:name="_Toc151193778"/>
      <w:bookmarkStart w:id="396" w:name="_Toc150509287"/>
      <w:bookmarkStart w:id="397" w:name="_Toc164229377"/>
      <w:bookmarkStart w:id="398" w:name="_Toc127151737"/>
      <w:bookmarkStart w:id="399" w:name="_Toc305158804"/>
      <w:bookmarkStart w:id="400" w:name="_Toc142311038"/>
      <w:bookmarkStart w:id="401" w:name="_Toc150774741"/>
      <w:bookmarkStart w:id="402" w:name="_Toc151193634"/>
      <w:bookmarkStart w:id="403" w:name="_Toc127151536"/>
      <w:bookmarkStart w:id="404" w:name="_Toc226337232"/>
      <w:bookmarkStart w:id="405" w:name="_Toc264969226"/>
      <w:bookmarkStart w:id="406" w:name="_Toc151193706"/>
      <w:r>
        <w:rPr>
          <w:rFonts w:hint="eastAsia"/>
          <w:color w:val="auto"/>
          <w:sz w:val="24"/>
          <w:highlight w:val="none"/>
          <w:lang w:val="en-US" w:eastAsia="zh-CN"/>
        </w:rPr>
        <w:t xml:space="preserve">   14.1   </w:t>
      </w:r>
      <w:r>
        <w:rPr>
          <w:rFonts w:hint="eastAsia" w:eastAsia="宋体"/>
          <w:color w:val="auto"/>
          <w:sz w:val="24"/>
          <w:highlight w:val="none"/>
        </w:rPr>
        <w:t>响应文件的</w:t>
      </w:r>
      <w:bookmarkEnd w:id="376"/>
      <w:r>
        <w:rPr>
          <w:rFonts w:hint="eastAsia" w:eastAsia="宋体"/>
          <w:color w:val="auto"/>
          <w:sz w:val="24"/>
          <w:highlight w:val="none"/>
        </w:rPr>
        <w:t>密封和标记</w:t>
      </w:r>
    </w:p>
    <w:p w14:paraId="7A706FFF">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7" w:name="_Ref421008478"/>
      <w:r>
        <w:rPr>
          <w:rFonts w:hint="eastAsia"/>
          <w:color w:val="auto"/>
          <w:sz w:val="24"/>
          <w:highlight w:val="none"/>
          <w:lang w:val="en-US" w:eastAsia="zh-CN"/>
        </w:rPr>
        <w:t xml:space="preserve">   14.1.1  </w:t>
      </w:r>
      <w:r>
        <w:rPr>
          <w:rFonts w:hint="eastAsia" w:eastAsia="宋体"/>
          <w:color w:val="auto"/>
          <w:sz w:val="24"/>
          <w:highlight w:val="none"/>
        </w:rPr>
        <w:t>供应商递交的响应文件，应按照标包分别加以密封。密封方式为在响应文件外包装封口处加盖公章或“密封章”。</w:t>
      </w:r>
    </w:p>
    <w:p w14:paraId="6C55A546">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8" w:name="_Ref527102501"/>
      <w:r>
        <w:rPr>
          <w:rFonts w:hint="eastAsia"/>
          <w:color w:val="auto"/>
          <w:sz w:val="24"/>
          <w:highlight w:val="none"/>
          <w:lang w:val="en-US" w:eastAsia="zh-CN"/>
        </w:rPr>
        <w:t xml:space="preserve">   14.1.2  </w:t>
      </w:r>
      <w:r>
        <w:rPr>
          <w:rFonts w:hint="eastAsia" w:eastAsia="宋体"/>
          <w:color w:val="auto"/>
          <w:sz w:val="24"/>
          <w:highlight w:val="none"/>
        </w:rPr>
        <w:t>响应文件的封套上应标识的其他内容见供应商须知前附表。</w:t>
      </w:r>
      <w:bookmarkEnd w:id="407"/>
      <w:bookmarkEnd w:id="408"/>
    </w:p>
    <w:p w14:paraId="31382374">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9" w:name="_Toc195921821"/>
      <w:r>
        <w:rPr>
          <w:rFonts w:hint="eastAsia"/>
          <w:color w:val="auto"/>
          <w:sz w:val="24"/>
          <w:highlight w:val="none"/>
          <w:lang w:val="en-US" w:eastAsia="zh-CN"/>
        </w:rPr>
        <w:t xml:space="preserve">14.2   </w:t>
      </w:r>
      <w:r>
        <w:rPr>
          <w:rFonts w:hint="eastAsia" w:eastAsia="宋体"/>
          <w:color w:val="auto"/>
          <w:sz w:val="24"/>
          <w:highlight w:val="none"/>
        </w:rPr>
        <w:t>首次响应文件的递交</w:t>
      </w:r>
      <w:bookmarkEnd w:id="409"/>
    </w:p>
    <w:p w14:paraId="4F7EF8A7">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14.2.1  </w:t>
      </w:r>
      <w:r>
        <w:rPr>
          <w:rFonts w:hint="eastAsia" w:eastAsia="宋体"/>
          <w:color w:val="auto"/>
          <w:sz w:val="24"/>
          <w:highlight w:val="none"/>
        </w:rPr>
        <w:t>供应商应在竞争性磋商公告或磋商邀请书规定的递交响应文件截止时间前递交首次响应文件。如有变化，见澄清修改文件。</w:t>
      </w:r>
    </w:p>
    <w:p w14:paraId="266BB028">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14.2.2  </w:t>
      </w:r>
      <w:r>
        <w:rPr>
          <w:rFonts w:hint="eastAsia" w:eastAsia="宋体"/>
          <w:color w:val="auto"/>
          <w:sz w:val="24"/>
          <w:highlight w:val="none"/>
        </w:rPr>
        <w:t>供应商递交首次响应文件的地点：见竞争性磋商公告或磋商邀请书。如有变化，见澄清修改文件。</w:t>
      </w:r>
    </w:p>
    <w:p w14:paraId="6668F0E8">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14.2.3  </w:t>
      </w:r>
      <w:r>
        <w:rPr>
          <w:rFonts w:hint="eastAsia" w:eastAsia="宋体"/>
          <w:color w:val="auto"/>
          <w:sz w:val="24"/>
          <w:highlight w:val="none"/>
        </w:rPr>
        <w:t>除因供应商家数不满足要求未进行谈判的情形外，供应商所递交的响应文件不予退还。</w:t>
      </w:r>
    </w:p>
    <w:p w14:paraId="3314E81E">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14.2.4  </w:t>
      </w:r>
      <w:r>
        <w:rPr>
          <w:rFonts w:hint="eastAsia" w:eastAsia="宋体"/>
          <w:color w:val="auto"/>
          <w:sz w:val="24"/>
          <w:highlight w:val="none"/>
        </w:rPr>
        <w:t>逾期送达、未送达指定地点的响应文件，采购人不予受理。</w:t>
      </w:r>
    </w:p>
    <w:p w14:paraId="5213C41C">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宋体"/>
          <w:color w:val="auto"/>
          <w:sz w:val="24"/>
          <w:highlight w:val="none"/>
        </w:rPr>
        <w:t>时间</w:t>
      </w:r>
    </w:p>
    <w:p w14:paraId="613C3E62">
      <w:pPr>
        <w:numPr>
          <w:ilvl w:val="0"/>
          <w:numId w:val="0"/>
        </w:numPr>
        <w:shd w:val="clear"/>
        <w:tabs>
          <w:tab w:val="left" w:pos="360"/>
        </w:tabs>
        <w:snapToGrid w:val="0"/>
        <w:spacing w:line="360" w:lineRule="auto"/>
        <w:ind w:leftChars="0"/>
        <w:outlineLvl w:val="1"/>
        <w:rPr>
          <w:rFonts w:hint="eastAsia" w:eastAsia="宋体"/>
          <w:color w:val="auto"/>
          <w:sz w:val="24"/>
          <w:highlight w:val="none"/>
        </w:rPr>
      </w:pPr>
      <w:bookmarkStart w:id="410" w:name="_Toc226337233"/>
      <w:bookmarkStart w:id="411" w:name="_Toc127151537"/>
      <w:bookmarkStart w:id="412" w:name="_Toc264969227"/>
      <w:bookmarkStart w:id="413" w:name="_Toc195842902"/>
      <w:bookmarkStart w:id="414" w:name="_Toc305158805"/>
      <w:bookmarkStart w:id="415" w:name="_Toc142311039"/>
      <w:bookmarkStart w:id="416" w:name="_Toc265228375"/>
      <w:bookmarkStart w:id="417" w:name="_Toc226965727"/>
      <w:bookmarkStart w:id="418" w:name="_Toc164229378"/>
      <w:bookmarkStart w:id="419" w:name="_Toc151193851"/>
      <w:bookmarkStart w:id="420" w:name="_Toc150774637"/>
      <w:bookmarkStart w:id="421" w:name="_Toc151193707"/>
      <w:bookmarkStart w:id="422" w:name="_Toc151193925"/>
      <w:bookmarkStart w:id="423" w:name="_Toc150509288"/>
      <w:bookmarkStart w:id="424" w:name="_Toc164229232"/>
      <w:bookmarkStart w:id="425" w:name="_Toc150774742"/>
      <w:bookmarkStart w:id="426" w:name="_Toc226965810"/>
      <w:bookmarkStart w:id="427" w:name="_Toc226309781"/>
      <w:bookmarkStart w:id="428" w:name="_Toc164351631"/>
      <w:bookmarkStart w:id="429" w:name="_Toc151193779"/>
      <w:bookmarkStart w:id="430" w:name="_Toc149720830"/>
      <w:bookmarkStart w:id="431" w:name="_Toc151193635"/>
      <w:bookmarkStart w:id="432" w:name="_Toc127151738"/>
      <w:bookmarkStart w:id="433" w:name="_Toc305158879"/>
      <w:bookmarkStart w:id="434" w:name="_Toc164608806"/>
      <w:bookmarkStart w:id="435" w:name="_Toc151190164"/>
      <w:bookmarkStart w:id="436" w:name="_Toc127161451"/>
      <w:bookmarkStart w:id="437" w:name="_Toc520356162"/>
      <w:bookmarkStart w:id="438" w:name="_Toc150480775"/>
      <w:bookmarkStart w:id="439" w:name="_Toc164608651"/>
      <w:r>
        <w:rPr>
          <w:rFonts w:hint="eastAsia"/>
          <w:color w:val="auto"/>
          <w:sz w:val="24"/>
          <w:highlight w:val="none"/>
          <w:lang w:val="en-US" w:eastAsia="zh-CN"/>
        </w:rPr>
        <w:t xml:space="preserve">   15.1   </w:t>
      </w:r>
      <w:r>
        <w:rPr>
          <w:rFonts w:hint="eastAsia" w:eastAsia="宋体"/>
          <w:color w:val="auto"/>
          <w:sz w:val="24"/>
          <w:highlight w:val="none"/>
        </w:rPr>
        <w:t>供应商应当在磋商公告中规定的截止时间内，将响应文件递交采购人、采购代理机构，递交地点应当是磋商公告中规定的地址。</w:t>
      </w:r>
    </w:p>
    <w:p w14:paraId="07B5334D">
      <w:pPr>
        <w:pStyle w:val="2"/>
        <w:shd w:val="clear"/>
        <w:spacing w:line="360" w:lineRule="auto"/>
        <w:ind w:left="0" w:leftChars="0" w:firstLine="0" w:firstLineChars="0"/>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15.2 </w:t>
      </w:r>
      <w:r>
        <w:rPr>
          <w:rFonts w:hint="eastAsia"/>
          <w:color w:val="auto"/>
          <w:highlight w:val="none"/>
          <w:lang w:val="en-US" w:eastAsia="zh-CN"/>
        </w:rPr>
        <w:t xml:space="preserve">  </w:t>
      </w:r>
      <w:r>
        <w:rPr>
          <w:rFonts w:hint="eastAsia"/>
          <w:color w:val="auto"/>
          <w:highlight w:val="none"/>
        </w:rPr>
        <w:t>采购人、采购代理机构有权按本须知的规定，通过修改竞争性磋商文件延长递交截止时间。在此情况下，采购人、采购代理机构和供应商受递交响应文件截止时间制约的所有权利和义务均应当延长至新的截止期。</w:t>
      </w:r>
    </w:p>
    <w:p w14:paraId="44FC9B26">
      <w:pPr>
        <w:pStyle w:val="2"/>
        <w:shd w:val="clear"/>
        <w:spacing w:line="360" w:lineRule="auto"/>
        <w:ind w:left="0" w:leftChars="0" w:firstLine="0" w:firstLineChars="0"/>
        <w:rPr>
          <w:color w:val="auto"/>
          <w:highlight w:val="none"/>
        </w:rPr>
      </w:pPr>
      <w:r>
        <w:rPr>
          <w:rFonts w:hint="eastAsia"/>
          <w:color w:val="auto"/>
          <w:highlight w:val="none"/>
          <w:lang w:val="en-US" w:eastAsia="zh-CN"/>
        </w:rPr>
        <w:t xml:space="preserve">   </w:t>
      </w:r>
      <w:r>
        <w:rPr>
          <w:rFonts w:hint="eastAsia"/>
          <w:color w:val="auto"/>
          <w:highlight w:val="none"/>
        </w:rPr>
        <w:t>15.3</w:t>
      </w:r>
      <w:r>
        <w:rPr>
          <w:rFonts w:hint="eastAsia"/>
          <w:color w:val="auto"/>
          <w:highlight w:val="none"/>
          <w:lang w:val="en-US" w:eastAsia="zh-CN"/>
        </w:rPr>
        <w:t xml:space="preserve">  </w:t>
      </w:r>
      <w:r>
        <w:rPr>
          <w:rFonts w:hint="eastAsia"/>
          <w:color w:val="auto"/>
          <w:highlight w:val="none"/>
        </w:rPr>
        <w:t xml:space="preserve"> 拒收情况：采购人、采购代理机构将拒绝接收在本须知规定的投标截止时间后逾期送达的任何响应文件</w:t>
      </w:r>
    </w:p>
    <w:p w14:paraId="37FD04EE">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EA5E003">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16.1 </w:t>
      </w:r>
      <w:r>
        <w:rPr>
          <w:rFonts w:hint="eastAsia"/>
          <w:color w:val="auto"/>
          <w:sz w:val="24"/>
          <w:highlight w:val="none"/>
          <w:lang w:val="en-US" w:eastAsia="zh-CN"/>
        </w:rPr>
        <w:t xml:space="preserve"> </w:t>
      </w:r>
      <w:r>
        <w:rPr>
          <w:rFonts w:hint="eastAsia" w:eastAsia="宋体"/>
          <w:color w:val="auto"/>
          <w:sz w:val="24"/>
          <w:highlight w:val="none"/>
        </w:rPr>
        <w:t>供应商在递交响应文件截止时间前，可以对所递交的响应文件进行补充、修</w:t>
      </w:r>
    </w:p>
    <w:p w14:paraId="7B5472D1">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改或者撤回，并书面通知采购人或者采购代理机构。补充、修改的内容应当</w:t>
      </w:r>
    </w:p>
    <w:p w14:paraId="2D800036">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按照竞争性磋商文件要求签署、盖章、密封后，作为响应文件的组成部分。</w:t>
      </w:r>
    </w:p>
    <w:p w14:paraId="2C04852B">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16.2 </w:t>
      </w:r>
      <w:r>
        <w:rPr>
          <w:rFonts w:hint="eastAsia"/>
          <w:color w:val="auto"/>
          <w:sz w:val="24"/>
          <w:highlight w:val="none"/>
          <w:lang w:val="en-US" w:eastAsia="zh-CN"/>
        </w:rPr>
        <w:t xml:space="preserve"> </w:t>
      </w:r>
      <w:r>
        <w:rPr>
          <w:rFonts w:hint="eastAsia" w:eastAsia="宋体"/>
          <w:color w:val="auto"/>
          <w:sz w:val="24"/>
          <w:highlight w:val="none"/>
        </w:rPr>
        <w:t>递交响应文件截止时间后，供应商不得对其响应文件做任何修改。</w:t>
      </w:r>
    </w:p>
    <w:p w14:paraId="2C78A2C9">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16.3 </w:t>
      </w:r>
      <w:r>
        <w:rPr>
          <w:rFonts w:hint="eastAsia"/>
          <w:color w:val="auto"/>
          <w:sz w:val="24"/>
          <w:highlight w:val="none"/>
          <w:lang w:val="en-US" w:eastAsia="zh-CN"/>
        </w:rPr>
        <w:t xml:space="preserve"> </w:t>
      </w:r>
      <w:r>
        <w:rPr>
          <w:rFonts w:hint="eastAsia" w:eastAsia="宋体"/>
          <w:color w:val="auto"/>
          <w:sz w:val="24"/>
          <w:highlight w:val="none"/>
        </w:rPr>
        <w:t>从递交文件截止期至供应商在响应书格式中确定的响应有效期之间，供应商</w:t>
      </w:r>
    </w:p>
    <w:p w14:paraId="33E82F8F">
      <w:pPr>
        <w:shd w:val="clear"/>
        <w:tabs>
          <w:tab w:val="left" w:pos="900"/>
          <w:tab w:val="left" w:pos="1080"/>
          <w:tab w:val="left" w:pos="1589"/>
        </w:tabs>
        <w:snapToGrid w:val="0"/>
        <w:spacing w:line="360" w:lineRule="auto"/>
        <w:ind w:left="357"/>
        <w:rPr>
          <w:rFonts w:eastAsia="宋体"/>
          <w:color w:val="auto"/>
          <w:sz w:val="24"/>
          <w:highlight w:val="none"/>
        </w:rPr>
      </w:pPr>
      <w:r>
        <w:rPr>
          <w:rFonts w:hint="eastAsia" w:eastAsia="宋体"/>
          <w:color w:val="auto"/>
          <w:sz w:val="24"/>
          <w:highlight w:val="none"/>
        </w:rPr>
        <w:t>不得撤销其响应，否则其磋商保证金将按照本须知的规定不予退还</w:t>
      </w:r>
    </w:p>
    <w:p w14:paraId="7DD0ADAB">
      <w:pPr>
        <w:pStyle w:val="5"/>
        <w:shd w:val="clear"/>
        <w:spacing w:before="0" w:line="360" w:lineRule="auto"/>
        <w:rPr>
          <w:rFonts w:ascii="Times New Roman" w:hAnsi="Times New Roman" w:eastAsia="宋体"/>
          <w:color w:val="auto"/>
          <w:sz w:val="28"/>
          <w:highlight w:val="none"/>
        </w:rPr>
      </w:pPr>
      <w:bookmarkStart w:id="440" w:name="_Toc142311040"/>
      <w:bookmarkStart w:id="441" w:name="_Toc226309782"/>
      <w:bookmarkStart w:id="442" w:name="_Toc226337234"/>
      <w:bookmarkStart w:id="443" w:name="_Toc305158806"/>
      <w:bookmarkStart w:id="444" w:name="_Toc226965728"/>
      <w:bookmarkStart w:id="445" w:name="_Toc151193708"/>
      <w:bookmarkStart w:id="446" w:name="_Toc520356163"/>
      <w:bookmarkStart w:id="447" w:name="_Toc151193636"/>
      <w:bookmarkStart w:id="448" w:name="_Toc150509289"/>
      <w:bookmarkStart w:id="449" w:name="_Toc195842903"/>
      <w:bookmarkStart w:id="450" w:name="_Toc265228376"/>
      <w:bookmarkStart w:id="451" w:name="_Toc150480776"/>
      <w:bookmarkStart w:id="452" w:name="_Toc150774638"/>
      <w:bookmarkStart w:id="453" w:name="_Toc264969228"/>
      <w:bookmarkStart w:id="454" w:name="_Toc151193780"/>
      <w:bookmarkStart w:id="455" w:name="_Toc127151538"/>
      <w:bookmarkStart w:id="456" w:name="_Toc150774743"/>
      <w:bookmarkStart w:id="457" w:name="_Toc226965811"/>
      <w:bookmarkStart w:id="458" w:name="_Toc305158880"/>
      <w:bookmarkStart w:id="459" w:name="_Toc151193926"/>
      <w:bookmarkStart w:id="460" w:name="_Toc151193852"/>
      <w:bookmarkStart w:id="461" w:name="_Toc151190165"/>
      <w:r>
        <w:rPr>
          <w:rFonts w:ascii="Times New Roman" w:hAnsi="Times New Roman" w:eastAsia="宋体"/>
          <w:color w:val="auto"/>
          <w:sz w:val="28"/>
          <w:highlight w:val="none"/>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eastAsia="宋体"/>
          <w:color w:val="auto"/>
          <w:sz w:val="28"/>
          <w:highlight w:val="none"/>
        </w:rPr>
        <w:t>评审</w:t>
      </w:r>
    </w:p>
    <w:p w14:paraId="049C70F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响应文件的开启</w:t>
      </w:r>
    </w:p>
    <w:p w14:paraId="1AB91A3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采购人或采购代理机构将按竞争性磋商文件的规定，在响应文件提交截止时间的同一时间和竞争性磋商文件预先确定的地点开启响应文件。</w:t>
      </w:r>
    </w:p>
    <w:p w14:paraId="6A261BE1">
      <w:pPr>
        <w:numPr>
          <w:ilvl w:val="1"/>
          <w:numId w:val="9"/>
        </w:numPr>
        <w:shd w:val="clear"/>
        <w:tabs>
          <w:tab w:val="left" w:pos="1080"/>
          <w:tab w:val="left" w:pos="2014"/>
        </w:tabs>
        <w:snapToGrid w:val="0"/>
        <w:spacing w:line="360" w:lineRule="auto"/>
        <w:ind w:left="1077" w:hanging="720"/>
        <w:rPr>
          <w:rFonts w:hint="eastAsia" w:eastAsia="宋体"/>
          <w:color w:val="auto"/>
          <w:sz w:val="24"/>
          <w:highlight w:val="none"/>
        </w:rPr>
      </w:pPr>
      <w:r>
        <w:rPr>
          <w:rFonts w:hint="eastAsia" w:eastAsia="宋体"/>
          <w:color w:val="auto"/>
          <w:sz w:val="24"/>
          <w:highlight w:val="none"/>
        </w:rPr>
        <w:t>供应商认为采购人员及相关人员与其他供应商有利害关系的，可以向采购人</w:t>
      </w:r>
    </w:p>
    <w:p w14:paraId="629F04E2">
      <w:pPr>
        <w:numPr>
          <w:ilvl w:val="0"/>
          <w:numId w:val="0"/>
        </w:numPr>
        <w:shd w:val="clear"/>
        <w:tabs>
          <w:tab w:val="left" w:pos="1080"/>
          <w:tab w:val="left" w:pos="2014"/>
        </w:tabs>
        <w:snapToGrid w:val="0"/>
        <w:spacing w:line="360" w:lineRule="auto"/>
        <w:ind w:left="357" w:leftChars="0"/>
        <w:rPr>
          <w:rFonts w:hint="eastAsia" w:eastAsia="宋体"/>
          <w:color w:val="auto"/>
          <w:sz w:val="24"/>
          <w:highlight w:val="none"/>
        </w:rPr>
      </w:pPr>
      <w:r>
        <w:rPr>
          <w:rFonts w:hint="eastAsia"/>
          <w:color w:val="auto"/>
          <w:sz w:val="24"/>
          <w:highlight w:val="none"/>
          <w:lang w:val="en-US" w:eastAsia="zh-CN"/>
        </w:rPr>
        <w:t xml:space="preserve">      </w:t>
      </w:r>
      <w:r>
        <w:rPr>
          <w:rFonts w:hint="eastAsia" w:eastAsia="宋体"/>
          <w:color w:val="auto"/>
          <w:sz w:val="24"/>
          <w:highlight w:val="none"/>
        </w:rPr>
        <w:t>或采购代理机构书面提出回避申请，并说明理由。采购人或采购代理机构将</w:t>
      </w:r>
    </w:p>
    <w:p w14:paraId="3E359255">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hint="eastAsia" w:eastAsia="宋体"/>
          <w:color w:val="auto"/>
          <w:sz w:val="24"/>
          <w:highlight w:val="none"/>
        </w:rPr>
        <w:t>及时询问被申请回避人员，有利害关系的被申请回避人员将回避</w:t>
      </w:r>
      <w:r>
        <w:rPr>
          <w:rFonts w:eastAsia="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F8CC3D4">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供应商不足3家的，不予</w:t>
      </w:r>
      <w:r>
        <w:rPr>
          <w:rFonts w:hint="eastAsia"/>
          <w:color w:val="auto"/>
          <w:sz w:val="24"/>
          <w:highlight w:val="none"/>
          <w:lang w:val="en-US" w:eastAsia="zh-CN"/>
        </w:rPr>
        <w:t>开启</w:t>
      </w:r>
      <w:r>
        <w:rPr>
          <w:rFonts w:eastAsia="宋体"/>
          <w:color w:val="auto"/>
          <w:sz w:val="24"/>
          <w:highlight w:val="none"/>
        </w:rPr>
        <w:t>。</w:t>
      </w:r>
    </w:p>
    <w:p w14:paraId="53E1885D">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462" w:name="_Toc520356165"/>
      <w:r>
        <w:rPr>
          <w:rFonts w:eastAsia="宋体"/>
          <w:color w:val="auto"/>
          <w:sz w:val="24"/>
          <w:highlight w:val="none"/>
        </w:rPr>
        <w:t>本项目不公开报价。</w:t>
      </w:r>
    </w:p>
    <w:bookmarkEnd w:id="462"/>
    <w:p w14:paraId="589EE4E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磋商小组</w:t>
      </w:r>
    </w:p>
    <w:p w14:paraId="73C61D0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磋商小组根据政府采购有关规定和本次采购项目的特点进行组建，并负责具体评审事务，独立履行职责。</w:t>
      </w:r>
      <w:bookmarkStart w:id="463" w:name="_Toc520356166"/>
    </w:p>
    <w:p w14:paraId="71557395">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3FF87F79">
      <w:pPr>
        <w:numPr>
          <w:ilvl w:val="0"/>
          <w:numId w:val="9"/>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评审方法和评审标准</w:t>
      </w:r>
    </w:p>
    <w:p w14:paraId="28C9BF6C">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见第三章《评审方法和评审标准》。</w:t>
      </w:r>
    </w:p>
    <w:p w14:paraId="7FA4D5DD">
      <w:pPr>
        <w:shd w:val="clear"/>
        <w:tabs>
          <w:tab w:val="left" w:pos="360"/>
          <w:tab w:val="left" w:pos="1080"/>
        </w:tabs>
        <w:snapToGrid w:val="0"/>
        <w:spacing w:line="360" w:lineRule="auto"/>
        <w:ind w:left="1080"/>
        <w:rPr>
          <w:rFonts w:eastAsia="宋体"/>
          <w:color w:val="auto"/>
          <w:sz w:val="24"/>
          <w:highlight w:val="none"/>
        </w:rPr>
      </w:pPr>
    </w:p>
    <w:p w14:paraId="4E3D48E2">
      <w:pPr>
        <w:pStyle w:val="5"/>
        <w:shd w:val="clear"/>
        <w:spacing w:before="0" w:line="360" w:lineRule="auto"/>
        <w:rPr>
          <w:rFonts w:ascii="Times New Roman" w:hAnsi="Times New Roman" w:eastAsia="宋体"/>
          <w:color w:val="auto"/>
          <w:sz w:val="28"/>
          <w:highlight w:val="none"/>
        </w:rPr>
      </w:pPr>
      <w:bookmarkStart w:id="465" w:name="_Toc150774645"/>
      <w:bookmarkStart w:id="466" w:name="_Toc151193643"/>
      <w:bookmarkStart w:id="467" w:name="_Toc151193787"/>
      <w:bookmarkStart w:id="468" w:name="_Toc226965735"/>
      <w:bookmarkStart w:id="469" w:name="_Toc150509296"/>
      <w:bookmarkStart w:id="470" w:name="_Toc226965818"/>
      <w:bookmarkStart w:id="471" w:name="_Toc127151545"/>
      <w:bookmarkStart w:id="472" w:name="_Toc226337241"/>
      <w:bookmarkStart w:id="473" w:name="_Toc305158887"/>
      <w:bookmarkStart w:id="474" w:name="_Toc265228383"/>
      <w:bookmarkStart w:id="475" w:name="_Toc226309789"/>
      <w:bookmarkStart w:id="476" w:name="_Toc151193715"/>
      <w:bookmarkStart w:id="477" w:name="_Toc151193933"/>
      <w:bookmarkStart w:id="478" w:name="_Toc151190172"/>
      <w:bookmarkStart w:id="479" w:name="_Toc150480783"/>
      <w:bookmarkStart w:id="480" w:name="_Toc305158813"/>
      <w:bookmarkStart w:id="481" w:name="_Toc151193859"/>
      <w:bookmarkStart w:id="482" w:name="_Toc264969235"/>
      <w:bookmarkStart w:id="483" w:name="_Toc195842910"/>
      <w:bookmarkStart w:id="484" w:name="_Toc150774750"/>
      <w:bookmarkStart w:id="485" w:name="_Toc142311047"/>
      <w:r>
        <w:rPr>
          <w:rFonts w:ascii="Times New Roman" w:hAnsi="Times New Roman" w:eastAsia="宋体"/>
          <w:color w:val="auto"/>
          <w:sz w:val="28"/>
          <w:highlight w:val="none"/>
        </w:rPr>
        <w:t xml:space="preserve">六   </w:t>
      </w:r>
      <w:bookmarkEnd w:id="464"/>
      <w:r>
        <w:rPr>
          <w:rFonts w:ascii="Times New Roman" w:hAnsi="Times New Roman" w:eastAsia="宋体"/>
          <w:color w:val="auto"/>
          <w:sz w:val="28"/>
          <w:highlight w:val="none"/>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eastAsia="宋体"/>
          <w:color w:val="auto"/>
          <w:sz w:val="28"/>
          <w:highlight w:val="none"/>
        </w:rPr>
        <w:t>成交</w:t>
      </w:r>
    </w:p>
    <w:p w14:paraId="0FB4D20B">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486" w:name="_Toc164351641"/>
      <w:bookmarkStart w:id="487" w:name="_Toc150509298"/>
      <w:bookmarkStart w:id="488" w:name="_Toc151193645"/>
      <w:bookmarkStart w:id="489" w:name="_Toc150480785"/>
      <w:bookmarkStart w:id="490" w:name="_Toc151193935"/>
      <w:bookmarkStart w:id="491" w:name="_Toc127151547"/>
      <w:bookmarkStart w:id="492" w:name="_Toc164608816"/>
      <w:bookmarkStart w:id="493" w:name="_Toc226965820"/>
      <w:bookmarkStart w:id="494" w:name="_Toc151193789"/>
      <w:bookmarkStart w:id="495" w:name="_Toc150774647"/>
      <w:bookmarkStart w:id="496" w:name="_Toc226309791"/>
      <w:bookmarkStart w:id="497" w:name="_Toc164229242"/>
      <w:bookmarkStart w:id="498" w:name="_Toc151193861"/>
      <w:bookmarkStart w:id="499" w:name="_Toc127161461"/>
      <w:bookmarkStart w:id="500" w:name="_Toc226337243"/>
      <w:bookmarkStart w:id="501" w:name="_Toc149720840"/>
      <w:bookmarkStart w:id="502" w:name="_Toc264969237"/>
      <w:bookmarkStart w:id="503" w:name="_Toc127151748"/>
      <w:bookmarkStart w:id="504" w:name="_Toc142311049"/>
      <w:bookmarkStart w:id="505" w:name="_Toc226965737"/>
      <w:bookmarkStart w:id="506" w:name="_Toc195842912"/>
      <w:bookmarkStart w:id="507" w:name="_Toc151190174"/>
      <w:bookmarkStart w:id="508" w:name="_Toc265228385"/>
      <w:bookmarkStart w:id="509" w:name="_Toc151193717"/>
      <w:bookmarkStart w:id="510" w:name="_Toc164608661"/>
      <w:bookmarkStart w:id="511" w:name="_Toc305158815"/>
      <w:bookmarkStart w:id="512" w:name="_Toc164229388"/>
      <w:bookmarkStart w:id="513" w:name="_Toc150774752"/>
      <w:bookmarkStart w:id="514" w:name="_Toc305158889"/>
      <w:r>
        <w:rPr>
          <w:rFonts w:eastAsia="宋体"/>
          <w:color w:val="auto"/>
          <w:sz w:val="24"/>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0BF5E3D">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采购人将在收到评审报告后，从评审报告提出的成交候选供应商中，按照排序由高到低的原则确定成交供应商</w:t>
      </w:r>
      <w:r>
        <w:rPr>
          <w:rFonts w:hint="eastAsia" w:eastAsia="宋体"/>
          <w:color w:val="auto"/>
          <w:sz w:val="24"/>
          <w:highlight w:val="none"/>
        </w:rPr>
        <w:t>。</w:t>
      </w:r>
      <w:r>
        <w:rPr>
          <w:rFonts w:eastAsia="宋体"/>
          <w:color w:val="auto"/>
          <w:sz w:val="24"/>
          <w:highlight w:val="none"/>
        </w:rPr>
        <w:t>采购人是否授权</w:t>
      </w:r>
      <w:r>
        <w:rPr>
          <w:rFonts w:hint="eastAsia" w:eastAsia="宋体"/>
          <w:color w:val="auto"/>
          <w:sz w:val="24"/>
          <w:highlight w:val="none"/>
        </w:rPr>
        <w:t>磋商</w:t>
      </w:r>
      <w:r>
        <w:rPr>
          <w:rFonts w:eastAsia="宋体"/>
          <w:color w:val="auto"/>
          <w:sz w:val="24"/>
          <w:highlight w:val="none"/>
        </w:rPr>
        <w:t>小组直接确定成交供应商，见《供应商须知资料表》。成交候选人并列的，按照《供应商须知资料表》要求确定成交供应商。</w:t>
      </w:r>
    </w:p>
    <w:p w14:paraId="0FB4D7DD">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515" w:name="_Toc305158891"/>
      <w:bookmarkStart w:id="516" w:name="_Toc305158817"/>
      <w:bookmarkStart w:id="517" w:name="_Toc150774649"/>
      <w:bookmarkStart w:id="518" w:name="_Toc151193719"/>
      <w:bookmarkStart w:id="519" w:name="_Toc150774754"/>
      <w:bookmarkStart w:id="520" w:name="_Toc164608818"/>
      <w:bookmarkStart w:id="521" w:name="_Toc142311051"/>
      <w:bookmarkStart w:id="522" w:name="_Toc164229390"/>
      <w:bookmarkStart w:id="523" w:name="_Toc226337245"/>
      <w:bookmarkStart w:id="524" w:name="_Toc226309793"/>
      <w:bookmarkStart w:id="525" w:name="_Toc151190176"/>
      <w:bookmarkStart w:id="526" w:name="_Toc151193863"/>
      <w:bookmarkStart w:id="527" w:name="_Toc226965822"/>
      <w:bookmarkStart w:id="528" w:name="_Toc150480787"/>
      <w:bookmarkStart w:id="529" w:name="_Toc150509300"/>
      <w:bookmarkStart w:id="530" w:name="_Toc151193791"/>
      <w:bookmarkStart w:id="531" w:name="_Toc151193647"/>
      <w:bookmarkStart w:id="532" w:name="_Toc127161463"/>
      <w:bookmarkStart w:id="533" w:name="_Toc127151549"/>
      <w:bookmarkStart w:id="534" w:name="_Toc164608663"/>
      <w:bookmarkStart w:id="535" w:name="_Toc149720842"/>
      <w:bookmarkStart w:id="536" w:name="_Toc164229244"/>
      <w:bookmarkStart w:id="537" w:name="_Toc264969239"/>
      <w:bookmarkStart w:id="538" w:name="_Toc226965739"/>
      <w:bookmarkStart w:id="539" w:name="_Toc127151750"/>
      <w:bookmarkStart w:id="540" w:name="_Toc265228387"/>
      <w:bookmarkStart w:id="541" w:name="_Toc195842914"/>
      <w:bookmarkStart w:id="542" w:name="_Toc151193937"/>
      <w:bookmarkStart w:id="543" w:name="_Toc164351643"/>
      <w:bookmarkStart w:id="544" w:name="_Toc520356176"/>
      <w:bookmarkStart w:id="545" w:name="_Ref467306425"/>
      <w:bookmarkStart w:id="546" w:name="_Ref467307090"/>
      <w:r>
        <w:rPr>
          <w:rFonts w:eastAsia="宋体"/>
          <w:color w:val="auto"/>
          <w:sz w:val="24"/>
          <w:highlight w:val="none"/>
        </w:rPr>
        <w:t>成交公告与成交通知书</w:t>
      </w:r>
      <w:bookmarkEnd w:id="515"/>
      <w:bookmarkEnd w:id="516"/>
    </w:p>
    <w:p w14:paraId="0AED0AF3">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采购人或采购代理机构将</w:t>
      </w:r>
      <w:r>
        <w:rPr>
          <w:rFonts w:eastAsia="宋体"/>
          <w:color w:val="auto"/>
          <w:kern w:val="0"/>
          <w:sz w:val="24"/>
          <w:highlight w:val="none"/>
        </w:rPr>
        <w:t>在成交供应商确定后2个工作日内，在</w:t>
      </w:r>
      <w:r>
        <w:rPr>
          <w:rFonts w:hint="eastAsia"/>
          <w:color w:val="auto"/>
          <w:sz w:val="24"/>
          <w:highlight w:val="none"/>
          <w:lang w:val="en-US" w:eastAsia="zh-CN"/>
        </w:rPr>
        <w:t>发布磋商公告的网站上发布</w:t>
      </w:r>
      <w:r>
        <w:rPr>
          <w:rFonts w:eastAsia="宋体"/>
          <w:color w:val="auto"/>
          <w:kern w:val="0"/>
          <w:sz w:val="24"/>
          <w:highlight w:val="none"/>
        </w:rPr>
        <w:t>成交结果，同时向成交供应商发出成交通知书，</w:t>
      </w:r>
      <w:r>
        <w:rPr>
          <w:rFonts w:eastAsia="宋体"/>
          <w:color w:val="auto"/>
          <w:sz w:val="24"/>
          <w:highlight w:val="none"/>
        </w:rPr>
        <w:t>成交公告期限为1个工作日。</w:t>
      </w:r>
    </w:p>
    <w:p w14:paraId="06CF27AC">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eastAsia="宋体"/>
          <w:color w:val="auto"/>
          <w:sz w:val="24"/>
          <w:highlight w:val="none"/>
        </w:rPr>
        <w:t>。</w:t>
      </w:r>
    </w:p>
    <w:p w14:paraId="7D39C122">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终止</w:t>
      </w:r>
    </w:p>
    <w:p w14:paraId="358B304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在采购中，出现下列情形之一的，采购人或采购代理机构将终止竞争性磋商采购活动，发布项目终止公告并说明原因，重新开展采购活动：</w:t>
      </w:r>
    </w:p>
    <w:p w14:paraId="3F242E6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因情况变化，不再符合规定的竞争性磋商采购方式适用情形的；</w:t>
      </w:r>
    </w:p>
    <w:p w14:paraId="28BDCE5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出现影响采购公正的违法、违规行为的；</w:t>
      </w:r>
    </w:p>
    <w:p w14:paraId="7AA210E3">
      <w:pPr>
        <w:numPr>
          <w:ilvl w:val="2"/>
          <w:numId w:val="9"/>
        </w:numPr>
        <w:shd w:val="clear"/>
        <w:snapToGrid w:val="0"/>
        <w:spacing w:line="360" w:lineRule="auto"/>
        <w:rPr>
          <w:rFonts w:eastAsia="宋体"/>
          <w:color w:val="auto"/>
          <w:sz w:val="24"/>
          <w:highlight w:val="none"/>
        </w:rPr>
      </w:pPr>
      <w:r>
        <w:rPr>
          <w:rFonts w:eastAsia="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7C515DB4">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547" w:name="_Toc151193720"/>
      <w:bookmarkStart w:id="548" w:name="_Toc195842915"/>
      <w:bookmarkStart w:id="549" w:name="_Toc150774650"/>
      <w:bookmarkStart w:id="550" w:name="_Toc151193938"/>
      <w:bookmarkStart w:id="551" w:name="_Ref467307204"/>
      <w:bookmarkStart w:id="552" w:name="_Toc164229391"/>
      <w:bookmarkStart w:id="553" w:name="_Toc127151550"/>
      <w:bookmarkStart w:id="554" w:name="_Toc305158892"/>
      <w:bookmarkStart w:id="555" w:name="_Toc127151751"/>
      <w:bookmarkStart w:id="556" w:name="_Toc150509301"/>
      <w:bookmarkStart w:id="557" w:name="_Ref467307062"/>
      <w:bookmarkStart w:id="558" w:name="_Toc226309794"/>
      <w:bookmarkStart w:id="559" w:name="_Toc150480788"/>
      <w:bookmarkStart w:id="560" w:name="_Toc150774755"/>
      <w:bookmarkStart w:id="561" w:name="_Toc226965823"/>
      <w:bookmarkStart w:id="562" w:name="_Toc520356175"/>
      <w:bookmarkStart w:id="563" w:name="_Ref467306978"/>
      <w:bookmarkStart w:id="564" w:name="_Ref467306377"/>
      <w:bookmarkStart w:id="565" w:name="_Toc305158818"/>
      <w:bookmarkStart w:id="566" w:name="_Toc164608664"/>
      <w:bookmarkStart w:id="567" w:name="_Toc264969240"/>
      <w:bookmarkStart w:id="568" w:name="_Toc127161464"/>
      <w:bookmarkStart w:id="569" w:name="_Toc149720843"/>
      <w:bookmarkStart w:id="570" w:name="_Toc164351644"/>
      <w:bookmarkStart w:id="571" w:name="_Toc151190177"/>
      <w:bookmarkStart w:id="572" w:name="_Toc164229245"/>
      <w:bookmarkStart w:id="573" w:name="_Toc226965740"/>
      <w:bookmarkStart w:id="574" w:name="_Toc265228388"/>
      <w:bookmarkStart w:id="575" w:name="_Toc151193792"/>
      <w:bookmarkStart w:id="576" w:name="_Toc164608819"/>
      <w:bookmarkStart w:id="577" w:name="_Toc226337246"/>
      <w:bookmarkStart w:id="578" w:name="_Toc151193864"/>
      <w:bookmarkStart w:id="579" w:name="_Toc151193648"/>
      <w:bookmarkStart w:id="580" w:name="_Toc142311052"/>
      <w:r>
        <w:rPr>
          <w:rFonts w:eastAsia="宋体"/>
          <w:color w:val="auto"/>
          <w:sz w:val="24"/>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D6B5C1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308A033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56ADF50">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联合体获得成交资格的，联合体各方应当共同与采购人签订合同，就成交项目向采购人承担连带责任。</w:t>
      </w:r>
    </w:p>
    <w:p w14:paraId="03DCF449">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政府采购合同不能转包。</w:t>
      </w:r>
    </w:p>
    <w:p w14:paraId="6E379CD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采购人允许采用分包方式履行合同的，成交供应商可以依法采取分包方式履行合同。本项目</w:t>
      </w:r>
      <w:r>
        <w:rPr>
          <w:rFonts w:hint="eastAsia" w:eastAsia="宋体"/>
          <w:color w:val="auto"/>
          <w:sz w:val="24"/>
          <w:highlight w:val="none"/>
        </w:rPr>
        <w:t>是</w:t>
      </w:r>
      <w:r>
        <w:rPr>
          <w:rFonts w:eastAsia="宋体"/>
          <w:color w:val="auto"/>
          <w:sz w:val="24"/>
          <w:highlight w:val="none"/>
        </w:rPr>
        <w:t>否允许分包，见《供应商须知资料表》。政府采购合同分包履行的，应当在响应文件中载明分包承担主体，分包承担主体应当具备相应资质条件且不得再次分包，</w:t>
      </w:r>
      <w:r>
        <w:rPr>
          <w:rFonts w:eastAsia="宋体"/>
          <w:b/>
          <w:color w:val="auto"/>
          <w:sz w:val="24"/>
          <w:highlight w:val="none"/>
        </w:rPr>
        <w:t>否则响应无效</w:t>
      </w:r>
      <w:r>
        <w:rPr>
          <w:rFonts w:eastAsia="宋体"/>
          <w:color w:val="auto"/>
          <w:sz w:val="24"/>
          <w:highlight w:val="none"/>
        </w:rPr>
        <w:t>。成交供应商就采购项目和分包项目向采购人负责，分包供应商就分包项目承担责任。</w:t>
      </w:r>
    </w:p>
    <w:bookmarkEnd w:id="544"/>
    <w:bookmarkEnd w:id="545"/>
    <w:bookmarkEnd w:id="546"/>
    <w:p w14:paraId="57F24C4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询问与质疑</w:t>
      </w:r>
    </w:p>
    <w:p w14:paraId="74AF7233">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询问</w:t>
      </w:r>
    </w:p>
    <w:p w14:paraId="2BE4705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供应商对政府采购活动事项有疑问的，可依法提出询问，并按《供应商须知资料表》载明的形式送达采购人或采购代理机构。</w:t>
      </w:r>
    </w:p>
    <w:p w14:paraId="3D80355C">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采购人或采购代理机构对供应商依法提出的询问，在3个工作日内作出答复，但答复的内容不得涉及商业秘密。</w:t>
      </w:r>
    </w:p>
    <w:p w14:paraId="08F02B7F">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质疑</w:t>
      </w:r>
    </w:p>
    <w:p w14:paraId="0C0FCCAE">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9DF7CF8">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质疑函须使用财政部制定的范本文件。</w:t>
      </w:r>
    </w:p>
    <w:p w14:paraId="384852D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供应商为自然人的，应当由本人签字；供应商为法人或者其他组织的，应当由法定代表人、主要负责人，或者其授权代表签字或者盖章，并加盖公章。</w:t>
      </w:r>
    </w:p>
    <w:p w14:paraId="6147A10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0E68A90F">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接收询问和质疑的联系部门、联系电话和通讯地址见《供应商须知资料表》</w:t>
      </w:r>
      <w:r>
        <w:rPr>
          <w:rFonts w:hint="eastAsia" w:eastAsia="宋体"/>
          <w:color w:val="auto"/>
          <w:sz w:val="24"/>
          <w:highlight w:val="none"/>
        </w:rPr>
        <w:t>。</w:t>
      </w:r>
    </w:p>
    <w:p w14:paraId="2DA81F8C">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代理费</w:t>
      </w:r>
    </w:p>
    <w:p w14:paraId="70757E57">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收费对象、收费标准及缴纳时间见《供应商须知资料表》。由成交供应商支付的，成交供应商须一次性向采购代理机构缴纳代理费，报价应包含代理费用。</w:t>
      </w:r>
    </w:p>
    <w:p w14:paraId="14258F57">
      <w:pPr>
        <w:shd w:val="clear"/>
        <w:tabs>
          <w:tab w:val="left" w:pos="360"/>
          <w:tab w:val="left" w:pos="1080"/>
        </w:tabs>
        <w:snapToGrid w:val="0"/>
        <w:spacing w:line="360" w:lineRule="auto"/>
        <w:ind w:left="360"/>
        <w:rPr>
          <w:rFonts w:eastAsia="宋体"/>
          <w:color w:val="auto"/>
          <w:sz w:val="24"/>
          <w:highlight w:val="none"/>
        </w:rPr>
      </w:pPr>
    </w:p>
    <w:p w14:paraId="18686D6D">
      <w:pPr>
        <w:shd w:val="clear"/>
        <w:spacing w:line="360" w:lineRule="auto"/>
        <w:jc w:val="center"/>
        <w:outlineLvl w:val="0"/>
        <w:rPr>
          <w:rFonts w:eastAsia="宋体"/>
          <w:b/>
          <w:color w:val="auto"/>
          <w:sz w:val="36"/>
          <w:szCs w:val="36"/>
          <w:highlight w:val="none"/>
        </w:rPr>
      </w:pPr>
      <w:bookmarkStart w:id="581" w:name="_Toc353873934"/>
      <w:bookmarkStart w:id="582" w:name="_Toc142311056"/>
      <w:bookmarkStart w:id="583" w:name="_Toc265228392"/>
      <w:bookmarkStart w:id="584" w:name="_Toc264969244"/>
      <w:bookmarkStart w:id="585" w:name="_Toc353873664"/>
      <w:bookmarkStart w:id="586" w:name="_Toc353825544"/>
      <w:bookmarkStart w:id="587" w:name="_Toc150480792"/>
      <w:bookmarkStart w:id="588" w:name="_Toc226965827"/>
      <w:bookmarkStart w:id="589" w:name="_Toc127151554"/>
      <w:bookmarkStart w:id="590" w:name="_Toc150774759"/>
      <w:bookmarkStart w:id="591" w:name="_Toc305158822"/>
      <w:bookmarkStart w:id="592" w:name="_Toc305158896"/>
      <w:bookmarkStart w:id="593" w:name="_Toc226337250"/>
      <w:r>
        <w:rPr>
          <w:rFonts w:eastAsia="宋体"/>
          <w:color w:val="auto"/>
          <w:sz w:val="24"/>
          <w:highlight w:val="none"/>
        </w:rPr>
        <w:br w:type="page"/>
      </w:r>
      <w:bookmarkStart w:id="594" w:name="_Toc32675"/>
      <w:r>
        <w:rPr>
          <w:rFonts w:eastAsia="宋体"/>
          <w:b/>
          <w:color w:val="auto"/>
          <w:sz w:val="36"/>
          <w:szCs w:val="36"/>
          <w:highlight w:val="none"/>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eastAsia="宋体"/>
          <w:b/>
          <w:color w:val="auto"/>
          <w:sz w:val="36"/>
          <w:szCs w:val="36"/>
          <w:highlight w:val="none"/>
        </w:rPr>
        <w:t>评审方法和评审标准</w:t>
      </w:r>
      <w:bookmarkEnd w:id="594"/>
      <w:bookmarkStart w:id="595" w:name="_Toc487900382"/>
    </w:p>
    <w:p w14:paraId="7F9233AD">
      <w:pPr>
        <w:pStyle w:val="5"/>
        <w:shd w:val="clear"/>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一、资格审查程序</w:t>
      </w:r>
    </w:p>
    <w:p w14:paraId="02FC8A5C">
      <w:pPr>
        <w:shd w:val="clear"/>
        <w:tabs>
          <w:tab w:val="left" w:pos="1080"/>
        </w:tabs>
        <w:snapToGrid w:val="0"/>
        <w:jc w:val="left"/>
        <w:rPr>
          <w:rFonts w:eastAsia="宋体"/>
          <w:b/>
          <w:color w:val="auto"/>
          <w:sz w:val="24"/>
          <w:highlight w:val="none"/>
        </w:rPr>
      </w:pPr>
      <w:r>
        <w:rPr>
          <w:rFonts w:eastAsia="宋体"/>
          <w:b/>
          <w:color w:val="auto"/>
          <w:sz w:val="24"/>
          <w:highlight w:val="none"/>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5"/>
    <w:p w14:paraId="054EA521">
      <w:pPr>
        <w:numPr>
          <w:ilvl w:val="0"/>
          <w:numId w:val="12"/>
        </w:numPr>
        <w:shd w:val="clear"/>
        <w:tabs>
          <w:tab w:val="left" w:pos="360"/>
        </w:tabs>
        <w:snapToGrid w:val="0"/>
        <w:spacing w:line="360" w:lineRule="auto"/>
        <w:outlineLvl w:val="1"/>
        <w:rPr>
          <w:rFonts w:eastAsia="宋体"/>
          <w:color w:val="auto"/>
          <w:sz w:val="24"/>
          <w:highlight w:val="none"/>
        </w:rPr>
      </w:pPr>
      <w:bookmarkStart w:id="596" w:name="_Toc264969231"/>
      <w:bookmarkStart w:id="597" w:name="_Toc150774746"/>
      <w:bookmarkStart w:id="598" w:name="_Toc164608810"/>
      <w:bookmarkStart w:id="599" w:name="_Toc164351635"/>
      <w:bookmarkStart w:id="600" w:name="_Toc150774641"/>
      <w:bookmarkStart w:id="601" w:name="_Toc142311043"/>
      <w:bookmarkStart w:id="602" w:name="_Toc265228379"/>
      <w:bookmarkStart w:id="603" w:name="_Toc151193929"/>
      <w:bookmarkStart w:id="604" w:name="_Toc305158883"/>
      <w:bookmarkStart w:id="605" w:name="_Toc151193711"/>
      <w:bookmarkStart w:id="606" w:name="_Toc151193855"/>
      <w:bookmarkStart w:id="607" w:name="_Toc150480779"/>
      <w:bookmarkStart w:id="608" w:name="_Toc151190168"/>
      <w:bookmarkStart w:id="609" w:name="_Toc164229236"/>
      <w:bookmarkStart w:id="610" w:name="_Toc164608655"/>
      <w:bookmarkStart w:id="611" w:name="_Toc150509292"/>
      <w:bookmarkStart w:id="612" w:name="_Toc195842906"/>
      <w:bookmarkStart w:id="613" w:name="_Toc164229382"/>
      <w:bookmarkStart w:id="614" w:name="_Toc149720834"/>
      <w:bookmarkStart w:id="615" w:name="_Toc127151541"/>
      <w:bookmarkStart w:id="616" w:name="_Toc127151742"/>
      <w:bookmarkStart w:id="617" w:name="_Toc226337237"/>
      <w:bookmarkStart w:id="618" w:name="_Toc226309785"/>
      <w:bookmarkStart w:id="619" w:name="_Toc226965814"/>
      <w:bookmarkStart w:id="620" w:name="_Toc127161455"/>
      <w:bookmarkStart w:id="621" w:name="_Toc226965731"/>
      <w:bookmarkStart w:id="622" w:name="_Toc305158809"/>
      <w:bookmarkStart w:id="623" w:name="_Toc151193639"/>
      <w:bookmarkStart w:id="624" w:name="_Toc151193783"/>
      <w:bookmarkStart w:id="625" w:name="_Toc353825551"/>
      <w:bookmarkStart w:id="626" w:name="_Toc353873941"/>
      <w:bookmarkStart w:id="627" w:name="_Toc226965828"/>
      <w:bookmarkStart w:id="628" w:name="_Toc305158897"/>
      <w:bookmarkStart w:id="629" w:name="_Toc353825545"/>
      <w:bookmarkStart w:id="630" w:name="_Toc150480793"/>
      <w:bookmarkStart w:id="631" w:name="_Toc305158823"/>
      <w:bookmarkStart w:id="632" w:name="_Toc142311057"/>
      <w:bookmarkStart w:id="633" w:name="_Toc264969245"/>
      <w:bookmarkStart w:id="634" w:name="_Toc353873935"/>
      <w:bookmarkStart w:id="635" w:name="_Toc195842920"/>
      <w:bookmarkStart w:id="636" w:name="_Toc353873665"/>
      <w:bookmarkStart w:id="637" w:name="_Toc226337251"/>
      <w:bookmarkStart w:id="638" w:name="_Toc127151555"/>
      <w:bookmarkStart w:id="639" w:name="_Toc150774760"/>
      <w:bookmarkStart w:id="640" w:name="_Toc265228393"/>
      <w:r>
        <w:rPr>
          <w:rFonts w:eastAsia="宋体"/>
          <w:color w:val="auto"/>
          <w:sz w:val="24"/>
          <w:highlight w:val="none"/>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宋体"/>
          <w:color w:val="auto"/>
          <w:sz w:val="24"/>
          <w:highlight w:val="none"/>
        </w:rPr>
        <w:t>资格性检查和符合性审查</w:t>
      </w:r>
    </w:p>
    <w:p w14:paraId="0FEF5782">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eastAsia="宋体"/>
          <w:b/>
          <w:color w:val="auto"/>
          <w:sz w:val="24"/>
          <w:highlight w:val="none"/>
        </w:rPr>
        <w:t>无效响应</w:t>
      </w:r>
      <w:r>
        <w:rPr>
          <w:rFonts w:eastAsia="宋体"/>
          <w:color w:val="auto"/>
          <w:sz w:val="24"/>
          <w:highlight w:val="none"/>
        </w:rPr>
        <w:t>处理，磋商小组应当告知提交响应文件的供应商。</w:t>
      </w:r>
    </w:p>
    <w:p w14:paraId="356D2CF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《资格性检查要求》中对格式有要求的，除竞争性磋商文件另有规定外，均为“实质性格式”文件。</w:t>
      </w:r>
    </w:p>
    <w:p w14:paraId="0C4A5196">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《资格性检查要求》见下表：</w:t>
      </w:r>
    </w:p>
    <w:p w14:paraId="082900EC">
      <w:pPr>
        <w:shd w:val="clear"/>
        <w:tabs>
          <w:tab w:val="left" w:pos="900"/>
          <w:tab w:val="left" w:pos="1080"/>
        </w:tabs>
        <w:snapToGrid w:val="0"/>
        <w:spacing w:line="360" w:lineRule="auto"/>
        <w:ind w:left="1077" w:firstLine="2650" w:firstLineChars="1100"/>
        <w:rPr>
          <w:rFonts w:eastAsia="宋体"/>
          <w:b/>
          <w:color w:val="auto"/>
          <w:sz w:val="24"/>
          <w:highlight w:val="none"/>
        </w:rPr>
      </w:pPr>
      <w:r>
        <w:rPr>
          <w:rFonts w:eastAsia="宋体"/>
          <w:b/>
          <w:color w:val="auto"/>
          <w:sz w:val="24"/>
          <w:highlight w:val="none"/>
        </w:rPr>
        <w:t>资格性检查要求</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55"/>
        <w:gridCol w:w="4098"/>
        <w:gridCol w:w="1480"/>
      </w:tblGrid>
      <w:tr w14:paraId="14EB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tblHeader/>
          <w:jc w:val="center"/>
        </w:trPr>
        <w:tc>
          <w:tcPr>
            <w:tcW w:w="765" w:type="dxa"/>
            <w:noWrap w:val="0"/>
            <w:vAlign w:val="center"/>
          </w:tcPr>
          <w:p w14:paraId="7216B380">
            <w:pPr>
              <w:shd w:val="clear"/>
              <w:tabs>
                <w:tab w:val="left" w:pos="1080"/>
              </w:tabs>
              <w:snapToGrid w:val="0"/>
              <w:jc w:val="center"/>
              <w:rPr>
                <w:rFonts w:hint="eastAsia" w:ascii="宋体" w:hAnsi="宋体" w:eastAsia="宋体" w:cs="宋体"/>
                <w:b/>
                <w:color w:val="auto"/>
                <w:sz w:val="21"/>
                <w:szCs w:val="21"/>
                <w:highlight w:val="none"/>
              </w:rPr>
            </w:pPr>
            <w:bookmarkStart w:id="641" w:name="_Hlt487972895"/>
            <w:bookmarkEnd w:id="641"/>
            <w:r>
              <w:rPr>
                <w:rFonts w:hint="eastAsia" w:ascii="宋体" w:hAnsi="宋体" w:eastAsia="宋体" w:cs="宋体"/>
                <w:b/>
                <w:color w:val="auto"/>
                <w:sz w:val="21"/>
                <w:szCs w:val="21"/>
                <w:highlight w:val="none"/>
              </w:rPr>
              <w:t>序号</w:t>
            </w:r>
          </w:p>
        </w:tc>
        <w:tc>
          <w:tcPr>
            <w:tcW w:w="2055" w:type="dxa"/>
            <w:noWrap w:val="0"/>
            <w:vAlign w:val="center"/>
          </w:tcPr>
          <w:p w14:paraId="6C21E54E">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检查因素</w:t>
            </w:r>
          </w:p>
        </w:tc>
        <w:tc>
          <w:tcPr>
            <w:tcW w:w="4098" w:type="dxa"/>
            <w:noWrap w:val="0"/>
            <w:vAlign w:val="center"/>
          </w:tcPr>
          <w:p w14:paraId="57CE9007">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检查内容</w:t>
            </w:r>
          </w:p>
        </w:tc>
        <w:tc>
          <w:tcPr>
            <w:tcW w:w="1480" w:type="dxa"/>
            <w:noWrap w:val="0"/>
            <w:vAlign w:val="center"/>
          </w:tcPr>
          <w:p w14:paraId="1A480B76">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格式要求</w:t>
            </w:r>
          </w:p>
        </w:tc>
      </w:tr>
      <w:tr w14:paraId="242A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2" w:hRule="atLeast"/>
          <w:jc w:val="center"/>
        </w:trPr>
        <w:tc>
          <w:tcPr>
            <w:tcW w:w="765" w:type="dxa"/>
            <w:noWrap w:val="0"/>
            <w:vAlign w:val="center"/>
          </w:tcPr>
          <w:p w14:paraId="28D8EE1E">
            <w:pPr>
              <w:shd w:val="clear"/>
              <w:tabs>
                <w:tab w:val="left" w:pos="1080"/>
              </w:tabs>
              <w:snapToGrid w:val="0"/>
              <w:jc w:val="center"/>
              <w:rPr>
                <w:rFonts w:hint="eastAsia" w:ascii="宋体" w:hAnsi="宋体" w:eastAsia="宋体" w:cs="宋体"/>
                <w:color w:val="auto"/>
                <w:sz w:val="21"/>
                <w:szCs w:val="21"/>
                <w:highlight w:val="none"/>
              </w:rPr>
            </w:pPr>
            <w:bookmarkStart w:id="642" w:name="OLE_LINK1" w:colFirst="0" w:colLast="0"/>
            <w:r>
              <w:rPr>
                <w:rFonts w:hint="eastAsia" w:ascii="宋体" w:hAnsi="宋体" w:eastAsia="宋体" w:cs="宋体"/>
                <w:color w:val="auto"/>
                <w:sz w:val="21"/>
                <w:szCs w:val="21"/>
                <w:highlight w:val="none"/>
              </w:rPr>
              <w:t>1</w:t>
            </w:r>
          </w:p>
        </w:tc>
        <w:tc>
          <w:tcPr>
            <w:tcW w:w="2055" w:type="dxa"/>
            <w:noWrap w:val="0"/>
            <w:vAlign w:val="center"/>
          </w:tcPr>
          <w:p w14:paraId="315F19A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满足《中华人民共和国政府采购法》第二十二条规定及法律法规的其他规定</w:t>
            </w:r>
          </w:p>
        </w:tc>
        <w:tc>
          <w:tcPr>
            <w:tcW w:w="4098" w:type="dxa"/>
            <w:noWrap w:val="0"/>
            <w:vAlign w:val="center"/>
          </w:tcPr>
          <w:p w14:paraId="1AE9AAE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具体规定见第一章《采购邀请》</w:t>
            </w:r>
          </w:p>
        </w:tc>
        <w:tc>
          <w:tcPr>
            <w:tcW w:w="1480" w:type="dxa"/>
            <w:noWrap w:val="0"/>
            <w:vAlign w:val="center"/>
          </w:tcPr>
          <w:p w14:paraId="433E2BFC">
            <w:pPr>
              <w:shd w:val="clear"/>
              <w:tabs>
                <w:tab w:val="left" w:pos="1080"/>
              </w:tabs>
              <w:snapToGrid w:val="0"/>
              <w:jc w:val="left"/>
              <w:rPr>
                <w:rFonts w:hint="eastAsia" w:ascii="宋体" w:hAnsi="宋体" w:eastAsia="宋体" w:cs="宋体"/>
                <w:color w:val="auto"/>
                <w:sz w:val="21"/>
                <w:szCs w:val="21"/>
                <w:highlight w:val="none"/>
              </w:rPr>
            </w:pPr>
          </w:p>
        </w:tc>
      </w:tr>
      <w:tr w14:paraId="3F67B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9" w:hRule="atLeast"/>
          <w:jc w:val="center"/>
        </w:trPr>
        <w:tc>
          <w:tcPr>
            <w:tcW w:w="765" w:type="dxa"/>
            <w:noWrap w:val="0"/>
            <w:vAlign w:val="center"/>
          </w:tcPr>
          <w:p w14:paraId="6A8E764C">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55" w:type="dxa"/>
            <w:noWrap w:val="0"/>
            <w:vAlign w:val="center"/>
          </w:tcPr>
          <w:p w14:paraId="2FD009C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营业执照等证明文件</w:t>
            </w:r>
          </w:p>
        </w:tc>
        <w:tc>
          <w:tcPr>
            <w:tcW w:w="4098" w:type="dxa"/>
            <w:noWrap w:val="0"/>
            <w:vAlign w:val="center"/>
          </w:tcPr>
          <w:p w14:paraId="327A2BED">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供应商为企业（包括合伙企业）的，应提供有效的“营业执照”；</w:t>
            </w:r>
          </w:p>
          <w:p w14:paraId="1AE9A704">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供应商为事业单位的，应提供有效的“事业单位法人证书”；</w:t>
            </w:r>
          </w:p>
          <w:p w14:paraId="607D02AC">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供应商是非企业机构的，应提供有效的“执业许可证”、“登记证书”等证明文件；</w:t>
            </w:r>
          </w:p>
          <w:p w14:paraId="3EAA1169">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供应商是个体工商户的，应提供有效的“个体工商户营业执照”；</w:t>
            </w:r>
          </w:p>
          <w:p w14:paraId="00628E83">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供应商是自然人的，应提供有效的自然人身份证明。</w:t>
            </w:r>
          </w:p>
          <w:p w14:paraId="53CE974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若本项目允许分支机构参加响应，则分支机构参加</w:t>
            </w:r>
            <w:r>
              <w:rPr>
                <w:rFonts w:hint="eastAsia" w:ascii="宋体" w:hAnsi="宋体" w:eastAsia="宋体" w:cs="宋体"/>
                <w:color w:val="auto"/>
                <w:kern w:val="0"/>
                <w:sz w:val="21"/>
                <w:szCs w:val="21"/>
                <w:highlight w:val="none"/>
              </w:rPr>
              <w:t>响应</w:t>
            </w:r>
            <w:r>
              <w:rPr>
                <w:rFonts w:hint="eastAsia" w:ascii="宋体" w:hAnsi="宋体" w:eastAsia="宋体" w:cs="宋体"/>
                <w:color w:val="auto"/>
                <w:sz w:val="21"/>
                <w:szCs w:val="21"/>
                <w:highlight w:val="none"/>
              </w:rPr>
              <w:t>的，此处可提供该分支机构或其所属法人或其他组织的相应证明文件。</w:t>
            </w:r>
          </w:p>
        </w:tc>
        <w:tc>
          <w:tcPr>
            <w:tcW w:w="1480" w:type="dxa"/>
            <w:noWrap w:val="0"/>
            <w:vAlign w:val="center"/>
          </w:tcPr>
          <w:p w14:paraId="53503B4B">
            <w:pPr>
              <w:shd w:val="clear"/>
              <w:tabs>
                <w:tab w:val="left" w:pos="1080"/>
              </w:tabs>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加盖公章的复印件</w:t>
            </w:r>
          </w:p>
        </w:tc>
      </w:tr>
      <w:tr w14:paraId="1023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6718B5AB">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55" w:type="dxa"/>
            <w:noWrap w:val="0"/>
            <w:vAlign w:val="center"/>
          </w:tcPr>
          <w:p w14:paraId="0E9EB33B">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供应商资格声明书</w:t>
            </w:r>
          </w:p>
        </w:tc>
        <w:tc>
          <w:tcPr>
            <w:tcW w:w="4098" w:type="dxa"/>
            <w:noWrap w:val="0"/>
            <w:vAlign w:val="center"/>
          </w:tcPr>
          <w:p w14:paraId="3BF5A722">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提供了符合竞争性磋商文件要求的《供应商资格声明书》。</w:t>
            </w:r>
          </w:p>
        </w:tc>
        <w:tc>
          <w:tcPr>
            <w:tcW w:w="1480" w:type="dxa"/>
            <w:noWrap w:val="0"/>
            <w:vAlign w:val="center"/>
          </w:tcPr>
          <w:p w14:paraId="450454D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672B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03" w:hRule="atLeast"/>
          <w:jc w:val="center"/>
        </w:trPr>
        <w:tc>
          <w:tcPr>
            <w:tcW w:w="765" w:type="dxa"/>
            <w:noWrap w:val="0"/>
            <w:vAlign w:val="center"/>
          </w:tcPr>
          <w:p w14:paraId="4FF5F0C0">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055" w:type="dxa"/>
            <w:noWrap w:val="0"/>
            <w:vAlign w:val="center"/>
          </w:tcPr>
          <w:p w14:paraId="05095B89">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供应商信用记录</w:t>
            </w:r>
          </w:p>
        </w:tc>
        <w:tc>
          <w:tcPr>
            <w:tcW w:w="4098" w:type="dxa"/>
            <w:noWrap w:val="0"/>
            <w:vAlign w:val="center"/>
          </w:tcPr>
          <w:p w14:paraId="5A4CCA3D">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查询渠道：信用中国网站和中国政府采购网（www.creditchina.gov.cn、www.ccgp.gov.cn）；</w:t>
            </w:r>
          </w:p>
          <w:p w14:paraId="7A6EC35A">
            <w:pPr>
              <w:shd w:val="clear"/>
              <w:tabs>
                <w:tab w:val="left" w:pos="900"/>
                <w:tab w:val="left" w:pos="19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截止时点：</w:t>
            </w:r>
            <w:r>
              <w:rPr>
                <w:rFonts w:hint="eastAsia" w:ascii="宋体" w:hAnsi="宋体" w:eastAsia="宋体" w:cs="宋体"/>
                <w:color w:val="auto"/>
                <w:kern w:val="0"/>
                <w:sz w:val="21"/>
                <w:szCs w:val="21"/>
                <w:highlight w:val="none"/>
              </w:rPr>
              <w:t>首次响应文件提交截止时间以后</w:t>
            </w:r>
            <w:r>
              <w:rPr>
                <w:rFonts w:hint="eastAsia" w:ascii="宋体" w:hAnsi="宋体" w:eastAsia="宋体" w:cs="宋体"/>
                <w:color w:val="auto"/>
                <w:sz w:val="21"/>
                <w:szCs w:val="21"/>
                <w:highlight w:val="none"/>
              </w:rPr>
              <w:t>、资格性检查阶段采购人或采购代理机构的实际查询时间为准；</w:t>
            </w:r>
          </w:p>
          <w:p w14:paraId="7AA200DD">
            <w:pPr>
              <w:shd w:val="clear"/>
              <w:tabs>
                <w:tab w:val="left" w:pos="900"/>
                <w:tab w:val="left" w:pos="19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信用信息查询记录和证据留存具体方式：查询结果网页打印页作为查询记录和证据，与其他竞争性磋商文件一并保存；</w:t>
            </w:r>
          </w:p>
          <w:p w14:paraId="5D476F82">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。联合体形式磋商的，联合体成员存在不良信用记录，视同联合体存在不良信用记录。</w:t>
            </w:r>
          </w:p>
        </w:tc>
        <w:tc>
          <w:tcPr>
            <w:tcW w:w="1480" w:type="dxa"/>
            <w:noWrap w:val="0"/>
            <w:vAlign w:val="center"/>
          </w:tcPr>
          <w:p w14:paraId="4F68E33C">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无须供应商提供，由采购人或采购代理机构查询。</w:t>
            </w:r>
          </w:p>
        </w:tc>
      </w:tr>
      <w:tr w14:paraId="29E2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0" w:hRule="atLeast"/>
          <w:jc w:val="center"/>
        </w:trPr>
        <w:tc>
          <w:tcPr>
            <w:tcW w:w="765" w:type="dxa"/>
            <w:noWrap w:val="0"/>
            <w:vAlign w:val="center"/>
          </w:tcPr>
          <w:p w14:paraId="407553B6">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55" w:type="dxa"/>
            <w:noWrap w:val="0"/>
            <w:vAlign w:val="center"/>
          </w:tcPr>
          <w:p w14:paraId="72064D9F">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098" w:type="dxa"/>
            <w:noWrap w:val="0"/>
            <w:vAlign w:val="center"/>
          </w:tcPr>
          <w:p w14:paraId="3BE210E6">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具体要求见第一章《采购邀请》</w:t>
            </w:r>
          </w:p>
        </w:tc>
        <w:tc>
          <w:tcPr>
            <w:tcW w:w="1480" w:type="dxa"/>
            <w:noWrap w:val="0"/>
            <w:vAlign w:val="center"/>
          </w:tcPr>
          <w:p w14:paraId="45BEC4DD">
            <w:pPr>
              <w:shd w:val="clear"/>
              <w:tabs>
                <w:tab w:val="left" w:pos="1080"/>
              </w:tabs>
              <w:snapToGrid w:val="0"/>
              <w:jc w:val="left"/>
              <w:rPr>
                <w:rFonts w:hint="eastAsia" w:ascii="宋体" w:hAnsi="宋体" w:eastAsia="宋体" w:cs="宋体"/>
                <w:color w:val="auto"/>
                <w:sz w:val="21"/>
                <w:szCs w:val="21"/>
                <w:highlight w:val="none"/>
              </w:rPr>
            </w:pPr>
          </w:p>
        </w:tc>
      </w:tr>
      <w:tr w14:paraId="086B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50" w:hRule="atLeast"/>
          <w:jc w:val="center"/>
        </w:trPr>
        <w:tc>
          <w:tcPr>
            <w:tcW w:w="765" w:type="dxa"/>
            <w:noWrap w:val="0"/>
            <w:vAlign w:val="center"/>
          </w:tcPr>
          <w:p w14:paraId="1CEF180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055" w:type="dxa"/>
            <w:noWrap w:val="0"/>
            <w:vAlign w:val="center"/>
          </w:tcPr>
          <w:p w14:paraId="72D0EB44">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w:t>
            </w:r>
          </w:p>
        </w:tc>
        <w:tc>
          <w:tcPr>
            <w:tcW w:w="4098" w:type="dxa"/>
            <w:noWrap w:val="0"/>
            <w:vAlign w:val="center"/>
          </w:tcPr>
          <w:p w14:paraId="5D4329D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当本项目（包）涉及预留份额专门面向中小企业采购，提供如下资料： </w:t>
            </w:r>
          </w:p>
          <w:p w14:paraId="1439011F">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1、供应商单独响应的，应提供中小企业声明函；如为监狱企业或残疾人福利性单位，不必提供中小企业声明函，但须提供证明材料。</w:t>
            </w:r>
          </w:p>
          <w:p w14:paraId="78C4C3F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要求提供证明材料。</w:t>
            </w:r>
          </w:p>
          <w:p w14:paraId="0C150D1E">
            <w:pPr>
              <w:shd w:val="clear"/>
              <w:tabs>
                <w:tab w:val="left" w:pos="1080"/>
              </w:tabs>
              <w:snapToGrid w:val="0"/>
              <w:jc w:val="left"/>
              <w:rPr>
                <w:rFonts w:hint="eastAsia" w:ascii="宋体" w:hAnsi="宋体" w:eastAsia="宋体" w:cs="宋体"/>
                <w:color w:val="auto"/>
                <w:sz w:val="21"/>
                <w:szCs w:val="21"/>
                <w:highlight w:val="none"/>
              </w:rPr>
            </w:pPr>
          </w:p>
          <w:p w14:paraId="19F3B249">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注1：监狱企业须提供由省级以上监狱管理局（北京市含教育矫治局）、戒毒管理局（含新疆生产建设兵团）出具的属于监狱企业的证明文件。</w:t>
            </w:r>
          </w:p>
          <w:p w14:paraId="14E5A6B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注2：残疾人福利性单位须按磋商文件要求提供《残疾人福利性单位声明函》。</w:t>
            </w:r>
          </w:p>
        </w:tc>
        <w:tc>
          <w:tcPr>
            <w:tcW w:w="1480" w:type="dxa"/>
            <w:noWrap w:val="0"/>
            <w:vAlign w:val="center"/>
          </w:tcPr>
          <w:p w14:paraId="10C3D02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7773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20" w:hRule="atLeast"/>
          <w:jc w:val="center"/>
        </w:trPr>
        <w:tc>
          <w:tcPr>
            <w:tcW w:w="765" w:type="dxa"/>
            <w:noWrap w:val="0"/>
            <w:vAlign w:val="center"/>
          </w:tcPr>
          <w:p w14:paraId="6992DCE7">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55" w:type="dxa"/>
            <w:noWrap w:val="0"/>
            <w:vAlign w:val="center"/>
          </w:tcPr>
          <w:p w14:paraId="29228F57">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拟分包情况说明及分包意向协议（类型一）</w:t>
            </w:r>
          </w:p>
        </w:tc>
        <w:tc>
          <w:tcPr>
            <w:tcW w:w="4098" w:type="dxa"/>
            <w:noWrap w:val="0"/>
            <w:vAlign w:val="center"/>
          </w:tcPr>
          <w:p w14:paraId="72B1BC62">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如本项目（包）要求通过分包措施预留部分采购份额面向中小企业采购、且供应商因落实政府采购政策拟进行分包的，必须提供；否则无须提供。</w:t>
            </w:r>
          </w:p>
          <w:p w14:paraId="1DE3AD24">
            <w:pPr>
              <w:shd w:val="clear"/>
              <w:tabs>
                <w:tab w:val="left" w:pos="1080"/>
              </w:tabs>
              <w:snapToGrid w:val="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对于预留份额专门面向中小企业采购的项目（包），组成联合体或者接受分包合同的中小企业与联合体内其他企业、分包企业之间不得存在直接控股、管理关系。</w:t>
            </w:r>
          </w:p>
        </w:tc>
        <w:tc>
          <w:tcPr>
            <w:tcW w:w="1480" w:type="dxa"/>
            <w:noWrap w:val="0"/>
            <w:vAlign w:val="center"/>
          </w:tcPr>
          <w:p w14:paraId="60E8EAB7">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4852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0" w:hRule="atLeast"/>
          <w:jc w:val="center"/>
        </w:trPr>
        <w:tc>
          <w:tcPr>
            <w:tcW w:w="765" w:type="dxa"/>
            <w:noWrap w:val="0"/>
            <w:vAlign w:val="center"/>
          </w:tcPr>
          <w:p w14:paraId="5FA6F82B">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055" w:type="dxa"/>
            <w:noWrap w:val="0"/>
            <w:vAlign w:val="center"/>
          </w:tcPr>
          <w:p w14:paraId="26BE98F1">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其它落实政府采购政策的资格要求</w:t>
            </w:r>
          </w:p>
        </w:tc>
        <w:tc>
          <w:tcPr>
            <w:tcW w:w="4098" w:type="dxa"/>
            <w:noWrap w:val="0"/>
            <w:vAlign w:val="center"/>
          </w:tcPr>
          <w:p w14:paraId="053E90A5">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2D5FE018">
            <w:pPr>
              <w:shd w:val="clear"/>
              <w:tabs>
                <w:tab w:val="left" w:pos="1080"/>
              </w:tabs>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p>
        </w:tc>
      </w:tr>
      <w:tr w14:paraId="2B6E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1CE3E8A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55" w:type="dxa"/>
            <w:noWrap w:val="0"/>
            <w:vAlign w:val="center"/>
          </w:tcPr>
          <w:p w14:paraId="2350EB6D">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4098" w:type="dxa"/>
            <w:noWrap w:val="0"/>
            <w:vAlign w:val="center"/>
          </w:tcPr>
          <w:p w14:paraId="1F30F66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50A98EBC">
            <w:pPr>
              <w:shd w:val="clear"/>
              <w:tabs>
                <w:tab w:val="left" w:pos="1080"/>
              </w:tabs>
              <w:snapToGrid w:val="0"/>
              <w:jc w:val="left"/>
              <w:rPr>
                <w:rFonts w:hint="eastAsia" w:ascii="宋体" w:hAnsi="宋体" w:eastAsia="宋体" w:cs="宋体"/>
                <w:color w:val="auto"/>
                <w:sz w:val="21"/>
                <w:szCs w:val="21"/>
                <w:highlight w:val="none"/>
              </w:rPr>
            </w:pPr>
          </w:p>
        </w:tc>
      </w:tr>
      <w:tr w14:paraId="41EC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2" w:hRule="atLeast"/>
          <w:jc w:val="center"/>
        </w:trPr>
        <w:tc>
          <w:tcPr>
            <w:tcW w:w="765" w:type="dxa"/>
            <w:noWrap w:val="0"/>
            <w:vAlign w:val="center"/>
          </w:tcPr>
          <w:p w14:paraId="62056D76">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055" w:type="dxa"/>
            <w:noWrap w:val="0"/>
            <w:vAlign w:val="center"/>
          </w:tcPr>
          <w:p w14:paraId="06A2B327">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4098" w:type="dxa"/>
            <w:noWrap w:val="0"/>
            <w:vAlign w:val="center"/>
          </w:tcPr>
          <w:p w14:paraId="79CB1517">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25D7E60">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2、联合体各成员单位均须提供本表中序号1-1、1-2的证明文件。</w:t>
            </w:r>
          </w:p>
          <w:p w14:paraId="55B83AE8">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3、本表序号3-2项规定的其他特定资格要求中的每一小项要求，联合体各方中至少应当有一方符合本表中其他资格要求并提供证明文件。</w:t>
            </w:r>
          </w:p>
          <w:p w14:paraId="1152FF53">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4、联合体中有同类资质的供应商按照联合体分工承担相同工作的，应当按照资质等级较低的供应商确定资质等级。</w:t>
            </w:r>
          </w:p>
          <w:p w14:paraId="3601E836">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5、以联合体形式参加政府采购活动的，联合体各方不得再单独参加或者与其他供应商另外组成联合体参加同一合同项下的政府采购活动。</w:t>
            </w:r>
          </w:p>
          <w:p w14:paraId="4F54C86D">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6、若联合体中任一成员单位中途退出，则该联合体的</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14:paraId="50018EEB">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7、本项目不接受联合体响应时，供应商不得为联合体。 </w:t>
            </w:r>
          </w:p>
        </w:tc>
        <w:tc>
          <w:tcPr>
            <w:tcW w:w="1480" w:type="dxa"/>
            <w:noWrap w:val="0"/>
            <w:vAlign w:val="center"/>
          </w:tcPr>
          <w:p w14:paraId="08611B14">
            <w:pPr>
              <w:shd w:val="clear"/>
              <w:tabs>
                <w:tab w:val="left" w:pos="1080"/>
              </w:tabs>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加盖公章的</w:t>
            </w:r>
            <w:r>
              <w:rPr>
                <w:rFonts w:hint="eastAsia" w:ascii="宋体" w:hAnsi="宋体" w:eastAsia="宋体" w:cs="宋体"/>
                <w:color w:val="auto"/>
                <w:sz w:val="21"/>
                <w:szCs w:val="21"/>
                <w:highlight w:val="none"/>
              </w:rPr>
              <w:t>《联合协议》</w:t>
            </w:r>
            <w:r>
              <w:rPr>
                <w:rFonts w:hint="eastAsia" w:ascii="宋体" w:hAnsi="宋体" w:eastAsia="宋体" w:cs="宋体"/>
                <w:color w:val="auto"/>
                <w:sz w:val="21"/>
                <w:szCs w:val="21"/>
                <w:highlight w:val="none"/>
                <w:lang w:eastAsia="zh-CN"/>
              </w:rPr>
              <w:t>，</w:t>
            </w:r>
          </w:p>
          <w:p w14:paraId="0CFEC6CC">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3739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5684D325">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2055" w:type="dxa"/>
            <w:noWrap w:val="0"/>
            <w:vAlign w:val="center"/>
          </w:tcPr>
          <w:p w14:paraId="51DA6F88">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其他特定资格要求</w:t>
            </w:r>
          </w:p>
        </w:tc>
        <w:tc>
          <w:tcPr>
            <w:tcW w:w="4098" w:type="dxa"/>
            <w:noWrap w:val="0"/>
            <w:vAlign w:val="center"/>
          </w:tcPr>
          <w:p w14:paraId="5CBD09AB">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4F41E5C3">
            <w:pPr>
              <w:shd w:val="clear"/>
              <w:tabs>
                <w:tab w:val="left" w:pos="1080"/>
              </w:tabs>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p>
        </w:tc>
      </w:tr>
      <w:tr w14:paraId="08A5E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7" w:hRule="atLeast"/>
          <w:jc w:val="center"/>
        </w:trPr>
        <w:tc>
          <w:tcPr>
            <w:tcW w:w="765" w:type="dxa"/>
            <w:noWrap w:val="0"/>
            <w:vAlign w:val="center"/>
          </w:tcPr>
          <w:p w14:paraId="6DDEEB2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55" w:type="dxa"/>
            <w:noWrap w:val="0"/>
            <w:vAlign w:val="center"/>
          </w:tcPr>
          <w:p w14:paraId="77868AA5">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磋商保证金</w:t>
            </w:r>
          </w:p>
        </w:tc>
        <w:tc>
          <w:tcPr>
            <w:tcW w:w="4098" w:type="dxa"/>
            <w:noWrap w:val="0"/>
            <w:vAlign w:val="center"/>
          </w:tcPr>
          <w:p w14:paraId="0EB7E565">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按照竞争性磋商文件的要求提交磋商保证金。</w:t>
            </w:r>
          </w:p>
        </w:tc>
        <w:tc>
          <w:tcPr>
            <w:tcW w:w="1480" w:type="dxa"/>
            <w:noWrap w:val="0"/>
            <w:vAlign w:val="center"/>
          </w:tcPr>
          <w:p w14:paraId="2653DE54">
            <w:pPr>
              <w:shd w:val="clear"/>
              <w:tabs>
                <w:tab w:val="left" w:pos="1080"/>
              </w:tabs>
              <w:snapToGrid w:val="0"/>
              <w:rPr>
                <w:rFonts w:hint="eastAsia" w:ascii="宋体" w:hAnsi="宋体" w:eastAsia="宋体" w:cs="宋体"/>
                <w:color w:val="auto"/>
                <w:sz w:val="21"/>
                <w:szCs w:val="21"/>
                <w:highlight w:val="none"/>
              </w:rPr>
            </w:pPr>
          </w:p>
        </w:tc>
      </w:tr>
      <w:bookmarkEnd w:id="642"/>
    </w:tbl>
    <w:p w14:paraId="517D4B02">
      <w:pPr>
        <w:widowControl/>
        <w:shd w:val="clear"/>
        <w:jc w:val="left"/>
        <w:rPr>
          <w:rFonts w:eastAsia="宋体"/>
          <w:color w:val="auto"/>
          <w:sz w:val="24"/>
          <w:highlight w:val="none"/>
        </w:rPr>
      </w:pPr>
      <w:r>
        <w:rPr>
          <w:rFonts w:eastAsia="宋体"/>
          <w:color w:val="auto"/>
          <w:sz w:val="24"/>
          <w:highlight w:val="none"/>
        </w:rPr>
        <w:br w:type="page"/>
      </w:r>
    </w:p>
    <w:p w14:paraId="53628BC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《符合性审查要求》见下表：</w:t>
      </w:r>
    </w:p>
    <w:p w14:paraId="40F8DD2C">
      <w:pPr>
        <w:widowControl/>
        <w:shd w:val="clear"/>
        <w:spacing w:line="360" w:lineRule="auto"/>
        <w:jc w:val="center"/>
        <w:rPr>
          <w:rFonts w:eastAsia="宋体"/>
          <w:b/>
          <w:color w:val="auto"/>
          <w:kern w:val="0"/>
          <w:sz w:val="24"/>
          <w:highlight w:val="none"/>
        </w:rPr>
      </w:pPr>
      <w:r>
        <w:rPr>
          <w:rFonts w:eastAsia="宋体"/>
          <w:b/>
          <w:color w:val="auto"/>
          <w:kern w:val="0"/>
          <w:sz w:val="24"/>
          <w:highlight w:val="none"/>
        </w:rPr>
        <w:t>符合性审查要求</w:t>
      </w:r>
    </w:p>
    <w:tbl>
      <w:tblPr>
        <w:tblStyle w:val="4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43"/>
        <w:gridCol w:w="4130"/>
        <w:gridCol w:w="1793"/>
      </w:tblGrid>
      <w:tr w14:paraId="14BC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77A0000F">
            <w:pPr>
              <w:widowControl/>
              <w:shd w:val="clear"/>
              <w:spacing w:line="240" w:lineRule="auto"/>
              <w:jc w:val="center"/>
              <w:rPr>
                <w:rFonts w:eastAsia="宋体"/>
                <w:b/>
                <w:color w:val="auto"/>
                <w:kern w:val="0"/>
                <w:sz w:val="21"/>
                <w:szCs w:val="21"/>
                <w:highlight w:val="none"/>
              </w:rPr>
            </w:pPr>
            <w:r>
              <w:rPr>
                <w:rFonts w:eastAsia="宋体"/>
                <w:b/>
                <w:color w:val="auto"/>
                <w:kern w:val="0"/>
                <w:sz w:val="21"/>
                <w:szCs w:val="21"/>
                <w:highlight w:val="none"/>
              </w:rPr>
              <w:t>序号</w:t>
            </w:r>
          </w:p>
        </w:tc>
        <w:tc>
          <w:tcPr>
            <w:tcW w:w="1543" w:type="dxa"/>
            <w:noWrap w:val="0"/>
            <w:vAlign w:val="center"/>
          </w:tcPr>
          <w:p w14:paraId="5959BE9C">
            <w:pPr>
              <w:widowControl/>
              <w:shd w:val="clear"/>
              <w:spacing w:line="240" w:lineRule="auto"/>
              <w:jc w:val="center"/>
              <w:rPr>
                <w:rFonts w:eastAsia="宋体"/>
                <w:b/>
                <w:color w:val="auto"/>
                <w:kern w:val="0"/>
                <w:sz w:val="21"/>
                <w:szCs w:val="21"/>
                <w:highlight w:val="none"/>
              </w:rPr>
            </w:pPr>
            <w:r>
              <w:rPr>
                <w:rFonts w:eastAsia="宋体"/>
                <w:b/>
                <w:color w:val="auto"/>
                <w:sz w:val="21"/>
                <w:szCs w:val="21"/>
                <w:highlight w:val="none"/>
              </w:rPr>
              <w:t>检查</w:t>
            </w:r>
            <w:r>
              <w:rPr>
                <w:rFonts w:eastAsia="宋体"/>
                <w:b/>
                <w:color w:val="auto"/>
                <w:kern w:val="0"/>
                <w:sz w:val="21"/>
                <w:szCs w:val="21"/>
                <w:highlight w:val="none"/>
              </w:rPr>
              <w:t>因素</w:t>
            </w:r>
          </w:p>
        </w:tc>
        <w:tc>
          <w:tcPr>
            <w:tcW w:w="4130" w:type="dxa"/>
            <w:noWrap w:val="0"/>
            <w:vAlign w:val="center"/>
          </w:tcPr>
          <w:p w14:paraId="49C3F3F7">
            <w:pPr>
              <w:widowControl/>
              <w:shd w:val="clear"/>
              <w:spacing w:line="240" w:lineRule="auto"/>
              <w:jc w:val="center"/>
              <w:rPr>
                <w:rFonts w:eastAsia="宋体"/>
                <w:b/>
                <w:color w:val="auto"/>
                <w:kern w:val="0"/>
                <w:sz w:val="21"/>
                <w:szCs w:val="21"/>
                <w:highlight w:val="none"/>
              </w:rPr>
            </w:pPr>
            <w:r>
              <w:rPr>
                <w:rFonts w:eastAsia="宋体"/>
                <w:b/>
                <w:color w:val="auto"/>
                <w:sz w:val="21"/>
                <w:szCs w:val="21"/>
                <w:highlight w:val="none"/>
              </w:rPr>
              <w:t>检查</w:t>
            </w:r>
            <w:r>
              <w:rPr>
                <w:rFonts w:eastAsia="宋体"/>
                <w:b/>
                <w:color w:val="auto"/>
                <w:kern w:val="0"/>
                <w:sz w:val="21"/>
                <w:szCs w:val="21"/>
                <w:highlight w:val="none"/>
              </w:rPr>
              <w:t>内容</w:t>
            </w:r>
          </w:p>
        </w:tc>
        <w:tc>
          <w:tcPr>
            <w:tcW w:w="1793" w:type="dxa"/>
            <w:noWrap w:val="0"/>
            <w:vAlign w:val="center"/>
          </w:tcPr>
          <w:p w14:paraId="3D20042E">
            <w:pPr>
              <w:widowControl/>
              <w:shd w:val="clear"/>
              <w:spacing w:line="240" w:lineRule="auto"/>
              <w:jc w:val="center"/>
              <w:rPr>
                <w:rFonts w:eastAsia="宋体"/>
                <w:b/>
                <w:color w:val="auto"/>
                <w:kern w:val="0"/>
                <w:sz w:val="21"/>
                <w:szCs w:val="21"/>
                <w:highlight w:val="none"/>
              </w:rPr>
            </w:pPr>
            <w:r>
              <w:rPr>
                <w:rFonts w:eastAsia="宋体"/>
                <w:b/>
                <w:color w:val="auto"/>
                <w:kern w:val="0"/>
                <w:sz w:val="21"/>
                <w:szCs w:val="21"/>
                <w:highlight w:val="none"/>
              </w:rPr>
              <w:t>是否允许澄清、说明或者更正</w:t>
            </w:r>
          </w:p>
        </w:tc>
      </w:tr>
      <w:tr w14:paraId="313E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6B9E077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1543" w:type="dxa"/>
            <w:noWrap w:val="0"/>
            <w:vAlign w:val="center"/>
          </w:tcPr>
          <w:p w14:paraId="4FC3D1F0">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磋商保证金</w:t>
            </w:r>
          </w:p>
        </w:tc>
        <w:tc>
          <w:tcPr>
            <w:tcW w:w="4130" w:type="dxa"/>
            <w:noWrap w:val="0"/>
            <w:vAlign w:val="center"/>
          </w:tcPr>
          <w:p w14:paraId="79C5A8BA">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按照磋商文件的规定提交磋商保证金（包括形式及金额）。</w:t>
            </w:r>
          </w:p>
        </w:tc>
        <w:tc>
          <w:tcPr>
            <w:tcW w:w="1793" w:type="dxa"/>
            <w:noWrap w:val="0"/>
            <w:vAlign w:val="center"/>
          </w:tcPr>
          <w:p w14:paraId="573817D4">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否</w:t>
            </w:r>
          </w:p>
        </w:tc>
      </w:tr>
      <w:tr w14:paraId="35CB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0CA8C13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2</w:t>
            </w:r>
          </w:p>
        </w:tc>
        <w:tc>
          <w:tcPr>
            <w:tcW w:w="1543" w:type="dxa"/>
            <w:noWrap w:val="0"/>
            <w:vAlign w:val="center"/>
          </w:tcPr>
          <w:p w14:paraId="2C10124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响应文件签署盖章</w:t>
            </w:r>
          </w:p>
        </w:tc>
        <w:tc>
          <w:tcPr>
            <w:tcW w:w="4130" w:type="dxa"/>
            <w:noWrap w:val="0"/>
            <w:vAlign w:val="center"/>
          </w:tcPr>
          <w:p w14:paraId="4FFD0580">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按磋商文件格式要求加盖了供应商公章和（/或）有法定代表人或其授权代表签字加盖人名章。</w:t>
            </w:r>
          </w:p>
        </w:tc>
        <w:tc>
          <w:tcPr>
            <w:tcW w:w="1793" w:type="dxa"/>
            <w:noWrap w:val="0"/>
            <w:vAlign w:val="center"/>
          </w:tcPr>
          <w:p w14:paraId="299A119C">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1C2E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1B5162F6">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3</w:t>
            </w:r>
          </w:p>
        </w:tc>
        <w:tc>
          <w:tcPr>
            <w:tcW w:w="1543" w:type="dxa"/>
            <w:noWrap w:val="0"/>
            <w:vAlign w:val="center"/>
          </w:tcPr>
          <w:p w14:paraId="5F24908D">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报价</w:t>
            </w:r>
          </w:p>
        </w:tc>
        <w:tc>
          <w:tcPr>
            <w:tcW w:w="4130" w:type="dxa"/>
            <w:noWrap w:val="0"/>
            <w:vAlign w:val="center"/>
          </w:tcPr>
          <w:p w14:paraId="67FD60A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供应商</w:t>
            </w:r>
            <w:r>
              <w:rPr>
                <w:rFonts w:hint="eastAsia" w:ascii="宋体" w:hAnsi="宋体"/>
                <w:color w:val="auto"/>
                <w:sz w:val="21"/>
                <w:szCs w:val="21"/>
                <w:highlight w:val="none"/>
                <w:lang w:val="en-US" w:eastAsia="zh-CN"/>
              </w:rPr>
              <w:t>最后</w:t>
            </w:r>
            <w:r>
              <w:rPr>
                <w:rFonts w:hint="eastAsia" w:ascii="宋体" w:hAnsi="宋体"/>
                <w:color w:val="auto"/>
                <w:sz w:val="21"/>
                <w:szCs w:val="21"/>
                <w:highlight w:val="none"/>
              </w:rPr>
              <w:t>报价是固定价且未超过预算金额（磋商文件有最高限价的，报价未超过最高限价。</w:t>
            </w:r>
          </w:p>
        </w:tc>
        <w:tc>
          <w:tcPr>
            <w:tcW w:w="1793" w:type="dxa"/>
            <w:noWrap w:val="0"/>
            <w:vAlign w:val="center"/>
          </w:tcPr>
          <w:p w14:paraId="394AB1C4">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0E5D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3E99A7CF">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4</w:t>
            </w:r>
          </w:p>
        </w:tc>
        <w:tc>
          <w:tcPr>
            <w:tcW w:w="1543" w:type="dxa"/>
            <w:noWrap w:val="0"/>
            <w:vAlign w:val="center"/>
          </w:tcPr>
          <w:p w14:paraId="56FAA1C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附加条件</w:t>
            </w:r>
          </w:p>
        </w:tc>
        <w:tc>
          <w:tcPr>
            <w:tcW w:w="4130" w:type="dxa"/>
            <w:noWrap w:val="0"/>
            <w:vAlign w:val="center"/>
          </w:tcPr>
          <w:p w14:paraId="15F33E5B">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响应文件不含有采购人不能接受的附加条件。</w:t>
            </w:r>
          </w:p>
        </w:tc>
        <w:tc>
          <w:tcPr>
            <w:tcW w:w="1793" w:type="dxa"/>
            <w:noWrap w:val="0"/>
            <w:vAlign w:val="center"/>
          </w:tcPr>
          <w:p w14:paraId="50D5E4C5">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03F0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53BFF43F">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5</w:t>
            </w:r>
          </w:p>
        </w:tc>
        <w:tc>
          <w:tcPr>
            <w:tcW w:w="1543" w:type="dxa"/>
            <w:noWrap w:val="0"/>
            <w:vAlign w:val="center"/>
          </w:tcPr>
          <w:p w14:paraId="17E249C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公平竞争</w:t>
            </w:r>
          </w:p>
        </w:tc>
        <w:tc>
          <w:tcPr>
            <w:tcW w:w="4130" w:type="dxa"/>
            <w:noWrap w:val="0"/>
            <w:vAlign w:val="center"/>
          </w:tcPr>
          <w:p w14:paraId="4ABC766D">
            <w:pPr>
              <w:shd w:val="clear"/>
              <w:tabs>
                <w:tab w:val="left" w:pos="1260"/>
                <w:tab w:val="left" w:pos="1620"/>
              </w:tabs>
              <w:adjustRightInd w:val="0"/>
              <w:snapToGrid w:val="0"/>
              <w:spacing w:line="240" w:lineRule="auto"/>
              <w:textAlignment w:val="baseline"/>
              <w:rPr>
                <w:rFonts w:ascii="宋体" w:hAnsi="宋体"/>
                <w:color w:val="auto"/>
                <w:sz w:val="21"/>
                <w:szCs w:val="21"/>
                <w:highlight w:val="none"/>
              </w:rPr>
            </w:pPr>
            <w:r>
              <w:rPr>
                <w:rFonts w:hint="eastAsia" w:ascii="宋体" w:hAnsi="宋体"/>
                <w:color w:val="auto"/>
                <w:sz w:val="21"/>
                <w:szCs w:val="21"/>
                <w:highlight w:val="none"/>
              </w:rPr>
              <w:t>遵循公平竞争的原则，没有弄虚作假、恶意串通或妨碍其他供应商的竞争行为，损害采购人或者其他供应商的合法权益；</w:t>
            </w:r>
          </w:p>
          <w:p w14:paraId="3BD2663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弄虚作假、相互串通的情形见附注。</w:t>
            </w:r>
          </w:p>
        </w:tc>
        <w:tc>
          <w:tcPr>
            <w:tcW w:w="1793" w:type="dxa"/>
            <w:noWrap w:val="0"/>
            <w:vAlign w:val="center"/>
          </w:tcPr>
          <w:p w14:paraId="4AA30B22">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38C9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752E6AA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6</w:t>
            </w:r>
          </w:p>
        </w:tc>
        <w:tc>
          <w:tcPr>
            <w:tcW w:w="1543" w:type="dxa"/>
            <w:noWrap w:val="0"/>
            <w:vAlign w:val="center"/>
          </w:tcPr>
          <w:p w14:paraId="03F1C82E">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其他无效情形</w:t>
            </w:r>
          </w:p>
        </w:tc>
        <w:tc>
          <w:tcPr>
            <w:tcW w:w="4130" w:type="dxa"/>
            <w:noWrap w:val="0"/>
            <w:vAlign w:val="center"/>
          </w:tcPr>
          <w:p w14:paraId="677A97E3">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法律、法规和磋商文件规定的其他无效情形。</w:t>
            </w:r>
          </w:p>
        </w:tc>
        <w:tc>
          <w:tcPr>
            <w:tcW w:w="1793" w:type="dxa"/>
            <w:noWrap w:val="0"/>
            <w:vAlign w:val="center"/>
          </w:tcPr>
          <w:p w14:paraId="0A6D2033">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546E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4692D7D7">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hint="eastAsia" w:ascii="宋体" w:hAnsi="宋体" w:eastAsia="宋体" w:cs="Times New Roman"/>
                <w:color w:val="auto"/>
                <w:kern w:val="2"/>
                <w:sz w:val="21"/>
                <w:szCs w:val="21"/>
                <w:highlight w:val="none"/>
                <w:lang w:val="en-US" w:eastAsia="zh-CN" w:bidi="ar-SA"/>
              </w:rPr>
            </w:pPr>
          </w:p>
        </w:tc>
        <w:tc>
          <w:tcPr>
            <w:tcW w:w="0" w:type="auto"/>
            <w:noWrap w:val="0"/>
            <w:vAlign w:val="center"/>
          </w:tcPr>
          <w:p w14:paraId="6A3120A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响应文件有效期</w:t>
            </w:r>
          </w:p>
        </w:tc>
        <w:tc>
          <w:tcPr>
            <w:tcW w:w="4130" w:type="dxa"/>
            <w:noWrap w:val="0"/>
            <w:vAlign w:val="center"/>
          </w:tcPr>
          <w:p w14:paraId="7DD49C38">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有效期满足磋商文件要求的。</w:t>
            </w:r>
          </w:p>
        </w:tc>
        <w:tc>
          <w:tcPr>
            <w:tcW w:w="1793" w:type="dxa"/>
            <w:noWrap w:val="0"/>
            <w:vAlign w:val="top"/>
          </w:tcPr>
          <w:p w14:paraId="5288BC85">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399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1F7A72EF">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04E0F3BC">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备选方案</w:t>
            </w:r>
          </w:p>
        </w:tc>
        <w:tc>
          <w:tcPr>
            <w:tcW w:w="4130" w:type="dxa"/>
            <w:noWrap w:val="0"/>
            <w:vAlign w:val="center"/>
          </w:tcPr>
          <w:p w14:paraId="7BC57AE3">
            <w:pPr>
              <w:shd w:val="clear"/>
              <w:tabs>
                <w:tab w:val="left" w:pos="1260"/>
                <w:tab w:val="left" w:pos="1620"/>
              </w:tabs>
              <w:adjustRightInd w:val="0"/>
              <w:snapToGrid w:val="0"/>
              <w:spacing w:line="240" w:lineRule="auto"/>
              <w:textAlignment w:val="baseline"/>
              <w:rPr>
                <w:rFonts w:ascii="宋体" w:hAnsi="宋体" w:eastAsia="宋体" w:cs="Times New Roman"/>
                <w:strike/>
                <w:color w:val="auto"/>
                <w:kern w:val="2"/>
                <w:sz w:val="21"/>
                <w:szCs w:val="21"/>
                <w:highlight w:val="none"/>
                <w:lang w:val="en-US" w:eastAsia="zh-CN" w:bidi="ar-SA"/>
              </w:rPr>
            </w:pPr>
            <w:r>
              <w:rPr>
                <w:rFonts w:hint="eastAsia" w:ascii="宋体" w:hAnsi="宋体"/>
                <w:color w:val="auto"/>
                <w:sz w:val="21"/>
                <w:szCs w:val="21"/>
                <w:highlight w:val="none"/>
              </w:rPr>
              <w:t>供应商不得提交两份或者多份内容不同的响应文件，或者在同一份响应文件中对同一磋商项目有两个或者多个报价。</w:t>
            </w:r>
          </w:p>
        </w:tc>
        <w:tc>
          <w:tcPr>
            <w:tcW w:w="1793" w:type="dxa"/>
            <w:noWrap w:val="0"/>
            <w:vAlign w:val="top"/>
          </w:tcPr>
          <w:p w14:paraId="5A406164">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59DD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3FD76E64">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63FD4F96">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响应文件内容</w:t>
            </w:r>
          </w:p>
        </w:tc>
        <w:tc>
          <w:tcPr>
            <w:tcW w:w="4130" w:type="dxa"/>
            <w:noWrap w:val="0"/>
            <w:vAlign w:val="center"/>
          </w:tcPr>
          <w:p w14:paraId="30AF56EE">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供应商提供的货物/服务无实质性遗漏。</w:t>
            </w:r>
          </w:p>
        </w:tc>
        <w:tc>
          <w:tcPr>
            <w:tcW w:w="1793" w:type="dxa"/>
            <w:noWrap w:val="0"/>
            <w:vAlign w:val="top"/>
          </w:tcPr>
          <w:p w14:paraId="7578BA6B">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7EC1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338763E7">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566924E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技术响应</w:t>
            </w:r>
          </w:p>
        </w:tc>
        <w:tc>
          <w:tcPr>
            <w:tcW w:w="4130" w:type="dxa"/>
            <w:noWrap w:val="0"/>
            <w:vAlign w:val="center"/>
          </w:tcPr>
          <w:p w14:paraId="01C725ED">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符合“采购需求”要求，</w:t>
            </w:r>
            <w:r>
              <w:rPr>
                <w:rFonts w:hint="eastAsia" w:ascii="宋体" w:hAnsi="宋体" w:cs="宋体"/>
                <w:color w:val="auto"/>
                <w:sz w:val="21"/>
                <w:szCs w:val="21"/>
                <w:highlight w:val="none"/>
              </w:rPr>
              <w:t>★号条款</w:t>
            </w:r>
            <w:r>
              <w:rPr>
                <w:rFonts w:hint="eastAsia" w:ascii="宋体" w:hAnsi="宋体"/>
                <w:color w:val="auto"/>
                <w:sz w:val="21"/>
                <w:szCs w:val="21"/>
                <w:highlight w:val="none"/>
              </w:rPr>
              <w:t>无重大偏差。</w:t>
            </w:r>
          </w:p>
        </w:tc>
        <w:tc>
          <w:tcPr>
            <w:tcW w:w="1793" w:type="dxa"/>
            <w:noWrap w:val="0"/>
            <w:vAlign w:val="top"/>
          </w:tcPr>
          <w:p w14:paraId="069B7186">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2CA9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5B9F4F7A">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34BF3142">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lang w:val="en-US" w:eastAsia="zh-CN"/>
              </w:rPr>
              <w:t>服务期限</w:t>
            </w:r>
            <w:r>
              <w:rPr>
                <w:rFonts w:hint="eastAsia" w:ascii="宋体" w:hAnsi="宋体"/>
                <w:color w:val="auto"/>
                <w:sz w:val="21"/>
                <w:szCs w:val="21"/>
                <w:highlight w:val="none"/>
              </w:rPr>
              <w:t>和</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地点</w:t>
            </w:r>
          </w:p>
        </w:tc>
        <w:tc>
          <w:tcPr>
            <w:tcW w:w="4130" w:type="dxa"/>
            <w:noWrap w:val="0"/>
            <w:vAlign w:val="center"/>
          </w:tcPr>
          <w:p w14:paraId="3BDBA0E2">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满足磋商文件要求。</w:t>
            </w:r>
          </w:p>
        </w:tc>
        <w:tc>
          <w:tcPr>
            <w:tcW w:w="1793" w:type="dxa"/>
            <w:noWrap w:val="0"/>
            <w:vAlign w:val="top"/>
          </w:tcPr>
          <w:p w14:paraId="73D1CCFB">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1BC8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2845FAE8">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2FFD300C">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付款方式</w:t>
            </w:r>
          </w:p>
        </w:tc>
        <w:tc>
          <w:tcPr>
            <w:tcW w:w="4130" w:type="dxa"/>
            <w:noWrap w:val="0"/>
            <w:vAlign w:val="center"/>
          </w:tcPr>
          <w:p w14:paraId="73B37EE9">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磋商文件不允许偏差时，响应文件无负偏差。</w:t>
            </w:r>
          </w:p>
        </w:tc>
        <w:tc>
          <w:tcPr>
            <w:tcW w:w="1793" w:type="dxa"/>
            <w:noWrap w:val="0"/>
            <w:vAlign w:val="top"/>
          </w:tcPr>
          <w:p w14:paraId="4800C69A">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bl>
    <w:p w14:paraId="23EDBC65">
      <w:pPr>
        <w:shd w:val="clear"/>
        <w:tabs>
          <w:tab w:val="left" w:pos="900"/>
          <w:tab w:val="left" w:pos="1080"/>
          <w:tab w:val="left" w:pos="1589"/>
        </w:tabs>
        <w:snapToGrid w:val="0"/>
        <w:spacing w:line="360" w:lineRule="auto"/>
        <w:rPr>
          <w:rFonts w:eastAsia="宋体"/>
          <w:color w:val="auto"/>
          <w:sz w:val="24"/>
          <w:highlight w:val="none"/>
        </w:rPr>
      </w:pPr>
    </w:p>
    <w:p w14:paraId="1E747F31">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磋商、响应文件有关事项的澄清、说明或者更正和最后报价</w:t>
      </w:r>
    </w:p>
    <w:p w14:paraId="5C29C3A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磋商小组所有成员应当集中与单一供应商分别进行磋商，并给予所有参加磋商的供应商平等的磋商机会。</w:t>
      </w:r>
    </w:p>
    <w:p w14:paraId="091D4E48">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670D565">
      <w:pPr>
        <w:numPr>
          <w:ilvl w:val="1"/>
          <w:numId w:val="12"/>
        </w:numPr>
        <w:shd w:val="clear"/>
        <w:tabs>
          <w:tab w:val="left" w:pos="1080"/>
          <w:tab w:val="left" w:pos="1872"/>
        </w:tabs>
        <w:snapToGrid w:val="0"/>
        <w:spacing w:line="360" w:lineRule="auto"/>
        <w:ind w:left="1077" w:hanging="720"/>
        <w:rPr>
          <w:rFonts w:eastAsia="宋体"/>
          <w:color w:val="auto"/>
          <w:kern w:val="0"/>
          <w:sz w:val="24"/>
          <w:highlight w:val="none"/>
        </w:rPr>
      </w:pPr>
      <w:r>
        <w:rPr>
          <w:rFonts w:eastAsia="宋体"/>
          <w:color w:val="auto"/>
          <w:kern w:val="0"/>
          <w:sz w:val="24"/>
          <w:highlight w:val="none"/>
        </w:rPr>
        <w:t>对磋商文件作出的实质性变动是磋商文件的有效组成部分，磋商小组应当及时以书面形式同时通知所有参加磋商的供应商。</w:t>
      </w:r>
    </w:p>
    <w:p w14:paraId="1B5D3D6A">
      <w:pPr>
        <w:numPr>
          <w:ilvl w:val="1"/>
          <w:numId w:val="12"/>
        </w:numPr>
        <w:shd w:val="clear"/>
        <w:tabs>
          <w:tab w:val="left" w:pos="1080"/>
          <w:tab w:val="left" w:pos="1872"/>
        </w:tabs>
        <w:snapToGrid w:val="0"/>
        <w:spacing w:line="360" w:lineRule="auto"/>
        <w:ind w:left="1077" w:hanging="720"/>
        <w:rPr>
          <w:rFonts w:eastAsia="宋体"/>
          <w:color w:val="auto"/>
          <w:kern w:val="0"/>
          <w:sz w:val="24"/>
          <w:highlight w:val="none"/>
        </w:rPr>
      </w:pPr>
      <w:r>
        <w:rPr>
          <w:rFonts w:eastAsia="宋体"/>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6A32204">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响应文件的澄清、说明或者更正</w:t>
      </w:r>
      <w:r>
        <w:rPr>
          <w:rFonts w:hint="eastAsia" w:eastAsia="宋体"/>
          <w:color w:val="auto"/>
          <w:sz w:val="24"/>
          <w:highlight w:val="none"/>
        </w:rPr>
        <w:t>：</w:t>
      </w:r>
    </w:p>
    <w:p w14:paraId="3F67AE6D">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57093ED">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宋体"/>
          <w:b/>
          <w:color w:val="auto"/>
          <w:sz w:val="24"/>
          <w:highlight w:val="none"/>
        </w:rPr>
        <w:t>无效处理</w:t>
      </w:r>
      <w:r>
        <w:rPr>
          <w:rFonts w:eastAsia="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color w:val="auto"/>
          <w:sz w:val="24"/>
          <w:highlight w:val="none"/>
        </w:rPr>
        <w:t>无效处理</w:t>
      </w:r>
      <w:r>
        <w:rPr>
          <w:rFonts w:eastAsia="宋体"/>
          <w:color w:val="auto"/>
          <w:sz w:val="24"/>
          <w:highlight w:val="none"/>
        </w:rPr>
        <w:t>。</w:t>
      </w:r>
    </w:p>
    <w:p w14:paraId="4FC7EF74">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D554DBF">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磋商结束后，磋商小组将要求所有实质性响应的供应商在规定时间内提交最后报价。最后报价时间为磋商小组指定的时间，具体时间根据磋商进度另行通知。</w:t>
      </w:r>
    </w:p>
    <w:p w14:paraId="5FA89D6C">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9698D71">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最后报价是供应商响应文件的有效组成部分。</w:t>
      </w:r>
    </w:p>
    <w:p w14:paraId="17428901">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已提交响应文件的供应商，在提交最后报价之前，可以根据磋商情况退出磋商。</w:t>
      </w:r>
    </w:p>
    <w:p w14:paraId="3B7C8462">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最后报价的算术修正及政策调整</w:t>
      </w:r>
    </w:p>
    <w:p w14:paraId="4AE0AE23">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最后报价须包含竞争性磋商文件全部内容，</w:t>
      </w:r>
      <w:r>
        <w:rPr>
          <w:color w:val="auto"/>
          <w:sz w:val="24"/>
          <w:highlight w:val="none"/>
        </w:rPr>
        <w:t>如</w:t>
      </w:r>
      <w:r>
        <w:rPr>
          <w:rFonts w:hint="eastAsia"/>
          <w:color w:val="auto"/>
          <w:sz w:val="24"/>
          <w:highlight w:val="none"/>
        </w:rPr>
        <w:t>最后</w:t>
      </w:r>
      <w:r>
        <w:rPr>
          <w:color w:val="auto"/>
          <w:sz w:val="24"/>
          <w:highlight w:val="none"/>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74A4ADA6">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最后报价出现前后不一致的，按照下列规定修正：</w:t>
      </w:r>
    </w:p>
    <w:p w14:paraId="0732FD11">
      <w:pPr>
        <w:numPr>
          <w:ilvl w:val="2"/>
          <w:numId w:val="12"/>
        </w:num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eastAsia="宋体"/>
          <w:color w:val="auto"/>
          <w:sz w:val="24"/>
          <w:highlight w:val="none"/>
        </w:rPr>
        <w:t>竞争性磋商文件对于报价修正是否另有规定：</w:t>
      </w:r>
    </w:p>
    <w:p w14:paraId="7391BF6B">
      <w:pPr>
        <w:shd w:val="clear"/>
        <w:tabs>
          <w:tab w:val="left" w:pos="1080"/>
          <w:tab w:val="left" w:pos="1589"/>
          <w:tab w:val="left" w:pos="2035"/>
          <w:tab w:val="left" w:pos="2114"/>
        </w:tabs>
        <w:snapToGrid w:val="0"/>
        <w:spacing w:line="360" w:lineRule="auto"/>
        <w:ind w:left="2035"/>
        <w:rPr>
          <w:rFonts w:eastAsia="宋体"/>
          <w:color w:val="auto"/>
          <w:sz w:val="24"/>
          <w:highlight w:val="none"/>
          <w:u w:val="single"/>
        </w:rPr>
      </w:pPr>
      <w:r>
        <w:rPr>
          <w:rFonts w:hint="eastAsia"/>
          <w:color w:val="auto"/>
          <w:sz w:val="24"/>
          <w:highlight w:val="none"/>
          <w:lang w:eastAsia="zh-CN"/>
        </w:rPr>
        <w:t>□</w:t>
      </w:r>
      <w:r>
        <w:rPr>
          <w:rFonts w:eastAsia="宋体"/>
          <w:color w:val="auto"/>
          <w:sz w:val="24"/>
          <w:highlight w:val="none"/>
        </w:rPr>
        <w:t>有，具体规定为：___________</w:t>
      </w:r>
    </w:p>
    <w:p w14:paraId="176097C6">
      <w:p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无，按下述3.2.2-3.2.5项规定修正。</w:t>
      </w:r>
    </w:p>
    <w:p w14:paraId="51B58385">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大写金额和小写金额不一致的，以大写金额为准；</w:t>
      </w:r>
    </w:p>
    <w:p w14:paraId="3937363F">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单价金额小数点或者百分比有明显错位的，以最后报价一览表的总价为准，并修改单价；</w:t>
      </w:r>
    </w:p>
    <w:p w14:paraId="2906FDA8">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总价金额与按单价汇总金额不一致的，以单价金额计算结果为准。</w:t>
      </w:r>
    </w:p>
    <w:p w14:paraId="6245DB46">
      <w:pPr>
        <w:numPr>
          <w:ilvl w:val="2"/>
          <w:numId w:val="12"/>
        </w:num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eastAsia="宋体"/>
          <w:color w:val="auto"/>
          <w:sz w:val="24"/>
          <w:highlight w:val="none"/>
        </w:rPr>
        <w:t>同时出现两种以上不一致的，按照前款规定的顺序修正。修正后的报价经供应商书面确认后产生约束力，供应商不确认的，</w:t>
      </w:r>
      <w:r>
        <w:rPr>
          <w:rFonts w:eastAsia="宋体"/>
          <w:b/>
          <w:color w:val="auto"/>
          <w:sz w:val="24"/>
          <w:highlight w:val="none"/>
        </w:rPr>
        <w:t>其响应无效</w:t>
      </w:r>
      <w:r>
        <w:rPr>
          <w:rFonts w:eastAsia="宋体"/>
          <w:color w:val="auto"/>
          <w:sz w:val="24"/>
          <w:highlight w:val="none"/>
        </w:rPr>
        <w:t>。</w:t>
      </w:r>
    </w:p>
    <w:p w14:paraId="2AF47F9A">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落实政府采购政策的价格调整：只有符合第二章《供应商须知》4.2条规定情形的，可以享受中小企业扶持政策，用扣除后的价格参加评审；否则，评审时价格不予扣除。</w:t>
      </w:r>
    </w:p>
    <w:p w14:paraId="581F6F90">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lang w:val="en-US" w:eastAsia="zh-CN"/>
        </w:rPr>
        <w:t>10</w:t>
      </w:r>
      <w:r>
        <w:rPr>
          <w:rFonts w:eastAsia="宋体"/>
          <w:color w:val="auto"/>
          <w:sz w:val="24"/>
          <w:highlight w:val="none"/>
        </w:rPr>
        <w:t>%的扣除，用扣除后的价格参加评审。</w:t>
      </w:r>
    </w:p>
    <w:p w14:paraId="5E7B5AEB">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lang w:val="en-US" w:eastAsia="zh-CN"/>
        </w:rPr>
        <w:t>4</w:t>
      </w:r>
      <w:r>
        <w:rPr>
          <w:rFonts w:eastAsia="宋体"/>
          <w:color w:val="auto"/>
          <w:sz w:val="24"/>
          <w:highlight w:val="none"/>
        </w:rPr>
        <w:t>%的扣除，用扣除后的价格参加评审。</w:t>
      </w:r>
    </w:p>
    <w:p w14:paraId="0CEC8C93">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组成联合体或者接受分包的小微企业与联合体内其他企业、分包企业之间存在直接控股、管理关系的，不享受价格扣除优惠政策。</w:t>
      </w:r>
    </w:p>
    <w:p w14:paraId="73A539BB">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价格扣除比例对小型企业和微型企业同等对待，不作区分。</w:t>
      </w:r>
    </w:p>
    <w:p w14:paraId="1C7E0CD5">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中小企业参加政府采购活动，应当按照竞争性磋商文件给定的格式出具《中小企业声明函》，否则不得享受相关中小企业扶持政策。</w:t>
      </w:r>
    </w:p>
    <w:p w14:paraId="5AC44D8C">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监狱企业提供了由省级以上监狱管理局（北京市含教育矫治局）、戒毒管理局（含新疆生产建设兵团）出具的属于监狱企业的证明文件的，视同小微企业。</w:t>
      </w:r>
    </w:p>
    <w:p w14:paraId="75ED34D2">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残疾人福利性单位按竞争性磋商文件要求提供了《残疾人福利性单位声明函》（见附件）的，视同小微企业。</w:t>
      </w:r>
    </w:p>
    <w:p w14:paraId="0EBF1570">
      <w:pPr>
        <w:numPr>
          <w:ilvl w:val="2"/>
          <w:numId w:val="12"/>
        </w:numPr>
        <w:shd w:val="clear"/>
        <w:tabs>
          <w:tab w:val="left" w:pos="1080"/>
          <w:tab w:val="left" w:pos="1589"/>
          <w:tab w:val="left" w:pos="2014"/>
        </w:tabs>
        <w:snapToGrid w:val="0"/>
        <w:spacing w:line="360" w:lineRule="auto"/>
        <w:ind w:left="2035"/>
        <w:rPr>
          <w:rFonts w:eastAsia="宋体"/>
          <w:color w:val="auto"/>
          <w:sz w:val="24"/>
          <w:highlight w:val="none"/>
        </w:rPr>
      </w:pPr>
      <w:r>
        <w:rPr>
          <w:rFonts w:eastAsia="宋体"/>
          <w:color w:val="auto"/>
          <w:sz w:val="24"/>
          <w:highlight w:val="none"/>
        </w:rPr>
        <w:t>若供应商同时属于小型或微型企业、监狱企业、残疾人福利性单位中的两种及以上，将不重复享受小微企业价格扣减的优惠政策。</w:t>
      </w:r>
    </w:p>
    <w:p w14:paraId="10013C1E">
      <w:pPr>
        <w:numPr>
          <w:ilvl w:val="2"/>
          <w:numId w:val="12"/>
        </w:numPr>
        <w:shd w:val="clear"/>
        <w:tabs>
          <w:tab w:val="left" w:pos="1080"/>
          <w:tab w:val="left" w:pos="1589"/>
          <w:tab w:val="left" w:pos="2014"/>
        </w:tabs>
        <w:snapToGrid w:val="0"/>
        <w:spacing w:line="360" w:lineRule="auto"/>
        <w:ind w:left="2035"/>
        <w:rPr>
          <w:rFonts w:eastAsia="宋体"/>
          <w:color w:val="auto"/>
          <w:sz w:val="24"/>
          <w:highlight w:val="none"/>
        </w:rPr>
      </w:pPr>
      <w:r>
        <w:rPr>
          <w:rFonts w:eastAsia="宋体"/>
          <w:color w:val="auto"/>
          <w:sz w:val="24"/>
          <w:highlight w:val="none"/>
        </w:rPr>
        <w:t>其他为落实政府采购政策实施的优先采购：</w:t>
      </w:r>
      <w:r>
        <w:rPr>
          <w:rFonts w:hint="eastAsia"/>
          <w:color w:val="auto"/>
          <w:sz w:val="24"/>
          <w:highlight w:val="none"/>
          <w:u w:val="single"/>
          <w:lang w:val="en-US" w:eastAsia="zh-CN"/>
        </w:rPr>
        <w:t>/</w:t>
      </w:r>
      <w:r>
        <w:rPr>
          <w:rFonts w:eastAsia="宋体"/>
          <w:color w:val="auto"/>
          <w:sz w:val="24"/>
          <w:highlight w:val="none"/>
        </w:rPr>
        <w:t>。</w:t>
      </w:r>
    </w:p>
    <w:p w14:paraId="05914913">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磋商环节及提交最后报价后如出现以下情况的，供应商的</w:t>
      </w:r>
      <w:r>
        <w:rPr>
          <w:rFonts w:eastAsia="宋体"/>
          <w:b/>
          <w:color w:val="auto"/>
          <w:sz w:val="24"/>
          <w:highlight w:val="none"/>
        </w:rPr>
        <w:t>响应文件无效</w:t>
      </w:r>
      <w:r>
        <w:rPr>
          <w:rFonts w:eastAsia="宋体"/>
          <w:color w:val="auto"/>
          <w:sz w:val="24"/>
          <w:highlight w:val="none"/>
        </w:rPr>
        <w:t>：</w:t>
      </w:r>
    </w:p>
    <w:p w14:paraId="7FFFEC26">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供应商对实质性变动不予确认的；</w:t>
      </w:r>
    </w:p>
    <w:p w14:paraId="6BB58958">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不满足磋商文件</w:t>
      </w:r>
      <w:r>
        <w:rPr>
          <w:rFonts w:ascii="Segoe UI Symbol" w:hAnsi="Segoe UI Symbol" w:eastAsia="宋体" w:cs="Segoe UI Symbol"/>
          <w:color w:val="auto"/>
          <w:sz w:val="24"/>
          <w:highlight w:val="none"/>
        </w:rPr>
        <w:t>★</w:t>
      </w:r>
      <w:r>
        <w:rPr>
          <w:rFonts w:eastAsia="宋体"/>
          <w:color w:val="auto"/>
          <w:sz w:val="24"/>
          <w:highlight w:val="none"/>
        </w:rPr>
        <w:t>号条款或磋商文件技术指标超出磋商文件</w:t>
      </w:r>
      <w:r>
        <w:rPr>
          <w:rFonts w:hint="eastAsia" w:eastAsia="宋体"/>
          <w:color w:val="auto"/>
          <w:sz w:val="24"/>
          <w:highlight w:val="none"/>
        </w:rPr>
        <w:t>《</w:t>
      </w:r>
      <w:r>
        <w:rPr>
          <w:rFonts w:eastAsia="宋体"/>
          <w:color w:val="auto"/>
          <w:sz w:val="24"/>
          <w:highlight w:val="none"/>
        </w:rPr>
        <w:t>采购需求</w:t>
      </w:r>
      <w:r>
        <w:rPr>
          <w:rFonts w:hint="eastAsia" w:eastAsia="宋体"/>
          <w:color w:val="auto"/>
          <w:sz w:val="24"/>
          <w:highlight w:val="none"/>
        </w:rPr>
        <w:t>》</w:t>
      </w:r>
      <w:r>
        <w:rPr>
          <w:rFonts w:eastAsia="宋体"/>
          <w:color w:val="auto"/>
          <w:sz w:val="24"/>
          <w:highlight w:val="none"/>
        </w:rPr>
        <w:t>中主要技术参数允许偏差的最大范围的（如有）；</w:t>
      </w:r>
    </w:p>
    <w:p w14:paraId="60A64198">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未按照磋商小组规定的时间、逾期提交最后报价的；</w:t>
      </w:r>
    </w:p>
    <w:p w14:paraId="2D40486E">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如供应商的最后报价超过竞争性磋商文件中规定的项目/采购包预算金额或者项目/采购包最高限价的；</w:t>
      </w:r>
    </w:p>
    <w:p w14:paraId="33FBD93A">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响应文件中出现可选择性或可调整的报价的（竞争性磋商文件另有规定的除外）；</w:t>
      </w:r>
    </w:p>
    <w:p w14:paraId="5752D592">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最后报价出现前后不一致，供应商对修正后的报价不予确认的；</w:t>
      </w:r>
    </w:p>
    <w:p w14:paraId="6CCDA097">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其他：</w:t>
      </w:r>
      <w:r>
        <w:rPr>
          <w:rFonts w:eastAsia="宋体"/>
          <w:color w:val="auto"/>
          <w:sz w:val="24"/>
          <w:highlight w:val="none"/>
          <w:u w:val="single"/>
        </w:rPr>
        <w:t>_</w:t>
      </w:r>
      <w:r>
        <w:rPr>
          <w:rFonts w:hint="eastAsia"/>
          <w:color w:val="auto"/>
          <w:sz w:val="24"/>
          <w:highlight w:val="none"/>
          <w:u w:val="single"/>
          <w:lang w:val="en-US" w:eastAsia="zh-CN"/>
        </w:rPr>
        <w:t>/</w:t>
      </w:r>
      <w:r>
        <w:rPr>
          <w:rFonts w:eastAsia="宋体"/>
          <w:color w:val="auto"/>
          <w:sz w:val="24"/>
          <w:highlight w:val="none"/>
        </w:rPr>
        <w:t>_。</w:t>
      </w:r>
    </w:p>
    <w:bookmarkEnd w:id="625"/>
    <w:bookmarkEnd w:id="626"/>
    <w:p w14:paraId="1EDB9A92">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评审方法和评审标准</w:t>
      </w:r>
    </w:p>
    <w:p w14:paraId="593E2C19">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F8C38BC">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竞争性磋商文件中没有规定的评审标准不得作为评审依据。</w:t>
      </w:r>
    </w:p>
    <w:p w14:paraId="441C22BB">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非政府强制采购的节能产品或环境标志产品，依据品目清单和认证证书实施政府优先采购。优先采购的具体规定（如涉及）</w:t>
      </w:r>
      <w:r>
        <w:rPr>
          <w:rFonts w:hint="eastAsia"/>
          <w:color w:val="auto"/>
          <w:sz w:val="24"/>
          <w:highlight w:val="none"/>
          <w:u w:val="single"/>
          <w:lang w:val="en-US" w:eastAsia="zh-CN"/>
        </w:rPr>
        <w:t>/</w:t>
      </w:r>
      <w:r>
        <w:rPr>
          <w:rFonts w:eastAsia="宋体"/>
          <w:color w:val="auto"/>
          <w:sz w:val="24"/>
          <w:highlight w:val="none"/>
        </w:rPr>
        <w:t>。</w:t>
      </w:r>
    </w:p>
    <w:p w14:paraId="527D4CCD">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关于无线局域网认证产品政府采购清单中的产品，优先采购的具体规定（如涉及）_</w:t>
      </w:r>
      <w:r>
        <w:rPr>
          <w:rFonts w:eastAsia="宋体"/>
          <w:color w:val="auto"/>
          <w:sz w:val="24"/>
          <w:highlight w:val="none"/>
          <w:u w:val="single"/>
        </w:rPr>
        <w:t>_</w:t>
      </w:r>
      <w:r>
        <w:rPr>
          <w:rFonts w:hint="eastAsia"/>
          <w:color w:val="auto"/>
          <w:sz w:val="24"/>
          <w:highlight w:val="none"/>
          <w:u w:val="single"/>
          <w:lang w:val="en-US" w:eastAsia="zh-CN"/>
        </w:rPr>
        <w:t>/</w:t>
      </w:r>
      <w:r>
        <w:rPr>
          <w:rFonts w:eastAsia="宋体"/>
          <w:color w:val="auto"/>
          <w:sz w:val="24"/>
          <w:highlight w:val="none"/>
        </w:rPr>
        <w:t>__。</w:t>
      </w:r>
    </w:p>
    <w:p w14:paraId="0664E8D5">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确定</w:t>
      </w:r>
      <w:bookmarkStart w:id="643" w:name="_Toc149720839"/>
      <w:bookmarkStart w:id="644" w:name="_Toc151190173"/>
      <w:bookmarkStart w:id="645" w:name="_Toc164229241"/>
      <w:bookmarkStart w:id="646" w:name="_Toc226337242"/>
      <w:bookmarkStart w:id="647" w:name="_Toc164351640"/>
      <w:bookmarkStart w:id="648" w:name="_Toc127151546"/>
      <w:bookmarkStart w:id="649" w:name="_Toc151193860"/>
      <w:bookmarkStart w:id="650" w:name="_Toc164608660"/>
      <w:bookmarkStart w:id="651" w:name="_Toc195842911"/>
      <w:bookmarkStart w:id="652" w:name="_Toc164608815"/>
      <w:bookmarkStart w:id="653" w:name="_Toc150480784"/>
      <w:bookmarkStart w:id="654" w:name="_Toc264969236"/>
      <w:bookmarkStart w:id="655" w:name="_Toc164229387"/>
      <w:bookmarkStart w:id="656" w:name="_Toc127151747"/>
      <w:bookmarkStart w:id="657" w:name="_Toc520356170"/>
      <w:bookmarkStart w:id="658" w:name="_Toc151193716"/>
      <w:bookmarkStart w:id="659" w:name="_Toc127161460"/>
      <w:bookmarkStart w:id="660" w:name="_Toc151193788"/>
      <w:bookmarkStart w:id="661" w:name="_Ref467307010"/>
      <w:bookmarkStart w:id="662" w:name="_Toc226965736"/>
      <w:bookmarkStart w:id="663" w:name="_Toc150774751"/>
      <w:bookmarkStart w:id="664" w:name="_Toc151193644"/>
      <w:bookmarkStart w:id="665" w:name="_Toc150774646"/>
      <w:bookmarkStart w:id="666" w:name="_Toc305158814"/>
      <w:bookmarkStart w:id="667" w:name="_Toc142311048"/>
      <w:bookmarkStart w:id="668" w:name="_Toc305158888"/>
      <w:bookmarkStart w:id="669" w:name="_Toc150509297"/>
      <w:bookmarkStart w:id="670" w:name="_Toc226965819"/>
      <w:bookmarkStart w:id="671" w:name="_Toc265228384"/>
      <w:bookmarkStart w:id="672" w:name="_Toc226309790"/>
      <w:bookmarkStart w:id="673" w:name="_Toc151193934"/>
      <w:r>
        <w:rPr>
          <w:rFonts w:eastAsia="宋体"/>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6103D402">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A65A099">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u w:val="single"/>
          <w:lang w:val="en-US" w:eastAsia="zh-CN"/>
        </w:rPr>
        <w:t>3</w:t>
      </w:r>
      <w:r>
        <w:rPr>
          <w:color w:val="auto"/>
          <w:sz w:val="24"/>
          <w:highlight w:val="none"/>
          <w:u w:val="single"/>
        </w:rPr>
        <w:t>_</w:t>
      </w:r>
      <w:r>
        <w:rPr>
          <w:color w:val="auto"/>
          <w:sz w:val="24"/>
          <w:highlight w:val="none"/>
        </w:rPr>
        <w:t>名</w:t>
      </w:r>
      <w:r>
        <w:rPr>
          <w:rFonts w:eastAsia="宋体"/>
          <w:color w:val="auto"/>
          <w:kern w:val="0"/>
          <w:sz w:val="24"/>
          <w:szCs w:val="20"/>
          <w:highlight w:val="none"/>
        </w:rPr>
        <w:t>的供应商为</w:t>
      </w:r>
      <w:r>
        <w:rPr>
          <w:rFonts w:eastAsia="宋体"/>
          <w:snapToGrid w:val="0"/>
          <w:color w:val="auto"/>
          <w:kern w:val="0"/>
          <w:sz w:val="24"/>
          <w:szCs w:val="21"/>
          <w:highlight w:val="none"/>
        </w:rPr>
        <w:t>成交候选供应商</w:t>
      </w:r>
      <w:r>
        <w:rPr>
          <w:rFonts w:eastAsia="宋体"/>
          <w:color w:val="auto"/>
          <w:kern w:val="0"/>
          <w:sz w:val="24"/>
          <w:szCs w:val="20"/>
          <w:highlight w:val="none"/>
        </w:rPr>
        <w:t>（若在磋商文件允许的情形下提交最后报价的供应商为二家，则依次推荐二名供应商为成交候选供应商），并编写评审报告。</w:t>
      </w:r>
    </w:p>
    <w:p w14:paraId="525273E4">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磋商小组要对评分汇总情况进行复核，特别是对排名第一的、报价最低的、响应文件被认定为无效的情形进行重点复核。</w:t>
      </w:r>
    </w:p>
    <w:p w14:paraId="214CF0D5">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报告违法行为</w:t>
      </w:r>
    </w:p>
    <w:p w14:paraId="554D6985">
      <w:pPr>
        <w:widowControl/>
        <w:numPr>
          <w:ilvl w:val="1"/>
          <w:numId w:val="12"/>
        </w:numPr>
        <w:shd w:val="clear"/>
        <w:tabs>
          <w:tab w:val="left" w:pos="1872"/>
        </w:tabs>
        <w:snapToGrid w:val="0"/>
        <w:spacing w:line="360" w:lineRule="auto"/>
        <w:ind w:left="17" w:leftChars="0" w:firstLine="340" w:firstLineChars="0"/>
        <w:jc w:val="center"/>
        <w:rPr>
          <w:rFonts w:ascii="Times New Roman" w:hAnsi="Times New Roman" w:eastAsia="宋体"/>
          <w:color w:val="auto"/>
          <w:sz w:val="24"/>
          <w:szCs w:val="24"/>
          <w:highlight w:val="none"/>
        </w:rPr>
      </w:pPr>
      <w:r>
        <w:rPr>
          <w:rFonts w:ascii="Times New Roman" w:hAnsi="Times New Roman" w:eastAsia="宋体" w:cs="Times New Roman"/>
          <w:color w:val="auto"/>
          <w:sz w:val="24"/>
          <w:highlight w:val="none"/>
        </w:rPr>
        <w:t>磋商小组在评审过程中</w:t>
      </w:r>
      <w:r>
        <w:rPr>
          <w:rFonts w:eastAsia="宋体"/>
          <w:color w:val="auto"/>
          <w:sz w:val="24"/>
          <w:highlight w:val="none"/>
        </w:rPr>
        <w:t>发现供应商有行贿、提供虚假材料或者串通等违法行为时，有向采购人、采购代理机构或者有关部门报告的职责。</w:t>
      </w:r>
      <w:r>
        <w:rPr>
          <w:rFonts w:eastAsia="宋体"/>
          <w:b/>
          <w:color w:val="auto"/>
          <w:sz w:val="24"/>
          <w:highlight w:val="none"/>
        </w:rPr>
        <w:br w:type="page"/>
      </w:r>
      <w:r>
        <w:rPr>
          <w:rFonts w:ascii="Times New Roman" w:hAnsi="Times New Roman" w:eastAsia="宋体"/>
          <w:color w:val="auto"/>
          <w:sz w:val="24"/>
          <w:szCs w:val="24"/>
          <w:highlight w:val="none"/>
        </w:rPr>
        <w:t>二、评</w:t>
      </w:r>
      <w:r>
        <w:rPr>
          <w:rFonts w:hint="eastAsia" w:ascii="Times New Roman" w:hAnsi="Times New Roman" w:eastAsia="宋体"/>
          <w:color w:val="auto"/>
          <w:sz w:val="24"/>
          <w:szCs w:val="24"/>
          <w:highlight w:val="none"/>
        </w:rPr>
        <w:t>审</w:t>
      </w:r>
      <w:r>
        <w:rPr>
          <w:rFonts w:ascii="Times New Roman" w:hAnsi="Times New Roman" w:eastAsia="宋体"/>
          <w:color w:val="auto"/>
          <w:sz w:val="24"/>
          <w:szCs w:val="24"/>
          <w:highlight w:val="none"/>
        </w:rPr>
        <w:t>标准</w:t>
      </w:r>
    </w:p>
    <w:p w14:paraId="0C52ADCE">
      <w:pPr>
        <w:shd w:val="clear"/>
        <w:tabs>
          <w:tab w:val="left" w:pos="360"/>
          <w:tab w:val="left" w:pos="1080"/>
        </w:tabs>
        <w:snapToGrid w:val="0"/>
        <w:spacing w:line="360" w:lineRule="auto"/>
        <w:rPr>
          <w:rFonts w:hint="default" w:eastAsia="宋体"/>
          <w:color w:val="auto"/>
          <w:sz w:val="24"/>
          <w:highlight w:val="none"/>
          <w:lang w:val="en-US" w:eastAsia="zh-CN"/>
        </w:rPr>
      </w:pPr>
      <w:r>
        <w:rPr>
          <w:rFonts w:hint="eastAsia"/>
          <w:b/>
          <w:bCs/>
          <w:color w:val="auto"/>
          <w:sz w:val="24"/>
          <w:highlight w:val="none"/>
          <w:lang w:val="en-US" w:eastAsia="zh-CN"/>
        </w:rPr>
        <w:t>第1包：</w:t>
      </w:r>
    </w:p>
    <w:tbl>
      <w:tblPr>
        <w:tblStyle w:val="44"/>
        <w:tblpPr w:leftFromText="180" w:rightFromText="180" w:vertAnchor="text" w:horzAnchor="page" w:tblpX="1795" w:tblpY="4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789"/>
        <w:gridCol w:w="788"/>
        <w:gridCol w:w="5768"/>
        <w:gridCol w:w="828"/>
      </w:tblGrid>
      <w:tr w14:paraId="3621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1" w:type="dxa"/>
            <w:vAlign w:val="center"/>
          </w:tcPr>
          <w:p w14:paraId="109CB1F2">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序号</w:t>
            </w:r>
          </w:p>
        </w:tc>
        <w:tc>
          <w:tcPr>
            <w:tcW w:w="789" w:type="dxa"/>
            <w:vAlign w:val="center"/>
          </w:tcPr>
          <w:p w14:paraId="28480EDE">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分项/描述</w:t>
            </w:r>
          </w:p>
        </w:tc>
        <w:tc>
          <w:tcPr>
            <w:tcW w:w="788" w:type="dxa"/>
            <w:vAlign w:val="center"/>
          </w:tcPr>
          <w:p w14:paraId="70B26A24">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标准分</w:t>
            </w:r>
          </w:p>
        </w:tc>
        <w:tc>
          <w:tcPr>
            <w:tcW w:w="5768" w:type="dxa"/>
            <w:vAlign w:val="center"/>
          </w:tcPr>
          <w:p w14:paraId="1C1FBBCB">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评分标准</w:t>
            </w:r>
          </w:p>
        </w:tc>
        <w:tc>
          <w:tcPr>
            <w:tcW w:w="828" w:type="dxa"/>
            <w:vAlign w:val="center"/>
          </w:tcPr>
          <w:p w14:paraId="6D56E4A6">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主观/客观</w:t>
            </w:r>
          </w:p>
        </w:tc>
      </w:tr>
      <w:tr w14:paraId="7F24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4" w:type="dxa"/>
            <w:gridSpan w:val="5"/>
            <w:vAlign w:val="center"/>
          </w:tcPr>
          <w:p w14:paraId="1B36B33F">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一、价格部分（10分）-客观</w:t>
            </w:r>
          </w:p>
        </w:tc>
      </w:tr>
      <w:tr w14:paraId="1102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FFB735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Align w:val="center"/>
          </w:tcPr>
          <w:p w14:paraId="1E627759">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w:t>
            </w:r>
          </w:p>
        </w:tc>
        <w:tc>
          <w:tcPr>
            <w:tcW w:w="788" w:type="dxa"/>
            <w:vAlign w:val="center"/>
          </w:tcPr>
          <w:p w14:paraId="68FFD30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5768" w:type="dxa"/>
            <w:vAlign w:val="center"/>
          </w:tcPr>
          <w:p w14:paraId="6FF5A8C6">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价格分采用低价优先法计算，即满足招标文件要求且投标价格最低的投标报价为评标基准价，其价格分为满分，其他投标人的价格分统一按下列公式计算：</w:t>
            </w:r>
          </w:p>
          <w:p w14:paraId="2AD64B58">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投标报价得分=（评标基准价/投标报价）×价格权值×100。</w:t>
            </w:r>
          </w:p>
        </w:tc>
        <w:tc>
          <w:tcPr>
            <w:tcW w:w="828" w:type="dxa"/>
            <w:vAlign w:val="center"/>
          </w:tcPr>
          <w:p w14:paraId="0D0B2737">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客观</w:t>
            </w:r>
          </w:p>
        </w:tc>
      </w:tr>
      <w:tr w14:paraId="15E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4" w:type="dxa"/>
            <w:gridSpan w:val="5"/>
            <w:vAlign w:val="center"/>
          </w:tcPr>
          <w:p w14:paraId="14D6EB08">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二、商务部分（30分）-客观</w:t>
            </w:r>
          </w:p>
        </w:tc>
      </w:tr>
      <w:tr w14:paraId="65F4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7A28095E">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Merge w:val="restart"/>
            <w:vAlign w:val="center"/>
          </w:tcPr>
          <w:p w14:paraId="4DC5026D">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投标人相关资质</w:t>
            </w:r>
          </w:p>
        </w:tc>
        <w:tc>
          <w:tcPr>
            <w:tcW w:w="788" w:type="dxa"/>
            <w:vMerge w:val="restart"/>
            <w:vAlign w:val="center"/>
          </w:tcPr>
          <w:p w14:paraId="68E7879A">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p>
        </w:tc>
        <w:tc>
          <w:tcPr>
            <w:tcW w:w="5768" w:type="dxa"/>
            <w:vAlign w:val="center"/>
          </w:tcPr>
          <w:p w14:paraId="53E0463F">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1.具有信息安全管理体系认证证书，3分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1B958A0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B10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2D8186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789" w:type="dxa"/>
            <w:vMerge w:val="continue"/>
            <w:vAlign w:val="center"/>
          </w:tcPr>
          <w:p w14:paraId="6AA91611">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2A1FB379">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37B90BB2">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2.具有信息技术服务管理体系认证，3分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00C5F91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4604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vAlign w:val="center"/>
          </w:tcPr>
          <w:p w14:paraId="7C73C3C3">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789" w:type="dxa"/>
            <w:vMerge w:val="continue"/>
            <w:vAlign w:val="center"/>
          </w:tcPr>
          <w:p w14:paraId="5BAD146E">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3239828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3E8F0CDE">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具有质量管理体系认证证书的，得2分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77555E7D">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012C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vAlign w:val="center"/>
          </w:tcPr>
          <w:p w14:paraId="684F275D">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9" w:type="dxa"/>
            <w:vMerge w:val="continue"/>
            <w:vAlign w:val="center"/>
          </w:tcPr>
          <w:p w14:paraId="2CDBA263">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54B3E94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494ECFB1">
            <w:pPr>
              <w:keepNext w:val="0"/>
              <w:keepLines w:val="0"/>
              <w:pageBreakBefore w:val="0"/>
              <w:numPr>
                <w:ilvl w:val="0"/>
                <w:numId w:val="0"/>
              </w:numPr>
              <w:shd w:val="clear"/>
              <w:kinsoku/>
              <w:wordWrap/>
              <w:overflowPunct/>
              <w:topLinePunct w:val="0"/>
              <w:autoSpaceDE/>
              <w:autoSpaceDN/>
              <w:bidi w:val="0"/>
              <w:adjustRightInd/>
              <w:snapToGrid w:val="0"/>
              <w:spacing w:line="24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rPr>
              <w:t>具有环境管理体系认证证书的，得2分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6FEEEAF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3BA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3341491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789" w:type="dxa"/>
            <w:vMerge w:val="continue"/>
            <w:vAlign w:val="center"/>
          </w:tcPr>
          <w:p w14:paraId="73F60CA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1DCA62D0">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1480F82D">
            <w:pPr>
              <w:keepNext w:val="0"/>
              <w:keepLines w:val="0"/>
              <w:pageBreakBefore w:val="0"/>
              <w:numPr>
                <w:ilvl w:val="0"/>
                <w:numId w:val="0"/>
              </w:numPr>
              <w:shd w:val="clear"/>
              <w:kinsoku/>
              <w:wordWrap/>
              <w:overflowPunct/>
              <w:topLinePunct w:val="0"/>
              <w:autoSpaceDE/>
              <w:autoSpaceDN/>
              <w:bidi w:val="0"/>
              <w:adjustRightInd/>
              <w:snapToGrid w:val="0"/>
              <w:spacing w:line="24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具有职业健康安全管理体系认证证书的，得2分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01D04FE2">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03B8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2EB38D37">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789" w:type="dxa"/>
            <w:vAlign w:val="center"/>
          </w:tcPr>
          <w:p w14:paraId="5CD1BC05">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软件开发业绩</w:t>
            </w:r>
          </w:p>
        </w:tc>
        <w:tc>
          <w:tcPr>
            <w:tcW w:w="788" w:type="dxa"/>
            <w:vAlign w:val="center"/>
          </w:tcPr>
          <w:p w14:paraId="31D65A3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5768" w:type="dxa"/>
            <w:vAlign w:val="center"/>
          </w:tcPr>
          <w:p w14:paraId="3BEE1A21">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根据投标人2020年1月1日起至投标文件递交截止日承担过</w:t>
            </w:r>
            <w:r>
              <w:rPr>
                <w:rFonts w:hint="eastAsia" w:ascii="宋体" w:hAnsi="宋体" w:eastAsia="宋体" w:cs="宋体"/>
                <w:color w:val="auto"/>
                <w:sz w:val="21"/>
                <w:szCs w:val="21"/>
                <w:highlight w:val="none"/>
                <w:lang w:val="en-US" w:eastAsia="zh-CN"/>
              </w:rPr>
              <w:t>类似软件</w:t>
            </w:r>
            <w:r>
              <w:rPr>
                <w:rFonts w:hint="eastAsia" w:ascii="宋体" w:hAnsi="宋体" w:eastAsia="宋体" w:cs="宋体"/>
                <w:color w:val="auto"/>
                <w:sz w:val="21"/>
                <w:szCs w:val="21"/>
                <w:highlight w:val="none"/>
              </w:rPr>
              <w:t>开发的合同情况综合评定，每提供一个合同证明材料得2分，最多得8分（需提供合同复印件，合同复印件必须有合同首页、标的金额页、签字盖章页，复印件加盖公章。）</w:t>
            </w:r>
          </w:p>
        </w:tc>
        <w:tc>
          <w:tcPr>
            <w:tcW w:w="828" w:type="dxa"/>
            <w:vAlign w:val="center"/>
          </w:tcPr>
          <w:p w14:paraId="55C5B0E9">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176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6D4D76B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789" w:type="dxa"/>
            <w:vAlign w:val="center"/>
          </w:tcPr>
          <w:p w14:paraId="2313B9C9">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人员能力</w:t>
            </w:r>
          </w:p>
        </w:tc>
        <w:tc>
          <w:tcPr>
            <w:tcW w:w="788" w:type="dxa"/>
            <w:vAlign w:val="center"/>
          </w:tcPr>
          <w:p w14:paraId="074D984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5768" w:type="dxa"/>
            <w:vAlign w:val="center"/>
          </w:tcPr>
          <w:p w14:paraId="38B3DC94">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需要为本项目开发实施配置相关专业技术人员，</w:t>
            </w:r>
            <w:r>
              <w:rPr>
                <w:rFonts w:hint="eastAsia" w:ascii="宋体" w:hAnsi="宋体" w:eastAsia="宋体" w:cs="宋体"/>
                <w:color w:val="auto"/>
                <w:spacing w:val="9"/>
                <w:sz w:val="21"/>
                <w:szCs w:val="21"/>
                <w:highlight w:val="none"/>
              </w:rPr>
              <w:t>每配备一名具有计算机技术与软件专业技术资格证书</w:t>
            </w:r>
            <w:r>
              <w:rPr>
                <w:rFonts w:hint="eastAsia" w:ascii="宋体" w:hAnsi="宋体" w:eastAsia="宋体" w:cs="宋体"/>
                <w:color w:val="auto"/>
                <w:sz w:val="21"/>
                <w:szCs w:val="21"/>
                <w:highlight w:val="none"/>
              </w:rPr>
              <w:t>人员认证</w:t>
            </w:r>
            <w:r>
              <w:rPr>
                <w:rFonts w:hint="eastAsia" w:ascii="宋体" w:hAnsi="宋体" w:eastAsia="宋体" w:cs="宋体"/>
                <w:color w:val="auto"/>
                <w:sz w:val="21"/>
                <w:szCs w:val="21"/>
                <w:highlight w:val="yellow"/>
              </w:rPr>
              <w:t>，包括信息系统项目管理师（高级）、系统分析师、系统架构设计师、网络规划设计师、系统规划与管理师、系统集成项目管理工程师、软件设计师、网络工程师</w:t>
            </w:r>
            <w:r>
              <w:rPr>
                <w:rFonts w:hint="eastAsia" w:ascii="宋体" w:hAnsi="宋体" w:eastAsia="宋体" w:cs="宋体"/>
                <w:color w:val="auto"/>
                <w:spacing w:val="9"/>
                <w:sz w:val="21"/>
                <w:szCs w:val="21"/>
                <w:highlight w:val="yellow"/>
              </w:rPr>
              <w:t>以及</w:t>
            </w:r>
            <w:r>
              <w:rPr>
                <w:rFonts w:hint="eastAsia" w:ascii="宋体" w:hAnsi="宋体" w:eastAsia="宋体" w:cs="宋体"/>
                <w:color w:val="auto"/>
                <w:sz w:val="21"/>
                <w:szCs w:val="21"/>
                <w:highlight w:val="yellow"/>
              </w:rPr>
              <w:t>注册信息安全专业人员(CISP或CISSP)的认证人员</w:t>
            </w:r>
            <w:r>
              <w:rPr>
                <w:rFonts w:hint="eastAsia" w:ascii="宋体" w:hAnsi="宋体" w:eastAsia="宋体" w:cs="宋体"/>
                <w:color w:val="auto"/>
                <w:sz w:val="21"/>
                <w:szCs w:val="21"/>
                <w:highlight w:val="none"/>
              </w:rPr>
              <w:t>，每有1个得2分（一人多个证书的只得2分），最高10分。</w:t>
            </w:r>
          </w:p>
        </w:tc>
        <w:tc>
          <w:tcPr>
            <w:tcW w:w="828" w:type="dxa"/>
            <w:vAlign w:val="center"/>
          </w:tcPr>
          <w:p w14:paraId="5C517895">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34F3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4" w:type="dxa"/>
            <w:gridSpan w:val="5"/>
            <w:vAlign w:val="center"/>
          </w:tcPr>
          <w:p w14:paraId="0A422BD8">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三、技术部分（60分）-主观60分</w:t>
            </w:r>
          </w:p>
        </w:tc>
      </w:tr>
      <w:tr w14:paraId="0348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60C9BC80">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Align w:val="center"/>
          </w:tcPr>
          <w:p w14:paraId="501D595A">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需求分析</w:t>
            </w:r>
          </w:p>
        </w:tc>
        <w:tc>
          <w:tcPr>
            <w:tcW w:w="788" w:type="dxa"/>
            <w:vAlign w:val="center"/>
          </w:tcPr>
          <w:p w14:paraId="38DA63A4">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768" w:type="dxa"/>
            <w:vAlign w:val="center"/>
          </w:tcPr>
          <w:p w14:paraId="3ADAAE6C">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综合考虑投标人的①核心业务分析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②功能需求分析。</w:t>
            </w:r>
          </w:p>
          <w:p w14:paraId="67171845">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分析项符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分，部分符合得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分，不符合不得分；此项最高得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8" w:type="dxa"/>
            <w:vAlign w:val="center"/>
          </w:tcPr>
          <w:p w14:paraId="4FD06CF4">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主观</w:t>
            </w:r>
          </w:p>
        </w:tc>
      </w:tr>
      <w:tr w14:paraId="1CB0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026D06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789" w:type="dxa"/>
            <w:vAlign w:val="center"/>
          </w:tcPr>
          <w:p w14:paraId="6529565F">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总体设计</w:t>
            </w:r>
          </w:p>
        </w:tc>
        <w:tc>
          <w:tcPr>
            <w:tcW w:w="788" w:type="dxa"/>
            <w:vAlign w:val="center"/>
          </w:tcPr>
          <w:p w14:paraId="57A3DBB8">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5768" w:type="dxa"/>
            <w:vAlign w:val="center"/>
          </w:tcPr>
          <w:p w14:paraId="56CF4688">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综合考虑投标人的①软件整体技术架构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②逻辑架构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③技术路线。</w:t>
            </w:r>
          </w:p>
          <w:p w14:paraId="3F4B19EC">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方案内容符合得2分，部分符合得1分，不符合不得分；此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828" w:type="dxa"/>
            <w:vAlign w:val="center"/>
          </w:tcPr>
          <w:p w14:paraId="682FE98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73F4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205D86AA">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789" w:type="dxa"/>
            <w:vAlign w:val="center"/>
          </w:tcPr>
          <w:p w14:paraId="437DF844">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功能设计</w:t>
            </w:r>
          </w:p>
        </w:tc>
        <w:tc>
          <w:tcPr>
            <w:tcW w:w="788" w:type="dxa"/>
            <w:vAlign w:val="center"/>
          </w:tcPr>
          <w:p w14:paraId="55A207DB">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5768" w:type="dxa"/>
            <w:vAlign w:val="center"/>
          </w:tcPr>
          <w:p w14:paraId="7EA2EECB">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综合考虑投标人对需求中8个功能项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积分申报子系统、积分落户子系统、积分公示子系统、申报审核子系统、落户审核子系统、业务比对子系统、微服务建设、落户链建设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的设计方案。</w:t>
            </w:r>
          </w:p>
          <w:p w14:paraId="6FEF8FE4">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每一项，符合得4分，部分符合得2分，不符合不得分；此项最高得32分。</w:t>
            </w:r>
          </w:p>
        </w:tc>
        <w:tc>
          <w:tcPr>
            <w:tcW w:w="828" w:type="dxa"/>
            <w:vAlign w:val="center"/>
          </w:tcPr>
          <w:p w14:paraId="295FB0C9">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主观</w:t>
            </w:r>
          </w:p>
        </w:tc>
      </w:tr>
      <w:tr w14:paraId="5287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369C623B">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789" w:type="dxa"/>
            <w:vAlign w:val="center"/>
          </w:tcPr>
          <w:p w14:paraId="6DC1D262">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信息安全保障服务方案</w:t>
            </w:r>
          </w:p>
        </w:tc>
        <w:tc>
          <w:tcPr>
            <w:tcW w:w="788" w:type="dxa"/>
            <w:vAlign w:val="center"/>
          </w:tcPr>
          <w:p w14:paraId="556CC047">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768" w:type="dxa"/>
            <w:vAlign w:val="center"/>
          </w:tcPr>
          <w:p w14:paraId="5E0AF01A">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方案科学合理，可行性强，内容周到细致，提供的资料详尽充分，得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分；方案科学较合理，可行性较强，内容较周到细致，提供的资料详尽充分，得3分；方案完整性一般，可行性一般，方案设计常规简单，提供的资料基本满足项目需要，得1分；未提供相关内容，得0分。</w:t>
            </w:r>
          </w:p>
        </w:tc>
        <w:tc>
          <w:tcPr>
            <w:tcW w:w="828" w:type="dxa"/>
            <w:vAlign w:val="center"/>
          </w:tcPr>
          <w:p w14:paraId="5BDE45D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主观</w:t>
            </w:r>
          </w:p>
        </w:tc>
      </w:tr>
      <w:tr w14:paraId="53B8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01" w:type="dxa"/>
            <w:vAlign w:val="center"/>
          </w:tcPr>
          <w:p w14:paraId="42AD3BF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789" w:type="dxa"/>
            <w:vAlign w:val="center"/>
          </w:tcPr>
          <w:p w14:paraId="630669B2">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snapToGrid w:val="0"/>
                <w:color w:val="auto"/>
                <w:sz w:val="21"/>
                <w:szCs w:val="21"/>
                <w:highlight w:val="none"/>
              </w:rPr>
              <w:t>项目管理与实施方案</w:t>
            </w:r>
          </w:p>
        </w:tc>
        <w:tc>
          <w:tcPr>
            <w:tcW w:w="788" w:type="dxa"/>
            <w:vAlign w:val="center"/>
          </w:tcPr>
          <w:p w14:paraId="216CEEBC">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768" w:type="dxa"/>
            <w:vAlign w:val="center"/>
          </w:tcPr>
          <w:p w14:paraId="4E5B8953">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综合考虑投标人的①项目组织架构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②项目质量控制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③项目实施进度计划。</w:t>
            </w:r>
          </w:p>
          <w:p w14:paraId="66C52473">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各方案内容符合得2分，部分符合得1分，不符合不得分。此项最高得6分。</w:t>
            </w:r>
          </w:p>
        </w:tc>
        <w:tc>
          <w:tcPr>
            <w:tcW w:w="828" w:type="dxa"/>
            <w:vAlign w:val="center"/>
          </w:tcPr>
          <w:p w14:paraId="16270E93">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pacing w:val="4"/>
                <w:sz w:val="21"/>
                <w:szCs w:val="21"/>
                <w:highlight w:val="none"/>
              </w:rPr>
            </w:pPr>
            <w:r>
              <w:rPr>
                <w:rFonts w:hint="eastAsia" w:ascii="宋体" w:hAnsi="宋体" w:eastAsia="宋体" w:cs="宋体"/>
                <w:snapToGrid w:val="0"/>
                <w:color w:val="auto"/>
                <w:spacing w:val="4"/>
                <w:sz w:val="21"/>
                <w:szCs w:val="21"/>
                <w:highlight w:val="none"/>
              </w:rPr>
              <w:t>主观</w:t>
            </w:r>
          </w:p>
        </w:tc>
      </w:tr>
      <w:tr w14:paraId="3D91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41F7046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789" w:type="dxa"/>
            <w:vAlign w:val="center"/>
          </w:tcPr>
          <w:p w14:paraId="7B03E75A">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售后服务方案及培训方案</w:t>
            </w:r>
          </w:p>
        </w:tc>
        <w:tc>
          <w:tcPr>
            <w:tcW w:w="788" w:type="dxa"/>
            <w:vAlign w:val="center"/>
          </w:tcPr>
          <w:p w14:paraId="2B82BF95">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768" w:type="dxa"/>
            <w:vAlign w:val="center"/>
          </w:tcPr>
          <w:p w14:paraId="0B405579">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综合考虑投标人的①服务方式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②服务内容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培训计划及内容。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每一项，符合得2分，部分符合得1分，不符合不得分；此项最高得6分。</w:t>
            </w:r>
          </w:p>
          <w:p w14:paraId="2CDA42A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提供运维服务人员</w:t>
            </w:r>
            <w:r>
              <w:rPr>
                <w:rFonts w:hint="eastAsia" w:ascii="宋体" w:hAnsi="宋体" w:eastAsia="宋体" w:cs="宋体"/>
                <w:color w:val="auto"/>
                <w:sz w:val="21"/>
                <w:szCs w:val="21"/>
                <w:highlight w:val="none"/>
                <w:lang w:val="en-US" w:eastAsia="zh-CN"/>
              </w:rPr>
              <w:t>近6个月中任意一个月的</w:t>
            </w:r>
            <w:r>
              <w:rPr>
                <w:rFonts w:hint="eastAsia" w:ascii="宋体" w:hAnsi="宋体" w:eastAsia="宋体" w:cs="宋体"/>
                <w:color w:val="auto"/>
                <w:sz w:val="21"/>
                <w:szCs w:val="21"/>
                <w:highlight w:val="none"/>
              </w:rPr>
              <w:t>社保证明（不得与设计、开发团队人员重复），5人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以上得2分，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以下得1分，没有不得分。</w:t>
            </w:r>
          </w:p>
        </w:tc>
        <w:tc>
          <w:tcPr>
            <w:tcW w:w="828" w:type="dxa"/>
            <w:vAlign w:val="center"/>
          </w:tcPr>
          <w:p w14:paraId="4BA65397">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pacing w:val="-14"/>
                <w:sz w:val="21"/>
                <w:szCs w:val="21"/>
                <w:highlight w:val="none"/>
              </w:rPr>
              <w:t>主观</w:t>
            </w:r>
          </w:p>
        </w:tc>
      </w:tr>
    </w:tbl>
    <w:p w14:paraId="2F81730D">
      <w:pPr>
        <w:widowControl/>
        <w:shd w:val="clear"/>
        <w:jc w:val="left"/>
        <w:rPr>
          <w:rFonts w:eastAsia="宋体"/>
          <w:b/>
          <w:color w:val="auto"/>
          <w:sz w:val="36"/>
          <w:szCs w:val="36"/>
          <w:highlight w:val="none"/>
        </w:rPr>
      </w:pPr>
    </w:p>
    <w:p w14:paraId="67C5ADB2">
      <w:pPr>
        <w:shd w:val="clear"/>
        <w:spacing w:line="360" w:lineRule="auto"/>
        <w:jc w:val="center"/>
        <w:outlineLvl w:val="0"/>
        <w:rPr>
          <w:rFonts w:eastAsia="宋体"/>
          <w:b/>
          <w:color w:val="auto"/>
          <w:sz w:val="36"/>
          <w:szCs w:val="36"/>
          <w:highlight w:val="none"/>
        </w:rPr>
        <w:sectPr>
          <w:headerReference r:id="rId12" w:type="first"/>
          <w:footerReference r:id="rId14" w:type="first"/>
          <w:headerReference r:id="rId11" w:type="even"/>
          <w:footerReference r:id="rId13" w:type="even"/>
          <w:pgSz w:w="11907" w:h="16840"/>
          <w:pgMar w:top="1440" w:right="1800" w:bottom="1440" w:left="1800" w:header="851" w:footer="851" w:gutter="0"/>
          <w:pgNumType w:fmt="decimal"/>
          <w:cols w:space="720" w:num="1"/>
          <w:docGrid w:linePitch="462" w:charSpace="0"/>
        </w:sectPr>
      </w:pPr>
    </w:p>
    <w:p w14:paraId="3222D412">
      <w:pPr>
        <w:shd w:val="clear"/>
        <w:tabs>
          <w:tab w:val="left" w:pos="360"/>
          <w:tab w:val="left" w:pos="1080"/>
        </w:tabs>
        <w:snapToGrid w:val="0"/>
        <w:spacing w:line="360" w:lineRule="auto"/>
        <w:rPr>
          <w:rFonts w:hint="eastAsia"/>
          <w:b/>
          <w:bCs/>
          <w:color w:val="auto"/>
          <w:sz w:val="24"/>
          <w:highlight w:val="none"/>
          <w:lang w:val="en-US" w:eastAsia="zh-CN"/>
        </w:rPr>
      </w:pPr>
      <w:r>
        <w:rPr>
          <w:rFonts w:hint="eastAsia"/>
          <w:b/>
          <w:bCs/>
          <w:color w:val="auto"/>
          <w:sz w:val="24"/>
          <w:highlight w:val="none"/>
          <w:lang w:val="en-US" w:eastAsia="zh-CN"/>
        </w:rPr>
        <w:t>第2包：</w:t>
      </w:r>
    </w:p>
    <w:tbl>
      <w:tblPr>
        <w:tblStyle w:val="44"/>
        <w:tblW w:w="8231" w:type="dxa"/>
        <w:jc w:val="center"/>
        <w:tblLayout w:type="fixed"/>
        <w:tblCellMar>
          <w:top w:w="0" w:type="dxa"/>
          <w:left w:w="108" w:type="dxa"/>
          <w:bottom w:w="0" w:type="dxa"/>
          <w:right w:w="108" w:type="dxa"/>
        </w:tblCellMar>
      </w:tblPr>
      <w:tblGrid>
        <w:gridCol w:w="671"/>
        <w:gridCol w:w="1077"/>
        <w:gridCol w:w="1125"/>
        <w:gridCol w:w="4695"/>
        <w:gridCol w:w="663"/>
      </w:tblGrid>
      <w:tr w14:paraId="2F000410">
        <w:tblPrEx>
          <w:tblCellMar>
            <w:top w:w="0" w:type="dxa"/>
            <w:left w:w="108" w:type="dxa"/>
            <w:bottom w:w="0" w:type="dxa"/>
            <w:right w:w="108" w:type="dxa"/>
          </w:tblCellMar>
        </w:tblPrEx>
        <w:trPr>
          <w:trHeight w:val="320" w:hRule="atLeast"/>
          <w:jc w:val="center"/>
        </w:trPr>
        <w:tc>
          <w:tcPr>
            <w:tcW w:w="671" w:type="dxa"/>
            <w:tcBorders>
              <w:top w:val="single" w:color="auto" w:sz="4" w:space="0"/>
              <w:left w:val="single" w:color="auto" w:sz="8" w:space="0"/>
              <w:bottom w:val="single" w:color="auto" w:sz="8" w:space="0"/>
              <w:right w:val="single" w:color="auto" w:sz="8" w:space="0"/>
            </w:tcBorders>
            <w:noWrap w:val="0"/>
            <w:vAlign w:val="center"/>
          </w:tcPr>
          <w:p w14:paraId="5E33FF60">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77" w:type="dxa"/>
            <w:tcBorders>
              <w:top w:val="single" w:color="auto" w:sz="4" w:space="0"/>
              <w:left w:val="single" w:color="auto" w:sz="8" w:space="0"/>
              <w:bottom w:val="single" w:color="auto" w:sz="8" w:space="0"/>
              <w:right w:val="single" w:color="auto" w:sz="8" w:space="0"/>
            </w:tcBorders>
            <w:noWrap w:val="0"/>
            <w:vAlign w:val="center"/>
          </w:tcPr>
          <w:p w14:paraId="2DFDF86C">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类别</w:t>
            </w:r>
          </w:p>
        </w:tc>
        <w:tc>
          <w:tcPr>
            <w:tcW w:w="1125" w:type="dxa"/>
            <w:tcBorders>
              <w:top w:val="single" w:color="auto" w:sz="4" w:space="0"/>
              <w:left w:val="nil"/>
              <w:bottom w:val="single" w:color="auto" w:sz="8" w:space="0"/>
              <w:right w:val="single" w:color="auto" w:sz="8" w:space="0"/>
            </w:tcBorders>
            <w:noWrap w:val="0"/>
            <w:vAlign w:val="center"/>
          </w:tcPr>
          <w:p w14:paraId="5DE02C35">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4695" w:type="dxa"/>
            <w:tcBorders>
              <w:top w:val="single" w:color="auto" w:sz="4" w:space="0"/>
              <w:left w:val="nil"/>
              <w:bottom w:val="single" w:color="auto" w:sz="8" w:space="0"/>
              <w:right w:val="single" w:color="auto" w:sz="8" w:space="0"/>
            </w:tcBorders>
            <w:noWrap w:val="0"/>
            <w:vAlign w:val="center"/>
          </w:tcPr>
          <w:p w14:paraId="502A17DF">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评分标准说明</w:t>
            </w:r>
          </w:p>
        </w:tc>
        <w:tc>
          <w:tcPr>
            <w:tcW w:w="663" w:type="dxa"/>
            <w:tcBorders>
              <w:top w:val="single" w:color="auto" w:sz="4" w:space="0"/>
              <w:left w:val="nil"/>
              <w:bottom w:val="single" w:color="auto" w:sz="8" w:space="0"/>
              <w:right w:val="single" w:color="auto" w:sz="8" w:space="0"/>
            </w:tcBorders>
            <w:noWrap w:val="0"/>
            <w:vAlign w:val="center"/>
          </w:tcPr>
          <w:p w14:paraId="51E54C3E">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3A224EA8">
        <w:tblPrEx>
          <w:tblCellMar>
            <w:top w:w="0" w:type="dxa"/>
            <w:left w:w="108" w:type="dxa"/>
            <w:bottom w:w="0" w:type="dxa"/>
            <w:right w:w="108" w:type="dxa"/>
          </w:tblCellMar>
        </w:tblPrEx>
        <w:trPr>
          <w:trHeight w:val="620" w:hRule="atLeast"/>
          <w:jc w:val="center"/>
        </w:trPr>
        <w:tc>
          <w:tcPr>
            <w:tcW w:w="671" w:type="dxa"/>
            <w:vMerge w:val="restart"/>
            <w:tcBorders>
              <w:top w:val="nil"/>
              <w:left w:val="single" w:color="auto" w:sz="8" w:space="0"/>
              <w:right w:val="single" w:color="auto" w:sz="8" w:space="0"/>
            </w:tcBorders>
            <w:noWrap w:val="0"/>
            <w:vAlign w:val="center"/>
          </w:tcPr>
          <w:p w14:paraId="35272D9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77" w:type="dxa"/>
            <w:vMerge w:val="restart"/>
            <w:tcBorders>
              <w:top w:val="nil"/>
              <w:left w:val="single" w:color="auto" w:sz="8" w:space="0"/>
              <w:bottom w:val="single" w:color="000000" w:sz="8" w:space="0"/>
              <w:right w:val="single" w:color="auto" w:sz="8" w:space="0"/>
            </w:tcBorders>
            <w:noWrap w:val="0"/>
            <w:vAlign w:val="center"/>
          </w:tcPr>
          <w:p w14:paraId="277B9DE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w:t>
            </w:r>
          </w:p>
          <w:p w14:paraId="7F3E6F8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776E0BEC">
            <w:pPr>
              <w:widowControl/>
              <w:shd w:val="clear"/>
              <w:jc w:val="center"/>
              <w:rPr>
                <w:color w:val="auto"/>
                <w:highlight w:val="none"/>
              </w:rPr>
            </w:pPr>
            <w:r>
              <w:rPr>
                <w:rFonts w:hint="eastAsia" w:ascii="宋体" w:hAnsi="宋体" w:cs="宋体"/>
                <w:color w:val="auto"/>
                <w:kern w:val="0"/>
                <w:szCs w:val="21"/>
                <w:highlight w:val="none"/>
              </w:rPr>
              <w:t>（20分）</w:t>
            </w:r>
          </w:p>
        </w:tc>
        <w:tc>
          <w:tcPr>
            <w:tcW w:w="1125" w:type="dxa"/>
            <w:vMerge w:val="restart"/>
            <w:tcBorders>
              <w:top w:val="nil"/>
              <w:left w:val="single" w:color="auto" w:sz="8" w:space="0"/>
              <w:bottom w:val="single" w:color="000000" w:sz="8" w:space="0"/>
              <w:right w:val="single" w:color="auto" w:sz="8" w:space="0"/>
            </w:tcBorders>
            <w:noWrap w:val="0"/>
            <w:vAlign w:val="center"/>
          </w:tcPr>
          <w:p w14:paraId="6AD40B45">
            <w:pPr>
              <w:widowControl/>
              <w:shd w:val="clear"/>
              <w:spacing w:line="240" w:lineRule="auto"/>
              <w:jc w:val="center"/>
              <w:rPr>
                <w:color w:val="auto"/>
                <w:highlight w:val="none"/>
              </w:rPr>
            </w:pPr>
            <w:r>
              <w:rPr>
                <w:rFonts w:hint="eastAsia" w:ascii="宋体" w:hAnsi="宋体" w:cs="宋体"/>
                <w:color w:val="auto"/>
                <w:kern w:val="0"/>
                <w:szCs w:val="21"/>
                <w:highlight w:val="none"/>
              </w:rPr>
              <w:t>供应商服务能力</w:t>
            </w:r>
          </w:p>
          <w:p w14:paraId="0567EA8A">
            <w:pPr>
              <w:pStyle w:val="2"/>
              <w:shd w:val="clear"/>
              <w:spacing w:line="240" w:lineRule="auto"/>
              <w:ind w:left="0" w:leftChars="0" w:firstLine="0" w:firstLineChars="0"/>
              <w:rPr>
                <w:color w:val="auto"/>
                <w:highlight w:val="none"/>
                <w:lang w:eastAsia="zh-CN"/>
              </w:rPr>
            </w:pPr>
            <w:r>
              <w:rPr>
                <w:rFonts w:hint="eastAsia" w:ascii="宋体" w:hAnsi="宋体" w:cs="宋体"/>
                <w:color w:val="auto"/>
                <w:kern w:val="0"/>
                <w:sz w:val="21"/>
                <w:szCs w:val="21"/>
                <w:highlight w:val="none"/>
                <w:lang w:eastAsia="zh-CN"/>
              </w:rPr>
              <w:t>（提供证书复印件并加盖公章）</w:t>
            </w:r>
          </w:p>
        </w:tc>
        <w:tc>
          <w:tcPr>
            <w:tcW w:w="4695" w:type="dxa"/>
            <w:tcBorders>
              <w:top w:val="nil"/>
              <w:left w:val="nil"/>
              <w:bottom w:val="single" w:color="auto" w:sz="8" w:space="0"/>
              <w:right w:val="single" w:color="auto" w:sz="8" w:space="0"/>
            </w:tcBorders>
            <w:noWrap w:val="0"/>
            <w:vAlign w:val="center"/>
          </w:tcPr>
          <w:p w14:paraId="6536289C">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供应商具有中国信息安全测评中心颁发的信息安全服务资质证书-安全工程类二级及以上得</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分，一级得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分，否则不得分。</w:t>
            </w:r>
          </w:p>
        </w:tc>
        <w:tc>
          <w:tcPr>
            <w:tcW w:w="663" w:type="dxa"/>
            <w:tcBorders>
              <w:top w:val="nil"/>
              <w:left w:val="nil"/>
              <w:bottom w:val="single" w:color="auto" w:sz="8" w:space="0"/>
              <w:right w:val="single" w:color="auto" w:sz="8" w:space="0"/>
            </w:tcBorders>
            <w:noWrap w:val="0"/>
            <w:vAlign w:val="center"/>
          </w:tcPr>
          <w:p w14:paraId="7D106BFF">
            <w:pPr>
              <w:widowControl/>
              <w:shd w:val="clea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r>
      <w:tr w14:paraId="19FFBA2C">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1678CBAC">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35726F09">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8" w:space="0"/>
            </w:tcBorders>
            <w:noWrap w:val="0"/>
            <w:vAlign w:val="center"/>
          </w:tcPr>
          <w:p w14:paraId="08ADD2F8">
            <w:pPr>
              <w:widowControl/>
              <w:shd w:val="clear"/>
              <w:jc w:val="left"/>
              <w:rPr>
                <w:rFonts w:hint="eastAsia" w:ascii="宋体" w:hAnsi="宋体" w:cs="宋体"/>
                <w:color w:val="auto"/>
                <w:kern w:val="0"/>
                <w:szCs w:val="21"/>
                <w:highlight w:val="none"/>
              </w:rPr>
            </w:pPr>
          </w:p>
        </w:tc>
        <w:tc>
          <w:tcPr>
            <w:tcW w:w="4695" w:type="dxa"/>
            <w:tcBorders>
              <w:top w:val="nil"/>
              <w:left w:val="nil"/>
              <w:bottom w:val="single" w:color="auto" w:sz="8" w:space="0"/>
              <w:right w:val="single" w:color="auto" w:sz="8" w:space="0"/>
            </w:tcBorders>
            <w:noWrap w:val="0"/>
            <w:vAlign w:val="center"/>
          </w:tcPr>
          <w:p w14:paraId="403E44FB">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供应商具备中国网络安全审查技术与认证中心</w:t>
            </w:r>
            <w:r>
              <w:rPr>
                <w:rFonts w:hint="eastAsia" w:ascii="宋体" w:hAnsi="宋体" w:cs="宋体"/>
                <w:color w:val="auto"/>
                <w:kern w:val="0"/>
                <w:szCs w:val="21"/>
                <w:highlight w:val="none"/>
                <w:lang w:eastAsia="zh-CN"/>
              </w:rPr>
              <w:t>（中国网络安全审查认证和市场监管大数据中心）</w:t>
            </w:r>
            <w:r>
              <w:rPr>
                <w:rFonts w:hint="eastAsia" w:ascii="宋体" w:hAnsi="宋体" w:cs="宋体"/>
                <w:color w:val="auto"/>
                <w:kern w:val="0"/>
                <w:szCs w:val="21"/>
                <w:highlight w:val="none"/>
              </w:rPr>
              <w:t>颁发的信息安全服务资质-风险评估服务一级证书得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分，二级得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分、三级得1分，否则不得分。</w:t>
            </w:r>
          </w:p>
        </w:tc>
        <w:tc>
          <w:tcPr>
            <w:tcW w:w="663" w:type="dxa"/>
            <w:tcBorders>
              <w:top w:val="nil"/>
              <w:left w:val="nil"/>
              <w:bottom w:val="single" w:color="auto" w:sz="8" w:space="0"/>
              <w:right w:val="single" w:color="auto" w:sz="8" w:space="0"/>
            </w:tcBorders>
            <w:noWrap w:val="0"/>
            <w:vAlign w:val="center"/>
          </w:tcPr>
          <w:p w14:paraId="521D7969">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r>
      <w:tr w14:paraId="7EB8BA24">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bottom w:val="single" w:color="000000" w:sz="8" w:space="0"/>
              <w:right w:val="single" w:color="auto" w:sz="8" w:space="0"/>
            </w:tcBorders>
            <w:noWrap w:val="0"/>
            <w:vAlign w:val="center"/>
          </w:tcPr>
          <w:p w14:paraId="2F91B16F">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D0E477E">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8" w:space="0"/>
            </w:tcBorders>
            <w:noWrap w:val="0"/>
            <w:vAlign w:val="center"/>
          </w:tcPr>
          <w:p w14:paraId="340236C4">
            <w:pPr>
              <w:widowControl/>
              <w:shd w:val="clear"/>
              <w:jc w:val="left"/>
              <w:rPr>
                <w:rFonts w:hint="eastAsia" w:ascii="宋体" w:hAnsi="宋体" w:cs="宋体"/>
                <w:color w:val="auto"/>
                <w:kern w:val="0"/>
                <w:szCs w:val="21"/>
                <w:highlight w:val="none"/>
              </w:rPr>
            </w:pPr>
          </w:p>
        </w:tc>
        <w:tc>
          <w:tcPr>
            <w:tcW w:w="4695" w:type="dxa"/>
            <w:tcBorders>
              <w:top w:val="nil"/>
              <w:left w:val="nil"/>
              <w:bottom w:val="single" w:color="auto" w:sz="8" w:space="0"/>
              <w:right w:val="single" w:color="auto" w:sz="8" w:space="0"/>
            </w:tcBorders>
            <w:noWrap w:val="0"/>
            <w:vAlign w:val="center"/>
          </w:tcPr>
          <w:p w14:paraId="79039A03">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供应商具备中国网络安全审查技术与认证中心</w:t>
            </w:r>
            <w:r>
              <w:rPr>
                <w:rFonts w:hint="eastAsia" w:ascii="宋体" w:hAnsi="宋体" w:cs="宋体"/>
                <w:color w:val="auto"/>
                <w:kern w:val="0"/>
                <w:szCs w:val="21"/>
                <w:highlight w:val="none"/>
                <w:lang w:eastAsia="zh-CN"/>
              </w:rPr>
              <w:t>（中国网络安全审查认证和市场监管大数据中心）</w:t>
            </w:r>
            <w:r>
              <w:rPr>
                <w:rFonts w:hint="eastAsia" w:ascii="宋体" w:hAnsi="宋体" w:cs="宋体"/>
                <w:color w:val="auto"/>
                <w:kern w:val="0"/>
                <w:szCs w:val="21"/>
                <w:highlight w:val="none"/>
              </w:rPr>
              <w:t>颁发的信息安全服务资质-应急处理服务一级证书得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分，二级得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分、三级得1分，否则不得分。</w:t>
            </w:r>
          </w:p>
        </w:tc>
        <w:tc>
          <w:tcPr>
            <w:tcW w:w="663" w:type="dxa"/>
            <w:tcBorders>
              <w:top w:val="nil"/>
              <w:left w:val="nil"/>
              <w:bottom w:val="single" w:color="auto" w:sz="8" w:space="0"/>
              <w:right w:val="single" w:color="auto" w:sz="8" w:space="0"/>
            </w:tcBorders>
            <w:noWrap w:val="0"/>
            <w:vAlign w:val="center"/>
          </w:tcPr>
          <w:p w14:paraId="41404E58">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r>
      <w:tr w14:paraId="7E07BA38">
        <w:tblPrEx>
          <w:tblCellMar>
            <w:top w:w="0" w:type="dxa"/>
            <w:left w:w="108" w:type="dxa"/>
            <w:bottom w:w="0" w:type="dxa"/>
            <w:right w:w="108" w:type="dxa"/>
          </w:tblCellMar>
        </w:tblPrEx>
        <w:trPr>
          <w:trHeight w:val="122" w:hRule="atLeast"/>
          <w:jc w:val="center"/>
        </w:trPr>
        <w:tc>
          <w:tcPr>
            <w:tcW w:w="671" w:type="dxa"/>
            <w:vMerge w:val="restart"/>
            <w:tcBorders>
              <w:top w:val="nil"/>
              <w:left w:val="single" w:color="auto" w:sz="8" w:space="0"/>
              <w:right w:val="single" w:color="auto" w:sz="8" w:space="0"/>
            </w:tcBorders>
            <w:noWrap w:val="0"/>
            <w:vAlign w:val="center"/>
          </w:tcPr>
          <w:p w14:paraId="0F3E564B">
            <w:pPr>
              <w:widowControl/>
              <w:shd w:val="clear"/>
              <w:jc w:val="center"/>
              <w:rPr>
                <w:rFonts w:hint="eastAsia" w:ascii="宋体" w:hAnsi="宋体" w:cs="宋体"/>
                <w:color w:val="auto"/>
                <w:kern w:val="0"/>
                <w:szCs w:val="21"/>
                <w:highlight w:val="none"/>
              </w:rPr>
            </w:pPr>
            <w:bookmarkStart w:id="674" w:name="_Hlk210227770"/>
            <w:r>
              <w:rPr>
                <w:rFonts w:hint="eastAsia" w:ascii="宋体" w:hAnsi="宋体" w:cs="宋体"/>
                <w:color w:val="auto"/>
                <w:kern w:val="0"/>
                <w:szCs w:val="21"/>
                <w:highlight w:val="none"/>
              </w:rPr>
              <w:t>2</w:t>
            </w:r>
          </w:p>
        </w:tc>
        <w:tc>
          <w:tcPr>
            <w:tcW w:w="1077" w:type="dxa"/>
            <w:vMerge w:val="restart"/>
            <w:tcBorders>
              <w:top w:val="nil"/>
              <w:left w:val="single" w:color="auto" w:sz="8" w:space="0"/>
              <w:bottom w:val="single" w:color="000000" w:sz="8" w:space="0"/>
              <w:right w:val="single" w:color="auto" w:sz="8" w:space="0"/>
            </w:tcBorders>
            <w:noWrap w:val="0"/>
            <w:vAlign w:val="center"/>
          </w:tcPr>
          <w:p w14:paraId="1CACBD2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p w14:paraId="1E38DC1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57AB70B4">
            <w:pPr>
              <w:widowControl/>
              <w:shd w:val="clear"/>
              <w:jc w:val="center"/>
              <w:rPr>
                <w:color w:val="auto"/>
                <w:highlight w:val="none"/>
              </w:rPr>
            </w:pPr>
            <w:r>
              <w:rPr>
                <w:rFonts w:hint="eastAsia" w:ascii="宋体" w:hAnsi="宋体" w:cs="宋体"/>
                <w:color w:val="auto"/>
                <w:kern w:val="0"/>
                <w:szCs w:val="21"/>
                <w:highlight w:val="none"/>
              </w:rPr>
              <w:t>（70分）</w:t>
            </w:r>
          </w:p>
        </w:tc>
        <w:tc>
          <w:tcPr>
            <w:tcW w:w="1125" w:type="dxa"/>
            <w:tcBorders>
              <w:top w:val="nil"/>
              <w:left w:val="single" w:color="auto" w:sz="8" w:space="0"/>
              <w:bottom w:val="single" w:color="000000" w:sz="8" w:space="0"/>
              <w:right w:val="single" w:color="auto" w:sz="8" w:space="0"/>
            </w:tcBorders>
            <w:noWrap w:val="0"/>
            <w:vAlign w:val="center"/>
          </w:tcPr>
          <w:p w14:paraId="62D1868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w:t>
            </w:r>
            <w:r>
              <w:rPr>
                <w:rFonts w:hint="eastAsia" w:ascii="宋体" w:hAnsi="宋体" w:eastAsia="宋体" w:cs="宋体"/>
                <w:color w:val="auto"/>
                <w:kern w:val="0"/>
                <w:highlight w:val="none"/>
              </w:rPr>
              <w:t>项目业绩与经验</w:t>
            </w:r>
          </w:p>
        </w:tc>
        <w:tc>
          <w:tcPr>
            <w:tcW w:w="4695" w:type="dxa"/>
            <w:tcBorders>
              <w:top w:val="nil"/>
              <w:left w:val="nil"/>
              <w:bottom w:val="single" w:color="auto" w:sz="4" w:space="0"/>
              <w:right w:val="single" w:color="auto" w:sz="8" w:space="0"/>
            </w:tcBorders>
            <w:noWrap w:val="0"/>
            <w:vAlign w:val="center"/>
          </w:tcPr>
          <w:p w14:paraId="1BDE44AA">
            <w:pPr>
              <w:widowControl/>
              <w:shd w:val="clear"/>
              <w:rPr>
                <w:rFonts w:hint="eastAsia" w:ascii="宋体" w:hAnsi="宋体" w:cs="宋体"/>
                <w:color w:val="auto"/>
                <w:kern w:val="0"/>
                <w:szCs w:val="21"/>
                <w:highlight w:val="none"/>
              </w:rPr>
            </w:pPr>
            <w:r>
              <w:rPr>
                <w:rFonts w:hint="eastAsia" w:ascii="宋体" w:hAnsi="宋体" w:eastAsia="宋体" w:cs="宋体"/>
                <w:color w:val="auto"/>
                <w:highlight w:val="none"/>
              </w:rPr>
              <w:t>近三年具有业务系统软件或安全测评经验，每一项得2分，没有得0分，最多得</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r>
              <w:rPr>
                <w:rFonts w:hint="eastAsia" w:ascii="宋体" w:hAnsi="宋体" w:cs="宋体"/>
                <w:color w:val="auto"/>
                <w:kern w:val="0"/>
                <w:szCs w:val="21"/>
                <w:highlight w:val="none"/>
              </w:rPr>
              <w:t>（提供证明材料复印件并加盖公章）</w:t>
            </w:r>
          </w:p>
        </w:tc>
        <w:tc>
          <w:tcPr>
            <w:tcW w:w="663" w:type="dxa"/>
            <w:tcBorders>
              <w:top w:val="nil"/>
              <w:left w:val="nil"/>
              <w:bottom w:val="single" w:color="auto" w:sz="8" w:space="0"/>
              <w:right w:val="single" w:color="auto" w:sz="8" w:space="0"/>
            </w:tcBorders>
            <w:noWrap/>
            <w:vAlign w:val="center"/>
          </w:tcPr>
          <w:p w14:paraId="156F13B5">
            <w:pPr>
              <w:widowControl/>
              <w:shd w:val="clea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r>
      <w:bookmarkEnd w:id="674"/>
      <w:tr w14:paraId="483CF9F4">
        <w:tblPrEx>
          <w:tblCellMar>
            <w:top w:w="0" w:type="dxa"/>
            <w:left w:w="108" w:type="dxa"/>
            <w:bottom w:w="0" w:type="dxa"/>
            <w:right w:w="108" w:type="dxa"/>
          </w:tblCellMar>
        </w:tblPrEx>
        <w:trPr>
          <w:trHeight w:val="912" w:hRule="atLeast"/>
          <w:jc w:val="center"/>
        </w:trPr>
        <w:tc>
          <w:tcPr>
            <w:tcW w:w="671" w:type="dxa"/>
            <w:vMerge w:val="continue"/>
            <w:tcBorders>
              <w:left w:val="single" w:color="auto" w:sz="8" w:space="0"/>
              <w:right w:val="single" w:color="auto" w:sz="8" w:space="0"/>
            </w:tcBorders>
            <w:noWrap w:val="0"/>
            <w:vAlign w:val="center"/>
          </w:tcPr>
          <w:p w14:paraId="66AC813D">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433D0144">
            <w:pPr>
              <w:widowControl/>
              <w:shd w:val="clear"/>
              <w:jc w:val="left"/>
              <w:rPr>
                <w:rFonts w:hint="eastAsia" w:ascii="宋体" w:hAnsi="宋体" w:cs="宋体"/>
                <w:color w:val="auto"/>
                <w:kern w:val="0"/>
                <w:szCs w:val="21"/>
                <w:highlight w:val="none"/>
              </w:rPr>
            </w:pPr>
          </w:p>
        </w:tc>
        <w:tc>
          <w:tcPr>
            <w:tcW w:w="1125" w:type="dxa"/>
            <w:vMerge w:val="restart"/>
            <w:tcBorders>
              <w:top w:val="nil"/>
              <w:left w:val="single" w:color="auto" w:sz="8" w:space="0"/>
              <w:bottom w:val="single" w:color="000000" w:sz="8" w:space="0"/>
              <w:right w:val="single" w:color="auto" w:sz="4" w:space="0"/>
            </w:tcBorders>
            <w:noWrap w:val="0"/>
            <w:vAlign w:val="center"/>
          </w:tcPr>
          <w:p w14:paraId="7F5147F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人员要求提供证明材料或证书复印件并加盖公章）</w:t>
            </w:r>
          </w:p>
        </w:tc>
        <w:tc>
          <w:tcPr>
            <w:tcW w:w="4695" w:type="dxa"/>
            <w:tcBorders>
              <w:top w:val="single" w:color="auto" w:sz="4" w:space="0"/>
              <w:left w:val="single" w:color="auto" w:sz="4" w:space="0"/>
              <w:bottom w:val="single" w:color="auto" w:sz="4" w:space="0"/>
              <w:right w:val="single" w:color="auto" w:sz="4" w:space="0"/>
            </w:tcBorders>
            <w:noWrap w:val="0"/>
            <w:vAlign w:val="center"/>
          </w:tcPr>
          <w:p w14:paraId="33E10176">
            <w:pPr>
              <w:widowControl/>
              <w:numPr>
                <w:ilvl w:val="0"/>
                <w:numId w:val="14"/>
              </w:numPr>
              <w:shd w:val="clear"/>
              <w:rPr>
                <w:rFonts w:hint="eastAsia" w:ascii="宋体" w:hAnsi="宋体" w:cs="宋体"/>
                <w:color w:val="auto"/>
                <w:kern w:val="0"/>
                <w:szCs w:val="21"/>
                <w:highlight w:val="none"/>
              </w:rPr>
            </w:pPr>
            <w:bookmarkStart w:id="675" w:name="OLE_LINK4"/>
            <w:r>
              <w:rPr>
                <w:rFonts w:hint="eastAsia" w:ascii="宋体" w:hAnsi="宋体" w:cs="宋体"/>
                <w:color w:val="auto"/>
                <w:kern w:val="0"/>
                <w:szCs w:val="21"/>
                <w:highlight w:val="none"/>
              </w:rPr>
              <w:t>供应商为保障项目服务质量及技术管理需要，项目团队应具备以下服务能力：</w:t>
            </w:r>
            <w:bookmarkEnd w:id="675"/>
          </w:p>
          <w:p w14:paraId="41C7C43A">
            <w:pPr>
              <w:widowControl/>
              <w:numPr>
                <w:ilvl w:val="0"/>
                <w:numId w:val="0"/>
              </w:numPr>
              <w:shd w:val="clea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（1）项目负责人具备信息系统项目管理师（高级）证书，得4分；</w:t>
            </w:r>
          </w:p>
          <w:p w14:paraId="07601449">
            <w:pPr>
              <w:widowControl/>
              <w:numPr>
                <w:ilvl w:val="0"/>
                <w:numId w:val="0"/>
              </w:numPr>
              <w:shd w:val="clear"/>
              <w:rPr>
                <w:rFonts w:hint="eastAsia" w:eastAsia="宋体"/>
                <w:color w:val="auto"/>
                <w:highlight w:val="none"/>
                <w:lang w:val="en-US" w:eastAsia="zh-CN"/>
              </w:rPr>
            </w:pPr>
            <w:r>
              <w:rPr>
                <w:rFonts w:hint="eastAsia" w:ascii="宋体" w:hAnsi="宋体" w:cs="宋体"/>
                <w:color w:val="auto"/>
                <w:kern w:val="0"/>
                <w:szCs w:val="21"/>
                <w:highlight w:val="none"/>
                <w:lang w:val="en-US" w:eastAsia="zh-CN"/>
              </w:rPr>
              <w:t>（3）项目负责人具有CISAW（或CISP或计算机技术与软件专业技术资格的信息安全工程师）证书，得3分。</w:t>
            </w:r>
          </w:p>
        </w:tc>
        <w:tc>
          <w:tcPr>
            <w:tcW w:w="663" w:type="dxa"/>
            <w:tcBorders>
              <w:top w:val="nil"/>
              <w:left w:val="single" w:color="auto" w:sz="4" w:space="0"/>
              <w:bottom w:val="single" w:color="000000" w:sz="8" w:space="0"/>
              <w:right w:val="single" w:color="auto" w:sz="8" w:space="0"/>
            </w:tcBorders>
            <w:noWrap/>
            <w:vAlign w:val="center"/>
          </w:tcPr>
          <w:p w14:paraId="43021CF1">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r>
      <w:tr w14:paraId="4EF2C6DF">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6EA9B093">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6918F75">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4" w:space="0"/>
            </w:tcBorders>
            <w:noWrap w:val="0"/>
            <w:vAlign w:val="center"/>
          </w:tcPr>
          <w:p w14:paraId="703667A8">
            <w:pPr>
              <w:widowControl/>
              <w:shd w:val="clear"/>
              <w:jc w:val="left"/>
              <w:rPr>
                <w:rFonts w:hint="eastAsia" w:ascii="宋体" w:hAnsi="宋体" w:cs="宋体"/>
                <w:color w:val="auto"/>
                <w:kern w:val="0"/>
                <w:szCs w:val="21"/>
                <w:highlight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14:paraId="0C0B4D3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
                <w:bCs/>
                <w:color w:val="auto"/>
                <w:kern w:val="0"/>
                <w:szCs w:val="21"/>
                <w:highlight w:val="none"/>
              </w:rPr>
              <w:t>项目组成员（不含项目负责人）</w:t>
            </w:r>
            <w:r>
              <w:rPr>
                <w:rFonts w:hint="eastAsia" w:ascii="宋体" w:hAnsi="宋体" w:cs="宋体"/>
                <w:color w:val="auto"/>
                <w:kern w:val="0"/>
                <w:szCs w:val="21"/>
                <w:highlight w:val="none"/>
              </w:rPr>
              <w:t>需具备：至少1人需具有</w:t>
            </w:r>
            <w:r>
              <w:rPr>
                <w:rFonts w:hint="eastAsia" w:ascii="宋体" w:hAnsi="宋体" w:eastAsia="宋体" w:cs="宋体"/>
                <w:color w:val="auto"/>
                <w:highlight w:val="none"/>
              </w:rPr>
              <w:t>计算机技术与软件专业技术资格（水平）考试中级（含）以上证书（</w:t>
            </w:r>
            <w:r>
              <w:rPr>
                <w:rFonts w:hint="eastAsia" w:ascii="宋体" w:hAnsi="宋体" w:cs="宋体"/>
                <w:color w:val="auto"/>
                <w:highlight w:val="none"/>
                <w:lang w:eastAsia="zh-CN"/>
              </w:rPr>
              <w:t>如</w:t>
            </w:r>
            <w:r>
              <w:rPr>
                <w:rFonts w:hint="eastAsia" w:ascii="宋体" w:hAnsi="宋体" w:eastAsia="宋体" w:cs="宋体"/>
                <w:color w:val="auto"/>
                <w:highlight w:val="none"/>
              </w:rPr>
              <w:t>软件评测师、软件设计师、系统分析师、数据库系统工程师、信息系统项目管理师），每有一种（类）证书得1分，</w:t>
            </w:r>
            <w:r>
              <w:rPr>
                <w:rFonts w:hint="eastAsia" w:ascii="宋体" w:hAnsi="宋体" w:cs="宋体"/>
                <w:color w:val="auto"/>
                <w:kern w:val="0"/>
                <w:szCs w:val="21"/>
                <w:highlight w:val="none"/>
                <w:lang w:val="en-US" w:eastAsia="zh-CN"/>
              </w:rPr>
              <w:t>最多</w:t>
            </w:r>
            <w:r>
              <w:rPr>
                <w:rFonts w:hint="eastAsia" w:ascii="宋体" w:hAnsi="宋体" w:cs="宋体"/>
                <w:color w:val="auto"/>
                <w:kern w:val="0"/>
                <w:szCs w:val="21"/>
                <w:highlight w:val="none"/>
              </w:rPr>
              <w:t>得6分，否则不得分。</w:t>
            </w:r>
          </w:p>
        </w:tc>
        <w:tc>
          <w:tcPr>
            <w:tcW w:w="663" w:type="dxa"/>
            <w:tcBorders>
              <w:top w:val="nil"/>
              <w:left w:val="single" w:color="auto" w:sz="4" w:space="0"/>
              <w:bottom w:val="single" w:color="auto" w:sz="8" w:space="0"/>
              <w:right w:val="single" w:color="auto" w:sz="8" w:space="0"/>
            </w:tcBorders>
            <w:noWrap/>
            <w:vAlign w:val="center"/>
          </w:tcPr>
          <w:p w14:paraId="0BA6D9E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r>
      <w:tr w14:paraId="11AE95C3">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0DD7A523">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0ACB7C6A">
            <w:pPr>
              <w:widowControl/>
              <w:shd w:val="clear"/>
              <w:jc w:val="left"/>
              <w:rPr>
                <w:rFonts w:hint="eastAsia" w:ascii="宋体" w:hAnsi="宋体" w:cs="宋体"/>
                <w:color w:val="auto"/>
                <w:kern w:val="0"/>
                <w:szCs w:val="21"/>
                <w:highlight w:val="none"/>
              </w:rPr>
            </w:pPr>
          </w:p>
        </w:tc>
        <w:tc>
          <w:tcPr>
            <w:tcW w:w="1125" w:type="dxa"/>
            <w:tcBorders>
              <w:top w:val="nil"/>
              <w:left w:val="single" w:color="auto" w:sz="8" w:space="0"/>
              <w:bottom w:val="single" w:color="000000" w:sz="8" w:space="0"/>
              <w:right w:val="single" w:color="auto" w:sz="8" w:space="0"/>
            </w:tcBorders>
            <w:noWrap w:val="0"/>
            <w:vAlign w:val="center"/>
          </w:tcPr>
          <w:p w14:paraId="16115B48">
            <w:pPr>
              <w:widowControl/>
              <w:shd w:val="clear"/>
              <w:jc w:val="center"/>
              <w:rPr>
                <w:rFonts w:hint="eastAsia" w:ascii="宋体" w:hAnsi="宋体" w:cs="宋体"/>
                <w:color w:val="auto"/>
                <w:kern w:val="0"/>
                <w:szCs w:val="21"/>
                <w:highlight w:val="none"/>
              </w:rPr>
            </w:pPr>
            <w:r>
              <w:rPr>
                <w:rFonts w:ascii="Times New Roman" w:hAnsi="Times New Roman" w:cs="Times New Roman"/>
                <w:color w:val="auto"/>
                <w:kern w:val="0"/>
                <w:szCs w:val="21"/>
                <w:highlight w:val="none"/>
              </w:rPr>
              <w:t>对项目需求的理解和分析</w:t>
            </w:r>
          </w:p>
        </w:tc>
        <w:tc>
          <w:tcPr>
            <w:tcW w:w="4695" w:type="dxa"/>
            <w:tcBorders>
              <w:top w:val="single" w:color="auto" w:sz="4" w:space="0"/>
              <w:left w:val="nil"/>
              <w:bottom w:val="single" w:color="auto" w:sz="8" w:space="0"/>
              <w:right w:val="single" w:color="auto" w:sz="8" w:space="0"/>
            </w:tcBorders>
            <w:noWrap w:val="0"/>
            <w:vAlign w:val="center"/>
          </w:tcPr>
          <w:p w14:paraId="5710A1C0">
            <w:pPr>
              <w:widowControl/>
              <w:shd w:val="clear"/>
              <w:jc w:val="left"/>
              <w:rPr>
                <w:color w:val="auto"/>
                <w:szCs w:val="21"/>
                <w:highlight w:val="none"/>
              </w:rPr>
            </w:pPr>
            <w:r>
              <w:rPr>
                <w:color w:val="auto"/>
                <w:szCs w:val="21"/>
                <w:highlight w:val="none"/>
              </w:rPr>
              <w:t>对本项目需求理解准确，分析内容完整、分析透彻、理解认知度高，能提出项目执行过程中的重点、难点问题并给出相应解决方案，得</w:t>
            </w:r>
            <w:r>
              <w:rPr>
                <w:rFonts w:hint="eastAsia"/>
                <w:color w:val="auto"/>
                <w:szCs w:val="21"/>
                <w:highlight w:val="none"/>
              </w:rPr>
              <w:t>10</w:t>
            </w:r>
            <w:r>
              <w:rPr>
                <w:color w:val="auto"/>
                <w:szCs w:val="21"/>
                <w:highlight w:val="none"/>
              </w:rPr>
              <w:t>分；</w:t>
            </w:r>
          </w:p>
          <w:p w14:paraId="266364B1">
            <w:pPr>
              <w:widowControl/>
              <w:shd w:val="clear"/>
              <w:jc w:val="left"/>
              <w:rPr>
                <w:color w:val="auto"/>
                <w:szCs w:val="21"/>
                <w:highlight w:val="none"/>
              </w:rPr>
            </w:pPr>
            <w:r>
              <w:rPr>
                <w:color w:val="auto"/>
                <w:szCs w:val="21"/>
                <w:highlight w:val="none"/>
              </w:rPr>
              <w:t>对本项目需求有一定针对性理解，具有一定针对本项目的分析能力，能提出项目执行过程中的部分重点、难点问题并给出解决方案，得</w:t>
            </w:r>
            <w:r>
              <w:rPr>
                <w:rFonts w:hint="eastAsia"/>
                <w:color w:val="auto"/>
                <w:szCs w:val="21"/>
                <w:highlight w:val="none"/>
              </w:rPr>
              <w:t>6</w:t>
            </w:r>
            <w:r>
              <w:rPr>
                <w:color w:val="auto"/>
                <w:szCs w:val="21"/>
                <w:highlight w:val="none"/>
              </w:rPr>
              <w:t>分；</w:t>
            </w:r>
          </w:p>
          <w:p w14:paraId="7FEA63BD">
            <w:pPr>
              <w:widowControl/>
              <w:shd w:val="clear"/>
              <w:jc w:val="left"/>
              <w:rPr>
                <w:color w:val="auto"/>
                <w:szCs w:val="21"/>
                <w:highlight w:val="none"/>
              </w:rPr>
            </w:pPr>
            <w:r>
              <w:rPr>
                <w:color w:val="auto"/>
                <w:szCs w:val="21"/>
                <w:highlight w:val="none"/>
              </w:rPr>
              <w:t>需求分析及重难点仅有简单提到，未有实质性内容，内容缺失较多，得</w:t>
            </w:r>
            <w:r>
              <w:rPr>
                <w:rFonts w:hint="eastAsia"/>
                <w:color w:val="auto"/>
                <w:szCs w:val="21"/>
                <w:highlight w:val="none"/>
              </w:rPr>
              <w:t>3</w:t>
            </w:r>
            <w:r>
              <w:rPr>
                <w:color w:val="auto"/>
                <w:szCs w:val="21"/>
                <w:highlight w:val="none"/>
              </w:rPr>
              <w:t>分；</w:t>
            </w:r>
          </w:p>
          <w:p w14:paraId="01360E6B">
            <w:pPr>
              <w:widowControl/>
              <w:shd w:val="clear"/>
              <w:jc w:val="left"/>
              <w:rPr>
                <w:rFonts w:hint="eastAsia" w:ascii="宋体" w:hAnsi="宋体" w:cs="宋体"/>
                <w:color w:val="auto"/>
                <w:kern w:val="0"/>
                <w:szCs w:val="21"/>
                <w:highlight w:val="none"/>
              </w:rPr>
            </w:pPr>
            <w:r>
              <w:rPr>
                <w:color w:val="auto"/>
                <w:szCs w:val="21"/>
                <w:highlight w:val="none"/>
              </w:rPr>
              <w:t>未提供，得0分。</w:t>
            </w:r>
          </w:p>
        </w:tc>
        <w:tc>
          <w:tcPr>
            <w:tcW w:w="663" w:type="dxa"/>
            <w:tcBorders>
              <w:top w:val="nil"/>
              <w:left w:val="single" w:color="auto" w:sz="8" w:space="0"/>
              <w:bottom w:val="single" w:color="000000" w:sz="8" w:space="0"/>
              <w:right w:val="single" w:color="auto" w:sz="8" w:space="0"/>
            </w:tcBorders>
            <w:noWrap w:val="0"/>
            <w:vAlign w:val="center"/>
          </w:tcPr>
          <w:p w14:paraId="2476AE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r w14:paraId="2E606754">
        <w:tblPrEx>
          <w:tblCellMar>
            <w:top w:w="0" w:type="dxa"/>
            <w:left w:w="108" w:type="dxa"/>
            <w:bottom w:w="0" w:type="dxa"/>
            <w:right w:w="108" w:type="dxa"/>
          </w:tblCellMar>
        </w:tblPrEx>
        <w:trPr>
          <w:trHeight w:val="320" w:hRule="atLeast"/>
          <w:jc w:val="center"/>
        </w:trPr>
        <w:tc>
          <w:tcPr>
            <w:tcW w:w="671" w:type="dxa"/>
            <w:vMerge w:val="continue"/>
            <w:tcBorders>
              <w:left w:val="single" w:color="auto" w:sz="8" w:space="0"/>
              <w:right w:val="single" w:color="auto" w:sz="8" w:space="0"/>
            </w:tcBorders>
            <w:noWrap w:val="0"/>
            <w:vAlign w:val="center"/>
          </w:tcPr>
          <w:p w14:paraId="44167446">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C568BB5">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56D22B9D">
            <w:pPr>
              <w:shd w:val="clear"/>
              <w:snapToGrid w:val="0"/>
              <w:ind w:leftChars="-25" w:hanging="52" w:hangingChars="25"/>
              <w:jc w:val="center"/>
              <w:rPr>
                <w:rFonts w:hint="eastAsia" w:ascii="宋体" w:hAnsi="宋体" w:cs="宋体"/>
                <w:color w:val="auto"/>
                <w:szCs w:val="21"/>
                <w:highlight w:val="none"/>
              </w:rPr>
            </w:pPr>
            <w:r>
              <w:rPr>
                <w:rFonts w:hint="eastAsia" w:ascii="宋体" w:hAnsi="宋体" w:cs="宋体"/>
                <w:color w:val="auto"/>
                <w:szCs w:val="21"/>
                <w:highlight w:val="none"/>
              </w:rPr>
              <w:t>软件测试方案</w:t>
            </w:r>
          </w:p>
          <w:p w14:paraId="1EA31D1B">
            <w:pPr>
              <w:shd w:val="clear"/>
              <w:snapToGrid w:val="0"/>
              <w:ind w:leftChars="-25" w:hanging="52" w:hangingChars="25"/>
              <w:jc w:val="center"/>
              <w:rPr>
                <w:rFonts w:hint="eastAsia" w:ascii="宋体" w:hAnsi="宋体" w:cs="宋体"/>
                <w:color w:val="auto"/>
                <w:kern w:val="0"/>
                <w:szCs w:val="21"/>
                <w:highlight w:val="none"/>
              </w:rPr>
            </w:pPr>
            <w:r>
              <w:rPr>
                <w:rFonts w:hint="eastAsia" w:ascii="宋体" w:hAnsi="宋体" w:cs="宋体"/>
                <w:color w:val="auto"/>
                <w:szCs w:val="21"/>
                <w:highlight w:val="none"/>
              </w:rPr>
              <w:t>（10分）</w:t>
            </w:r>
          </w:p>
        </w:tc>
        <w:tc>
          <w:tcPr>
            <w:tcW w:w="4695" w:type="dxa"/>
            <w:tcBorders>
              <w:top w:val="nil"/>
              <w:left w:val="nil"/>
              <w:bottom w:val="single" w:color="auto" w:sz="8" w:space="0"/>
              <w:right w:val="single" w:color="auto" w:sz="8" w:space="0"/>
            </w:tcBorders>
            <w:noWrap w:val="0"/>
            <w:vAlign w:val="center"/>
          </w:tcPr>
          <w:p w14:paraId="17A91E0D">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软件测试方案详细具体，针对性强，覆盖测试所有要求</w:t>
            </w:r>
            <w:r>
              <w:rPr>
                <w:rFonts w:hint="eastAsia" w:ascii="宋体" w:hAnsi="宋体" w:cs="宋体"/>
                <w:color w:val="auto"/>
                <w:szCs w:val="21"/>
                <w:highlight w:val="none"/>
              </w:rPr>
              <w:t>，得10分；</w:t>
            </w:r>
          </w:p>
          <w:p w14:paraId="5D0BB437">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软件测试方案较为详细，针对性较强，覆盖测试所有要求，得</w:t>
            </w:r>
            <w:r>
              <w:rPr>
                <w:rFonts w:hint="eastAsia" w:ascii="宋体" w:hAnsi="宋体" w:cs="宋体"/>
                <w:color w:val="auto"/>
                <w:szCs w:val="21"/>
                <w:highlight w:val="none"/>
              </w:rPr>
              <w:t>6分；</w:t>
            </w:r>
          </w:p>
          <w:p w14:paraId="7589025B">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软件测试方案不详细，针对性差，不能覆盖测试所有要求，得</w:t>
            </w:r>
            <w:r>
              <w:rPr>
                <w:rFonts w:hint="eastAsia" w:ascii="宋体" w:hAnsi="宋体" w:cs="宋体"/>
                <w:color w:val="auto"/>
                <w:szCs w:val="21"/>
                <w:highlight w:val="none"/>
              </w:rPr>
              <w:t>3分；</w:t>
            </w:r>
          </w:p>
          <w:p w14:paraId="3D9EDF85">
            <w:pPr>
              <w:shd w:val="clear"/>
              <w:snapToGrid w:val="0"/>
              <w:rPr>
                <w:rFonts w:hint="eastAsia" w:ascii="宋体" w:hAnsi="宋体" w:cs="宋体"/>
                <w:color w:val="auto"/>
                <w:kern w:val="0"/>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ign w:val="center"/>
          </w:tcPr>
          <w:p w14:paraId="74CF2932">
            <w:pPr>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10</w:t>
            </w:r>
          </w:p>
        </w:tc>
      </w:tr>
      <w:tr w14:paraId="3CB5BB6E">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2F7D482D">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0BAB3D0C">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4D73E05B">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时间进度计划</w:t>
            </w:r>
          </w:p>
          <w:p w14:paraId="05796FA8">
            <w:pPr>
              <w:shd w:val="clear"/>
              <w:snapToGrid w:val="0"/>
              <w:jc w:val="center"/>
              <w:rPr>
                <w:rFonts w:hint="eastAsia" w:ascii="宋体" w:hAnsi="宋体" w:cs="宋体"/>
                <w:color w:val="auto"/>
                <w:szCs w:val="21"/>
                <w:highlight w:val="none"/>
              </w:rPr>
            </w:pPr>
            <w:r>
              <w:rPr>
                <w:rFonts w:hint="eastAsia" w:ascii="宋体" w:hAnsi="宋体" w:eastAsia="宋体" w:cs="宋体"/>
                <w:color w:val="auto"/>
                <w:szCs w:val="21"/>
                <w:highlight w:val="none"/>
              </w:rPr>
              <w:t>（5分）</w:t>
            </w:r>
          </w:p>
        </w:tc>
        <w:tc>
          <w:tcPr>
            <w:tcW w:w="4695" w:type="dxa"/>
            <w:tcBorders>
              <w:top w:val="nil"/>
              <w:left w:val="nil"/>
              <w:bottom w:val="single" w:color="auto" w:sz="8" w:space="0"/>
              <w:right w:val="single" w:color="auto" w:sz="8" w:space="0"/>
            </w:tcBorders>
            <w:noWrap w:val="0"/>
            <w:vAlign w:val="center"/>
          </w:tcPr>
          <w:p w14:paraId="3D988611">
            <w:pPr>
              <w:shd w:val="clea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进度计划安排科学合理、充分利用、响应迅速及时，完全满足采购需求的服务及质量要求，得5分；</w:t>
            </w:r>
          </w:p>
          <w:p w14:paraId="230B84DF">
            <w:pPr>
              <w:shd w:val="clea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进度计划安排基本合理、利用率较高、具有一定的响应时效性，基本满足采购需求的服务及质量要求，得3分；</w:t>
            </w:r>
          </w:p>
          <w:p w14:paraId="4D015183">
            <w:pPr>
              <w:shd w:val="clear"/>
              <w:snapToGrid w:val="0"/>
              <w:jc w:val="left"/>
              <w:rPr>
                <w:rFonts w:hint="eastAsia" w:ascii="宋体" w:hAnsi="宋体" w:eastAsia="宋体" w:cs="宋体"/>
                <w:bCs/>
                <w:iCs/>
                <w:color w:val="auto"/>
                <w:szCs w:val="21"/>
                <w:highlight w:val="none"/>
              </w:rPr>
            </w:pPr>
            <w:r>
              <w:rPr>
                <w:rFonts w:hint="eastAsia" w:ascii="宋体" w:hAnsi="宋体" w:eastAsia="宋体" w:cs="宋体"/>
                <w:color w:val="auto"/>
                <w:kern w:val="0"/>
                <w:szCs w:val="21"/>
                <w:highlight w:val="none"/>
              </w:rPr>
              <w:t>进度计划安排无序、未充分利用、响应时效性滞后，</w:t>
            </w:r>
            <w:r>
              <w:rPr>
                <w:rFonts w:hint="eastAsia" w:ascii="宋体" w:hAnsi="宋体" w:eastAsia="宋体" w:cs="宋体"/>
                <w:color w:val="auto"/>
                <w:szCs w:val="21"/>
                <w:highlight w:val="none"/>
              </w:rPr>
              <w:t>无法完全满足采购需求</w:t>
            </w:r>
            <w:r>
              <w:rPr>
                <w:rFonts w:hint="eastAsia" w:ascii="宋体" w:hAnsi="宋体" w:eastAsia="宋体" w:cs="宋体"/>
                <w:color w:val="auto"/>
                <w:kern w:val="0"/>
                <w:szCs w:val="21"/>
                <w:highlight w:val="none"/>
              </w:rPr>
              <w:t>的服务及质量要求</w:t>
            </w:r>
            <w:r>
              <w:rPr>
                <w:rFonts w:hint="eastAsia" w:ascii="宋体" w:hAnsi="宋体" w:eastAsia="宋体" w:cs="宋体"/>
                <w:bCs/>
                <w:iCs/>
                <w:color w:val="auto"/>
                <w:szCs w:val="21"/>
                <w:highlight w:val="none"/>
              </w:rPr>
              <w:t>，得1分；</w:t>
            </w:r>
          </w:p>
          <w:p w14:paraId="1C29C2DD">
            <w:pPr>
              <w:shd w:val="clear"/>
              <w:snapToGrid w:val="0"/>
              <w:jc w:val="left"/>
              <w:rPr>
                <w:rFonts w:hint="eastAsia" w:ascii="宋体" w:hAnsi="宋体" w:cs="宋体"/>
                <w:color w:val="auto"/>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ign w:val="center"/>
          </w:tcPr>
          <w:p w14:paraId="0A4E1438">
            <w:pPr>
              <w:shd w:val="clear"/>
              <w:snapToGrid w:val="0"/>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5</w:t>
            </w:r>
          </w:p>
        </w:tc>
      </w:tr>
      <w:tr w14:paraId="7B1BFB83">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1F7DD796">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5C14CCD2">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161C1C0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保密方案</w:t>
            </w:r>
          </w:p>
        </w:tc>
        <w:tc>
          <w:tcPr>
            <w:tcW w:w="4695" w:type="dxa"/>
            <w:tcBorders>
              <w:top w:val="nil"/>
              <w:left w:val="nil"/>
              <w:bottom w:val="single" w:color="auto" w:sz="8" w:space="0"/>
              <w:right w:val="single" w:color="auto" w:sz="8" w:space="0"/>
            </w:tcBorders>
            <w:noWrap w:val="0"/>
            <w:vAlign w:val="center"/>
          </w:tcPr>
          <w:p w14:paraId="526C5109">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依据磋商文件要求，服务供应商提供的保密方案应包人员保密管理、文档保密管理等方面。方案中安全保密措施设计合理、内容全面，满足实际工作需要，得5分；</w:t>
            </w:r>
          </w:p>
          <w:p w14:paraId="1F5426D4">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措施基本合理，但内容不够全面，与实际需求匹配度不高；得3分；</w:t>
            </w:r>
          </w:p>
          <w:p w14:paraId="17C265CB">
            <w:pPr>
              <w:widowControl/>
              <w:shd w:val="clear"/>
              <w:rPr>
                <w:color w:val="auto"/>
                <w:highlight w:val="none"/>
              </w:rPr>
            </w:pPr>
            <w:r>
              <w:rPr>
                <w:rFonts w:hint="eastAsia" w:ascii="宋体" w:hAnsi="宋体" w:cs="宋体"/>
                <w:color w:val="auto"/>
                <w:kern w:val="0"/>
                <w:szCs w:val="21"/>
                <w:highlight w:val="none"/>
              </w:rPr>
              <w:t>措施不合理，内容不全面，与实际需求匹配度差；得1分；</w:t>
            </w:r>
          </w:p>
          <w:p w14:paraId="62727443">
            <w:pPr>
              <w:widowControl/>
              <w:shd w:val="clear"/>
              <w:rPr>
                <w:rFonts w:hint="eastAsia" w:ascii="宋体" w:hAnsi="宋体" w:cs="宋体"/>
                <w:color w:val="auto"/>
                <w:kern w:val="0"/>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0"/>
            <w:vAlign w:val="center"/>
          </w:tcPr>
          <w:p w14:paraId="4C6A2D6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r>
      <w:tr w14:paraId="5A7E8905">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7C5EE878">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23001B72">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18AE9578">
            <w:pPr>
              <w:shd w:val="clear"/>
              <w:jc w:val="center"/>
              <w:rPr>
                <w:color w:val="auto"/>
                <w:szCs w:val="21"/>
                <w:highlight w:val="none"/>
              </w:rPr>
            </w:pPr>
            <w:r>
              <w:rPr>
                <w:color w:val="auto"/>
                <w:szCs w:val="21"/>
                <w:highlight w:val="none"/>
              </w:rPr>
              <w:t>风险控制</w:t>
            </w:r>
            <w:r>
              <w:rPr>
                <w:rFonts w:hint="eastAsia"/>
                <w:color w:val="auto"/>
                <w:szCs w:val="21"/>
                <w:highlight w:val="none"/>
              </w:rPr>
              <w:t>方案</w:t>
            </w:r>
          </w:p>
          <w:p w14:paraId="1F3CB860">
            <w:pPr>
              <w:shd w:val="clear"/>
              <w:jc w:val="center"/>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分）</w:t>
            </w:r>
          </w:p>
        </w:tc>
        <w:tc>
          <w:tcPr>
            <w:tcW w:w="4695" w:type="dxa"/>
            <w:tcBorders>
              <w:top w:val="nil"/>
              <w:left w:val="nil"/>
              <w:bottom w:val="single" w:color="auto" w:sz="8" w:space="0"/>
              <w:right w:val="single" w:color="auto" w:sz="8" w:space="0"/>
            </w:tcBorders>
            <w:noWrap w:val="0"/>
            <w:vAlign w:val="center"/>
          </w:tcPr>
          <w:p w14:paraId="67C4DC60">
            <w:pPr>
              <w:shd w:val="clear"/>
              <w:jc w:val="left"/>
              <w:rPr>
                <w:color w:val="auto"/>
                <w:szCs w:val="21"/>
                <w:highlight w:val="none"/>
              </w:rPr>
            </w:pPr>
            <w:r>
              <w:rPr>
                <w:color w:val="auto"/>
                <w:szCs w:val="21"/>
                <w:highlight w:val="none"/>
              </w:rPr>
              <w:t>风险控制</w:t>
            </w:r>
            <w:r>
              <w:rPr>
                <w:rFonts w:hint="eastAsia"/>
                <w:color w:val="auto"/>
                <w:szCs w:val="21"/>
                <w:highlight w:val="none"/>
              </w:rPr>
              <w:t>方案完整、考虑细致周全，有结合项目实际的风险管控</w:t>
            </w:r>
            <w:r>
              <w:rPr>
                <w:color w:val="auto"/>
                <w:szCs w:val="21"/>
                <w:highlight w:val="none"/>
              </w:rPr>
              <w:t>措施，</w:t>
            </w:r>
            <w:r>
              <w:rPr>
                <w:rFonts w:hint="eastAsia"/>
                <w:color w:val="auto"/>
                <w:szCs w:val="21"/>
                <w:highlight w:val="none"/>
              </w:rPr>
              <w:t>能够有力把控项目</w:t>
            </w:r>
            <w:r>
              <w:rPr>
                <w:color w:val="auto"/>
                <w:szCs w:val="21"/>
                <w:highlight w:val="none"/>
              </w:rPr>
              <w:t>风险，得</w:t>
            </w:r>
            <w:r>
              <w:rPr>
                <w:rFonts w:hint="eastAsia"/>
                <w:color w:val="auto"/>
                <w:szCs w:val="21"/>
                <w:highlight w:val="none"/>
              </w:rPr>
              <w:t>5</w:t>
            </w:r>
            <w:r>
              <w:rPr>
                <w:color w:val="auto"/>
                <w:szCs w:val="21"/>
                <w:highlight w:val="none"/>
              </w:rPr>
              <w:t>分；</w:t>
            </w:r>
          </w:p>
          <w:p w14:paraId="0039B5A7">
            <w:pPr>
              <w:shd w:val="clear"/>
              <w:rPr>
                <w:color w:val="auto"/>
                <w:szCs w:val="21"/>
                <w:highlight w:val="none"/>
              </w:rPr>
            </w:pPr>
            <w:r>
              <w:rPr>
                <w:color w:val="auto"/>
                <w:szCs w:val="21"/>
                <w:highlight w:val="none"/>
              </w:rPr>
              <w:t>风险控制</w:t>
            </w:r>
            <w:r>
              <w:rPr>
                <w:rFonts w:hint="eastAsia"/>
                <w:color w:val="auto"/>
                <w:szCs w:val="21"/>
                <w:highlight w:val="none"/>
              </w:rPr>
              <w:t>方案普遍通用，风险控制</w:t>
            </w:r>
            <w:r>
              <w:rPr>
                <w:color w:val="auto"/>
                <w:szCs w:val="21"/>
                <w:highlight w:val="none"/>
              </w:rPr>
              <w:t>措施不够详细，</w:t>
            </w:r>
            <w:r>
              <w:rPr>
                <w:rFonts w:hint="eastAsia"/>
                <w:color w:val="auto"/>
                <w:szCs w:val="21"/>
                <w:highlight w:val="none"/>
              </w:rPr>
              <w:t>可行性一般，</w:t>
            </w:r>
            <w:r>
              <w:rPr>
                <w:color w:val="auto"/>
                <w:szCs w:val="21"/>
                <w:highlight w:val="none"/>
              </w:rPr>
              <w:t>得</w:t>
            </w:r>
            <w:r>
              <w:rPr>
                <w:rFonts w:hint="eastAsia"/>
                <w:color w:val="auto"/>
                <w:szCs w:val="21"/>
                <w:highlight w:val="none"/>
              </w:rPr>
              <w:t>3</w:t>
            </w:r>
            <w:r>
              <w:rPr>
                <w:color w:val="auto"/>
                <w:szCs w:val="21"/>
                <w:highlight w:val="none"/>
              </w:rPr>
              <w:t>分；</w:t>
            </w:r>
          </w:p>
          <w:p w14:paraId="7016CD99">
            <w:pPr>
              <w:shd w:val="clear"/>
              <w:rPr>
                <w:color w:val="auto"/>
                <w:szCs w:val="21"/>
                <w:highlight w:val="none"/>
              </w:rPr>
            </w:pPr>
            <w:r>
              <w:rPr>
                <w:color w:val="auto"/>
                <w:szCs w:val="21"/>
                <w:highlight w:val="none"/>
              </w:rPr>
              <w:t>风险控制</w:t>
            </w:r>
            <w:r>
              <w:rPr>
                <w:rFonts w:hint="eastAsia"/>
                <w:color w:val="auto"/>
                <w:szCs w:val="21"/>
                <w:highlight w:val="none"/>
              </w:rPr>
              <w:t>方案</w:t>
            </w:r>
            <w:r>
              <w:rPr>
                <w:color w:val="auto"/>
                <w:szCs w:val="21"/>
                <w:highlight w:val="none"/>
              </w:rPr>
              <w:t>简略</w:t>
            </w:r>
            <w:r>
              <w:rPr>
                <w:rFonts w:hint="eastAsia"/>
                <w:color w:val="auto"/>
                <w:szCs w:val="21"/>
                <w:highlight w:val="none"/>
              </w:rPr>
              <w:t>、风险控制</w:t>
            </w:r>
            <w:r>
              <w:rPr>
                <w:color w:val="auto"/>
                <w:szCs w:val="21"/>
                <w:highlight w:val="none"/>
              </w:rPr>
              <w:t>措施</w:t>
            </w:r>
            <w:r>
              <w:rPr>
                <w:rFonts w:hint="eastAsia"/>
                <w:color w:val="auto"/>
                <w:szCs w:val="21"/>
                <w:highlight w:val="none"/>
              </w:rPr>
              <w:t>有缺漏</w:t>
            </w:r>
            <w:r>
              <w:rPr>
                <w:color w:val="auto"/>
                <w:szCs w:val="21"/>
                <w:highlight w:val="none"/>
              </w:rPr>
              <w:t>，得1分；</w:t>
            </w:r>
          </w:p>
          <w:p w14:paraId="5264EF8A">
            <w:pPr>
              <w:shd w:val="clear"/>
              <w:rPr>
                <w:color w:val="auto"/>
                <w:szCs w:val="21"/>
                <w:highlight w:val="none"/>
              </w:rPr>
            </w:pPr>
            <w:r>
              <w:rPr>
                <w:color w:val="auto"/>
                <w:szCs w:val="21"/>
                <w:highlight w:val="none"/>
              </w:rPr>
              <w:t>未提供，得0分。</w:t>
            </w:r>
          </w:p>
        </w:tc>
        <w:tc>
          <w:tcPr>
            <w:tcW w:w="663" w:type="dxa"/>
            <w:tcBorders>
              <w:top w:val="nil"/>
              <w:left w:val="nil"/>
              <w:bottom w:val="single" w:color="auto" w:sz="8" w:space="0"/>
              <w:right w:val="single" w:color="auto" w:sz="8" w:space="0"/>
            </w:tcBorders>
            <w:noWrap w:val="0"/>
            <w:vAlign w:val="center"/>
          </w:tcPr>
          <w:p w14:paraId="1E49883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r>
      <w:tr w14:paraId="44542188">
        <w:tblPrEx>
          <w:tblCellMar>
            <w:top w:w="0" w:type="dxa"/>
            <w:left w:w="108" w:type="dxa"/>
            <w:bottom w:w="0" w:type="dxa"/>
            <w:right w:w="108" w:type="dxa"/>
          </w:tblCellMar>
        </w:tblPrEx>
        <w:trPr>
          <w:trHeight w:val="920" w:hRule="atLeast"/>
          <w:jc w:val="center"/>
        </w:trPr>
        <w:tc>
          <w:tcPr>
            <w:tcW w:w="671" w:type="dxa"/>
            <w:vMerge w:val="continue"/>
            <w:tcBorders>
              <w:left w:val="single" w:color="auto" w:sz="8" w:space="0"/>
              <w:bottom w:val="single" w:color="auto" w:sz="4" w:space="0"/>
              <w:right w:val="single" w:color="auto" w:sz="8" w:space="0"/>
            </w:tcBorders>
            <w:noWrap w:val="0"/>
            <w:vAlign w:val="center"/>
          </w:tcPr>
          <w:p w14:paraId="4203148B">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auto" w:sz="4" w:space="0"/>
              <w:right w:val="single" w:color="auto" w:sz="8" w:space="0"/>
            </w:tcBorders>
            <w:noWrap w:val="0"/>
            <w:vAlign w:val="center"/>
          </w:tcPr>
          <w:p w14:paraId="196370B0">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4" w:space="0"/>
              <w:right w:val="single" w:color="auto" w:sz="8" w:space="0"/>
            </w:tcBorders>
            <w:noWrap w:val="0"/>
            <w:vAlign w:val="center"/>
          </w:tcPr>
          <w:p w14:paraId="35E4C85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售后服务</w:t>
            </w:r>
          </w:p>
        </w:tc>
        <w:tc>
          <w:tcPr>
            <w:tcW w:w="4695" w:type="dxa"/>
            <w:tcBorders>
              <w:top w:val="nil"/>
              <w:left w:val="nil"/>
              <w:bottom w:val="single" w:color="auto" w:sz="4" w:space="0"/>
              <w:right w:val="single" w:color="auto" w:sz="8" w:space="0"/>
            </w:tcBorders>
            <w:noWrap w:val="0"/>
            <w:vAlign w:val="center"/>
          </w:tcPr>
          <w:p w14:paraId="49E3C968">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依据服务供应商售后服务方案进行综合评价，方案完整、服务内容全面、响应程度，得10分；</w:t>
            </w:r>
          </w:p>
          <w:p w14:paraId="72B4324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方案内容基本完整，服务内容基本全面、响应程度一般，得6分；</w:t>
            </w:r>
          </w:p>
          <w:p w14:paraId="420D9D50">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方案内容不完整，服务内容不够全面、响应程度差，得3分；</w:t>
            </w:r>
          </w:p>
          <w:p w14:paraId="26C99413">
            <w:pPr>
              <w:widowControl/>
              <w:shd w:val="clear"/>
              <w:rPr>
                <w:rFonts w:hint="eastAsia" w:ascii="宋体" w:hAnsi="宋体" w:cs="宋体"/>
                <w:color w:val="auto"/>
                <w:kern w:val="0"/>
                <w:szCs w:val="21"/>
                <w:highlight w:val="none"/>
              </w:rPr>
            </w:pPr>
            <w:r>
              <w:rPr>
                <w:color w:val="auto"/>
                <w:szCs w:val="21"/>
                <w:highlight w:val="none"/>
              </w:rPr>
              <w:t>未提供，得0分。</w:t>
            </w:r>
          </w:p>
        </w:tc>
        <w:tc>
          <w:tcPr>
            <w:tcW w:w="663" w:type="dxa"/>
            <w:tcBorders>
              <w:top w:val="nil"/>
              <w:left w:val="nil"/>
              <w:bottom w:val="single" w:color="auto" w:sz="4" w:space="0"/>
              <w:right w:val="single" w:color="auto" w:sz="8" w:space="0"/>
            </w:tcBorders>
            <w:noWrap w:val="0"/>
            <w:vAlign w:val="center"/>
          </w:tcPr>
          <w:p w14:paraId="66D21B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r w14:paraId="224516E8">
        <w:tblPrEx>
          <w:tblCellMar>
            <w:top w:w="0" w:type="dxa"/>
            <w:left w:w="108" w:type="dxa"/>
            <w:bottom w:w="0" w:type="dxa"/>
            <w:right w:w="108" w:type="dxa"/>
          </w:tblCellMar>
        </w:tblPrEx>
        <w:trPr>
          <w:trHeight w:val="920" w:hRule="atLeast"/>
          <w:jc w:val="center"/>
        </w:trPr>
        <w:tc>
          <w:tcPr>
            <w:tcW w:w="671" w:type="dxa"/>
            <w:tcBorders>
              <w:top w:val="single" w:color="auto" w:sz="4" w:space="0"/>
              <w:left w:val="single" w:color="auto" w:sz="8" w:space="0"/>
              <w:bottom w:val="single" w:color="000000" w:sz="8" w:space="0"/>
              <w:right w:val="single" w:color="auto" w:sz="8" w:space="0"/>
            </w:tcBorders>
            <w:noWrap w:val="0"/>
            <w:vAlign w:val="center"/>
          </w:tcPr>
          <w:p w14:paraId="3025377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77" w:type="dxa"/>
            <w:tcBorders>
              <w:top w:val="single" w:color="auto" w:sz="4" w:space="0"/>
              <w:left w:val="single" w:color="auto" w:sz="8" w:space="0"/>
              <w:bottom w:val="single" w:color="000000" w:sz="8" w:space="0"/>
              <w:right w:val="single" w:color="auto" w:sz="8" w:space="0"/>
            </w:tcBorders>
            <w:noWrap w:val="0"/>
            <w:vAlign w:val="center"/>
          </w:tcPr>
          <w:p w14:paraId="4A2514F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p w14:paraId="6B131D7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7760B226">
            <w:pPr>
              <w:widowControl/>
              <w:shd w:val="clear"/>
              <w:jc w:val="center"/>
              <w:rPr>
                <w:color w:val="auto"/>
                <w:highlight w:val="none"/>
              </w:rPr>
            </w:pPr>
            <w:r>
              <w:rPr>
                <w:rFonts w:hint="eastAsia" w:ascii="宋体" w:hAnsi="宋体" w:cs="宋体"/>
                <w:color w:val="auto"/>
                <w:kern w:val="0"/>
                <w:szCs w:val="21"/>
                <w:highlight w:val="none"/>
              </w:rPr>
              <w:t>（</w:t>
            </w:r>
            <w:r>
              <w:rPr>
                <w:color w:val="auto"/>
                <w:highlight w:val="none"/>
              </w:rPr>
              <w:t>10分）</w:t>
            </w:r>
          </w:p>
        </w:tc>
        <w:tc>
          <w:tcPr>
            <w:tcW w:w="1125" w:type="dxa"/>
            <w:tcBorders>
              <w:top w:val="single" w:color="auto" w:sz="4" w:space="0"/>
              <w:left w:val="nil"/>
              <w:bottom w:val="single" w:color="auto" w:sz="8" w:space="0"/>
              <w:right w:val="single" w:color="auto" w:sz="8" w:space="0"/>
            </w:tcBorders>
            <w:noWrap w:val="0"/>
            <w:vAlign w:val="center"/>
          </w:tcPr>
          <w:p w14:paraId="6234EFA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tc>
        <w:tc>
          <w:tcPr>
            <w:tcW w:w="4695" w:type="dxa"/>
            <w:tcBorders>
              <w:top w:val="single" w:color="auto" w:sz="4" w:space="0"/>
              <w:left w:val="nil"/>
              <w:bottom w:val="single" w:color="auto" w:sz="8" w:space="0"/>
              <w:right w:val="single" w:color="auto" w:sz="8" w:space="0"/>
            </w:tcBorders>
            <w:noWrap w:val="0"/>
            <w:vAlign w:val="center"/>
          </w:tcPr>
          <w:p w14:paraId="30EEC9C7">
            <w:pPr>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满足磋商文件要求的最后报价最低的供应商的价格为磋商基准价，其价格分为满分。其他供应商的价格分统一按照下列公式计算：磋商报价得分=（磋商基准价/最后报价）×10</w:t>
            </w:r>
          </w:p>
          <w:p w14:paraId="4A416C3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说明：此处最后报价指经过报价修正，及因落实政府采购政策进行价格调整后的报价，详见第三章《评审方法和评审标准》3.2、3.3</w:t>
            </w:r>
          </w:p>
        </w:tc>
        <w:tc>
          <w:tcPr>
            <w:tcW w:w="663" w:type="dxa"/>
            <w:tcBorders>
              <w:top w:val="single" w:color="auto" w:sz="4" w:space="0"/>
              <w:left w:val="nil"/>
              <w:bottom w:val="single" w:color="auto" w:sz="8" w:space="0"/>
              <w:right w:val="single" w:color="auto" w:sz="8" w:space="0"/>
            </w:tcBorders>
            <w:noWrap w:val="0"/>
            <w:vAlign w:val="center"/>
          </w:tcPr>
          <w:p w14:paraId="2260DCF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bl>
    <w:p w14:paraId="263553D2">
      <w:pPr>
        <w:shd w:val="clear"/>
        <w:rPr>
          <w:color w:val="auto"/>
          <w:highlight w:val="none"/>
        </w:rPr>
      </w:pPr>
    </w:p>
    <w:p w14:paraId="6E604F1A">
      <w:pPr>
        <w:shd w:val="clear"/>
        <w:tabs>
          <w:tab w:val="left" w:pos="360"/>
          <w:tab w:val="left" w:pos="1080"/>
        </w:tabs>
        <w:snapToGrid w:val="0"/>
        <w:spacing w:line="360" w:lineRule="auto"/>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r>
        <w:rPr>
          <w:rFonts w:eastAsia="宋体"/>
          <w:b/>
          <w:color w:val="auto"/>
          <w:sz w:val="36"/>
          <w:szCs w:val="36"/>
          <w:highlight w:val="none"/>
        </w:rPr>
        <w:br w:type="page"/>
      </w:r>
    </w:p>
    <w:p w14:paraId="01EB4BF7">
      <w:pPr>
        <w:pStyle w:val="6"/>
        <w:shd w:val="clear"/>
        <w:rPr>
          <w:rFonts w:hint="eastAsia"/>
          <w:color w:val="auto"/>
          <w:highlight w:val="none"/>
          <w:lang w:val="en-US" w:eastAsia="zh-CN"/>
        </w:rPr>
      </w:pPr>
      <w:r>
        <w:rPr>
          <w:rFonts w:hint="eastAsia"/>
          <w:color w:val="auto"/>
          <w:highlight w:val="none"/>
          <w:lang w:val="en-US" w:eastAsia="zh-CN"/>
        </w:rPr>
        <w:t>第3包：</w:t>
      </w:r>
    </w:p>
    <w:p w14:paraId="1E945F3C">
      <w:pPr>
        <w:shd w:val="clear"/>
        <w:rPr>
          <w:rFonts w:hint="eastAsia"/>
          <w:color w:val="auto"/>
          <w:highlight w:val="none"/>
          <w:lang w:val="en-US" w:eastAsia="zh-CN"/>
        </w:rPr>
      </w:pP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
        <w:gridCol w:w="1309"/>
        <w:gridCol w:w="5507"/>
        <w:gridCol w:w="834"/>
      </w:tblGrid>
      <w:tr w14:paraId="3D72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46" w:type="dxa"/>
            <w:vAlign w:val="center"/>
          </w:tcPr>
          <w:p w14:paraId="5FD0D371">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309" w:type="dxa"/>
            <w:vAlign w:val="center"/>
          </w:tcPr>
          <w:p w14:paraId="4F74A9E1">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507" w:type="dxa"/>
            <w:vAlign w:val="center"/>
          </w:tcPr>
          <w:p w14:paraId="23C9C843">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评分标准说明</w:t>
            </w:r>
          </w:p>
        </w:tc>
        <w:tc>
          <w:tcPr>
            <w:tcW w:w="834" w:type="dxa"/>
            <w:vAlign w:val="center"/>
          </w:tcPr>
          <w:p w14:paraId="26A3A92C">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r>
      <w:tr w14:paraId="2765A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0B53BB65">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5EE23D5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服务能力</w:t>
            </w:r>
          </w:p>
        </w:tc>
        <w:tc>
          <w:tcPr>
            <w:tcW w:w="5507" w:type="dxa"/>
            <w:vAlign w:val="center"/>
          </w:tcPr>
          <w:p w14:paraId="09F4346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具有信息安全风险评估服务资质认证证书，得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否则得0分</w:t>
            </w:r>
            <w:r>
              <w:rPr>
                <w:rFonts w:hint="eastAsia" w:ascii="宋体" w:hAnsi="宋体" w:eastAsia="宋体" w:cs="宋体"/>
                <w:color w:val="auto"/>
                <w:kern w:val="0"/>
                <w:sz w:val="21"/>
                <w:szCs w:val="21"/>
                <w:highlight w:val="none"/>
              </w:rPr>
              <w:t>。</w:t>
            </w:r>
          </w:p>
        </w:tc>
        <w:tc>
          <w:tcPr>
            <w:tcW w:w="834" w:type="dxa"/>
            <w:vAlign w:val="center"/>
          </w:tcPr>
          <w:p w14:paraId="224D8FB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r>
      <w:tr w14:paraId="33EB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D0F6B5D">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47C973A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业绩</w:t>
            </w:r>
          </w:p>
        </w:tc>
        <w:tc>
          <w:tcPr>
            <w:tcW w:w="5507" w:type="dxa"/>
          </w:tcPr>
          <w:p w14:paraId="0EA5DE90">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2022年1月1日至今具有的类似项目业绩，每有一个合同得2分，最高得4分。</w:t>
            </w:r>
          </w:p>
          <w:p w14:paraId="10C3EA76">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注：供应商应提供合同复印件（包含合同首页、关键内容页、合同盖章页），认定时间以合同签订时间为准。</w:t>
            </w:r>
          </w:p>
        </w:tc>
        <w:tc>
          <w:tcPr>
            <w:tcW w:w="834" w:type="dxa"/>
            <w:vAlign w:val="center"/>
          </w:tcPr>
          <w:p w14:paraId="5574728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14:paraId="7C70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2645C34E">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72FB141A">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需求分析解决方案</w:t>
            </w:r>
          </w:p>
        </w:tc>
        <w:tc>
          <w:tcPr>
            <w:tcW w:w="5507" w:type="dxa"/>
          </w:tcPr>
          <w:p w14:paraId="22113DA6">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对本项目重点难点问题分析准确，分析内容完整、分析透彻、理解认知度高，能提出项目执行过程中的重点、难点问题并给出相应解决方案，得</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分；提供了常规、通用的项目需求分析及解决方案，得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分；提供了项目需求分析，但分析内容有欠缺，得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分；未提供相关内容，得0分。</w:t>
            </w:r>
          </w:p>
        </w:tc>
        <w:tc>
          <w:tcPr>
            <w:tcW w:w="834" w:type="dxa"/>
            <w:vAlign w:val="center"/>
          </w:tcPr>
          <w:p w14:paraId="791F40BE">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r>
      <w:tr w14:paraId="6B7AF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2B38C440">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5A4F47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项目质量控制方案</w:t>
            </w:r>
          </w:p>
        </w:tc>
        <w:tc>
          <w:tcPr>
            <w:tcW w:w="5507" w:type="dxa"/>
          </w:tcPr>
          <w:p w14:paraId="3528E7FF">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根据项目监理的服务内容与要求，做好质量控制方案，方案完整详实、可实施性强，7分；方案基本满足服务要求，4分；方案不够具体，存在不足，2分；不满足要求或未提供，0分。</w:t>
            </w:r>
          </w:p>
        </w:tc>
        <w:tc>
          <w:tcPr>
            <w:tcW w:w="834" w:type="dxa"/>
            <w:vAlign w:val="center"/>
          </w:tcPr>
          <w:p w14:paraId="31867FB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02E2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3A5B7FA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2F03350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项目进度控制方案</w:t>
            </w:r>
          </w:p>
        </w:tc>
        <w:tc>
          <w:tcPr>
            <w:tcW w:w="5507" w:type="dxa"/>
          </w:tcPr>
          <w:p w14:paraId="25FEBA7A">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根据项目监理的服务内容与要求，做好进度控制方案，方案完整详实、可实施性强，7分；方案基本满足服务要求，4分；方案不够具体，存在不足，2分；不满足要求或未提供，0分。</w:t>
            </w:r>
          </w:p>
        </w:tc>
        <w:tc>
          <w:tcPr>
            <w:tcW w:w="834" w:type="dxa"/>
            <w:vAlign w:val="center"/>
          </w:tcPr>
          <w:p w14:paraId="0752F81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6FC0A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43572607">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1643223B">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项目投资控制方案</w:t>
            </w:r>
          </w:p>
        </w:tc>
        <w:tc>
          <w:tcPr>
            <w:tcW w:w="5507" w:type="dxa"/>
          </w:tcPr>
          <w:p w14:paraId="4BAFE3D8">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根据项目监理的服务内容与要求，做好投资控制方案，方案完整详实、可实施性强，7分；方案基本满足服务要求，4分；方案不够具体，存在不足，2分；不满足要求或未提供，0分。</w:t>
            </w:r>
          </w:p>
        </w:tc>
        <w:tc>
          <w:tcPr>
            <w:tcW w:w="834" w:type="dxa"/>
            <w:vAlign w:val="center"/>
          </w:tcPr>
          <w:p w14:paraId="4CF0C9C1">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67AE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F69E9F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4DC82351">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项目合同管理方案</w:t>
            </w:r>
          </w:p>
        </w:tc>
        <w:tc>
          <w:tcPr>
            <w:tcW w:w="5507" w:type="dxa"/>
            <w:vAlign w:val="center"/>
          </w:tcPr>
          <w:p w14:paraId="52C9645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根据项目监理的服务内容与要求，做好项目合同管理方案，方案完整详实、可实施性强，7分；方案基本满足服务要求，4分；方案不够具体，存在不足，2分；不满足要求或未提供，0分。</w:t>
            </w:r>
          </w:p>
        </w:tc>
        <w:tc>
          <w:tcPr>
            <w:tcW w:w="834" w:type="dxa"/>
            <w:vAlign w:val="center"/>
          </w:tcPr>
          <w:p w14:paraId="4A410ED3">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5092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269725B">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899EA0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项目信息文档管理方案</w:t>
            </w:r>
          </w:p>
        </w:tc>
        <w:tc>
          <w:tcPr>
            <w:tcW w:w="5507" w:type="dxa"/>
            <w:vAlign w:val="center"/>
          </w:tcPr>
          <w:p w14:paraId="02609214">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根据项目监理的服务内容与要求，做好项目信息文档管理方案，方案完整详实、可实施性强，7分；方案基本满足服务要求，4分；方案不够具体，存在不足，2分；不满足要求或未提供，0分。</w:t>
            </w:r>
          </w:p>
        </w:tc>
        <w:tc>
          <w:tcPr>
            <w:tcW w:w="834" w:type="dxa"/>
            <w:vAlign w:val="center"/>
          </w:tcPr>
          <w:p w14:paraId="45547D4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5769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164FD098">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34434FA5">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项目安全保密管理方案</w:t>
            </w:r>
          </w:p>
        </w:tc>
        <w:tc>
          <w:tcPr>
            <w:tcW w:w="5507" w:type="dxa"/>
            <w:vAlign w:val="center"/>
          </w:tcPr>
          <w:p w14:paraId="24CF6DF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根据项目监理的服务内容与要求，确保安全、保密，提供可行、有效的方案。方案完整详实、可实施性强，7分；方案基本满足服务要求，4分；方案不够具体，存在不足，2分；不满足要求或未提供，0分。</w:t>
            </w:r>
          </w:p>
        </w:tc>
        <w:tc>
          <w:tcPr>
            <w:tcW w:w="834" w:type="dxa"/>
            <w:vAlign w:val="center"/>
          </w:tcPr>
          <w:p w14:paraId="74C275B2">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7870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534BCD61">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591F63C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项目组织协调方案</w:t>
            </w:r>
          </w:p>
        </w:tc>
        <w:tc>
          <w:tcPr>
            <w:tcW w:w="5507" w:type="dxa"/>
            <w:vAlign w:val="center"/>
          </w:tcPr>
          <w:p w14:paraId="09A40A4B">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根据项目监理的服务内容与要求，沟通、协调解决项目中的相关问题，方案完整详实、可实施性强，</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分；方案基本满足服务要求，</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分；方案不够具体，存在不足，2分；不满足要求或未提供，0分。</w:t>
            </w:r>
          </w:p>
        </w:tc>
        <w:tc>
          <w:tcPr>
            <w:tcW w:w="834" w:type="dxa"/>
            <w:vAlign w:val="center"/>
          </w:tcPr>
          <w:p w14:paraId="6CC60E95">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p>
        </w:tc>
      </w:tr>
      <w:tr w14:paraId="55A4E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5767E1B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223AF49B">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项目咨询服务方案</w:t>
            </w:r>
          </w:p>
        </w:tc>
        <w:tc>
          <w:tcPr>
            <w:tcW w:w="5507" w:type="dxa"/>
            <w:vAlign w:val="center"/>
          </w:tcPr>
          <w:p w14:paraId="1269245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根据项目咨询服务内容与要求，做好项目咨询服务方案，方案完整详实、可实施性强，</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分；方案基本满足服务要求，</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分；方案不够具体，存在不足，2分；不满足要求或未提供，0分。</w:t>
            </w:r>
          </w:p>
        </w:tc>
        <w:tc>
          <w:tcPr>
            <w:tcW w:w="834" w:type="dxa"/>
            <w:vAlign w:val="center"/>
          </w:tcPr>
          <w:p w14:paraId="2E9585D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p>
        </w:tc>
      </w:tr>
      <w:tr w14:paraId="0655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restart"/>
            <w:vAlign w:val="center"/>
          </w:tcPr>
          <w:p w14:paraId="17EEED49">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Merge w:val="restart"/>
            <w:vAlign w:val="center"/>
          </w:tcPr>
          <w:p w14:paraId="5C5DBFE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项目团队</w:t>
            </w:r>
          </w:p>
        </w:tc>
        <w:tc>
          <w:tcPr>
            <w:tcW w:w="5507" w:type="dxa"/>
          </w:tcPr>
          <w:p w14:paraId="37D9618C">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总监理工程师：1人</w:t>
            </w:r>
          </w:p>
          <w:p w14:paraId="38FD5000">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具有计算机技术与软件专业技术资格信息系统监理师证书，否则总监理工程师一项不得分。在此基础上，具有注册咨询工程师（注册在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单位）证书得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分，具有信息工程专业高级专业技术职务任职资格证书得2分。</w:t>
            </w:r>
          </w:p>
        </w:tc>
        <w:tc>
          <w:tcPr>
            <w:tcW w:w="834" w:type="dxa"/>
            <w:vAlign w:val="center"/>
          </w:tcPr>
          <w:p w14:paraId="71BF7B3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r>
      <w:tr w14:paraId="52AAD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continue"/>
            <w:vAlign w:val="center"/>
          </w:tcPr>
          <w:p w14:paraId="6D3F93F3">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1309" w:type="dxa"/>
            <w:vMerge w:val="continue"/>
            <w:vAlign w:val="center"/>
          </w:tcPr>
          <w:p w14:paraId="0907A11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5507" w:type="dxa"/>
          </w:tcPr>
          <w:p w14:paraId="71C8595C">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总监理工程师代表：1人</w:t>
            </w:r>
          </w:p>
          <w:p w14:paraId="7A221DF4">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具有计算机技术与软件专业技术资格信息系统监理师证书和信息系统项目管理师证书，否则总监理工程师代表一项不得分。</w:t>
            </w:r>
          </w:p>
          <w:p w14:paraId="6186B067">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在此基础上，具有注册咨询工程师（注册在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单位）证书得2分，具有计算机技术与软件专业技术资格系统架构设计师证书得2分，具有计算机技术与软件专业技术资格信息安全工程师证书得2分。</w:t>
            </w:r>
          </w:p>
        </w:tc>
        <w:tc>
          <w:tcPr>
            <w:tcW w:w="834" w:type="dxa"/>
            <w:vAlign w:val="center"/>
          </w:tcPr>
          <w:p w14:paraId="0559256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r>
      <w:tr w14:paraId="1CD9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continue"/>
            <w:vAlign w:val="center"/>
          </w:tcPr>
          <w:p w14:paraId="680887F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1309" w:type="dxa"/>
            <w:vMerge w:val="continue"/>
            <w:vAlign w:val="center"/>
          </w:tcPr>
          <w:p w14:paraId="04F2E4D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5507" w:type="dxa"/>
          </w:tcPr>
          <w:p w14:paraId="5E9C21B5">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专业监理工程师：</w:t>
            </w:r>
          </w:p>
          <w:p w14:paraId="1831BE88">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全部具有计算机技术与软件专业技术资格信息系统监理师证书，否则监理工程师一项不得分。</w:t>
            </w:r>
          </w:p>
          <w:p w14:paraId="0393E6CC">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在此基础上，专业监理工程师中持有以下证书的，每有一项得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分，最高得6分，同一人具有多项证书或多人具有同一项证书均不重复计分：</w:t>
            </w:r>
          </w:p>
          <w:p w14:paraId="61C47364">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（1）计算机技术与软件专业技术资格信息处理技术员证书； </w:t>
            </w:r>
          </w:p>
          <w:p w14:paraId="33AEF20B">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szCs w:val="24"/>
                <w:highlight w:val="none"/>
              </w:rPr>
              <w:t>信息安全工程师</w:t>
            </w:r>
            <w:r>
              <w:rPr>
                <w:rFonts w:hint="eastAsia" w:ascii="宋体" w:hAnsi="宋体" w:cs="宋体"/>
                <w:color w:val="auto"/>
                <w:szCs w:val="24"/>
                <w:highlight w:val="none"/>
                <w:lang w:eastAsia="zh-CN"/>
              </w:rPr>
              <w:t>。</w:t>
            </w:r>
          </w:p>
        </w:tc>
        <w:tc>
          <w:tcPr>
            <w:tcW w:w="834" w:type="dxa"/>
            <w:vAlign w:val="center"/>
          </w:tcPr>
          <w:p w14:paraId="73ADECE2">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r>
      <w:tr w14:paraId="25A5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4"/>
            <w:vAlign w:val="center"/>
          </w:tcPr>
          <w:p w14:paraId="60B7639C">
            <w:pPr>
              <w:keepNext w:val="0"/>
              <w:keepLines w:val="0"/>
              <w:pageBreakBefore w:val="0"/>
              <w:widowControl/>
              <w:shd w:val="clear"/>
              <w:kinsoku/>
              <w:wordWrap/>
              <w:overflowPunct/>
              <w:topLinePunct w:val="0"/>
              <w:bidi w:val="0"/>
              <w:snapToGrid/>
              <w:spacing w:line="360" w:lineRule="auto"/>
              <w:ind w:left="0" w:firstLine="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w:t>
            </w:r>
          </w:p>
          <w:p w14:paraId="6774EE5B">
            <w:pPr>
              <w:keepNext w:val="0"/>
              <w:keepLines w:val="0"/>
              <w:pageBreakBefore w:val="0"/>
              <w:widowControl/>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1.以上涉及公司和人员证书的须提供相关证书复印件，并加盖单位公章。</w:t>
            </w:r>
          </w:p>
          <w:p w14:paraId="77683C87">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2.项目团队人员需提供近半年内</w:t>
            </w:r>
            <w:r>
              <w:rPr>
                <w:rFonts w:hint="eastAsia" w:ascii="宋体" w:hAnsi="宋体" w:eastAsia="宋体" w:cs="宋体"/>
                <w:color w:val="auto"/>
                <w:kern w:val="0"/>
                <w:sz w:val="21"/>
                <w:szCs w:val="21"/>
                <w:highlight w:val="none"/>
                <w:lang w:val="en-US" w:eastAsia="zh-CN"/>
              </w:rPr>
              <w:t>任意一</w:t>
            </w:r>
            <w:r>
              <w:rPr>
                <w:rFonts w:hint="eastAsia" w:ascii="宋体" w:hAnsi="宋体" w:eastAsia="宋体" w:cs="宋体"/>
                <w:color w:val="auto"/>
                <w:kern w:val="0"/>
                <w:sz w:val="21"/>
                <w:szCs w:val="21"/>
                <w:highlight w:val="none"/>
              </w:rPr>
              <w:t>个月社保证明，并加盖单位公章。</w:t>
            </w:r>
          </w:p>
        </w:tc>
      </w:tr>
      <w:tr w14:paraId="1C51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45F131A4">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90124AD">
            <w:pPr>
              <w:keepNext w:val="0"/>
              <w:keepLines w:val="0"/>
              <w:pageBreakBefore w:val="0"/>
              <w:shd w:val="clear"/>
              <w:kinsoku/>
              <w:wordWrap/>
              <w:overflowPunct/>
              <w:topLinePunct w:val="0"/>
              <w:bidi w:val="0"/>
              <w:snapToGrid/>
              <w:spacing w:line="360" w:lineRule="auto"/>
              <w:ind w:left="0" w:firstLine="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价格评审</w:t>
            </w:r>
          </w:p>
        </w:tc>
        <w:tc>
          <w:tcPr>
            <w:tcW w:w="5507" w:type="dxa"/>
          </w:tcPr>
          <w:p w14:paraId="16E34F57">
            <w:pPr>
              <w:keepNext w:val="0"/>
              <w:keepLines w:val="0"/>
              <w:pageBreakBefore w:val="0"/>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满足磋商文件要求的最后报价最低的供应商的价格为磋商基准价，其价格分为满分。其他供应商的价格分统一按照下列公式计算：</w:t>
            </w:r>
          </w:p>
          <w:p w14:paraId="55152241">
            <w:pPr>
              <w:keepNext w:val="0"/>
              <w:keepLines w:val="0"/>
              <w:pageBreakBefore w:val="0"/>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磋商报价得分=（磋商基准价/最后报价）×10</w:t>
            </w:r>
          </w:p>
          <w:p w14:paraId="45595D43">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此处最后报价指经过报价修正，及因落实政府采购政策进行价格调整后的报价，详见第三章《评审方法和评审标准》3.2、3.3</w:t>
            </w:r>
          </w:p>
        </w:tc>
        <w:tc>
          <w:tcPr>
            <w:tcW w:w="834" w:type="dxa"/>
            <w:vAlign w:val="center"/>
          </w:tcPr>
          <w:p w14:paraId="700B1CD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r>
      <w:tr w14:paraId="2BE7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2" w:type="dxa"/>
            <w:gridSpan w:val="3"/>
          </w:tcPr>
          <w:p w14:paraId="130008F2">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p>
        </w:tc>
        <w:tc>
          <w:tcPr>
            <w:tcW w:w="834" w:type="dxa"/>
            <w:vAlign w:val="center"/>
          </w:tcPr>
          <w:p w14:paraId="727F84D6">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100分</w:t>
            </w:r>
          </w:p>
        </w:tc>
      </w:tr>
    </w:tbl>
    <w:p w14:paraId="3AEFF1F3">
      <w:pPr>
        <w:pStyle w:val="6"/>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4EDD720E">
      <w:pPr>
        <w:pStyle w:val="6"/>
        <w:shd w:val="clear"/>
        <w:rPr>
          <w:color w:val="auto"/>
          <w:highlight w:val="none"/>
        </w:rPr>
      </w:pPr>
    </w:p>
    <w:p w14:paraId="7EA755BF">
      <w:pPr>
        <w:shd w:val="clear"/>
        <w:spacing w:line="360" w:lineRule="auto"/>
        <w:jc w:val="center"/>
        <w:outlineLvl w:val="0"/>
        <w:rPr>
          <w:rFonts w:eastAsia="宋体"/>
          <w:b/>
          <w:color w:val="auto"/>
          <w:sz w:val="36"/>
          <w:szCs w:val="36"/>
          <w:highlight w:val="none"/>
        </w:rPr>
      </w:pPr>
    </w:p>
    <w:p w14:paraId="66517580">
      <w:pPr>
        <w:shd w:val="clear"/>
        <w:spacing w:line="360" w:lineRule="auto"/>
        <w:jc w:val="center"/>
        <w:outlineLvl w:val="0"/>
        <w:rPr>
          <w:rFonts w:eastAsia="宋体"/>
          <w:b/>
          <w:color w:val="auto"/>
          <w:sz w:val="36"/>
          <w:szCs w:val="36"/>
          <w:highlight w:val="none"/>
        </w:rPr>
      </w:pPr>
    </w:p>
    <w:p w14:paraId="3D9B781E">
      <w:pPr>
        <w:shd w:val="clear"/>
        <w:spacing w:line="360" w:lineRule="auto"/>
        <w:jc w:val="center"/>
        <w:outlineLvl w:val="0"/>
        <w:rPr>
          <w:rFonts w:eastAsia="宋体"/>
          <w:b/>
          <w:color w:val="auto"/>
          <w:sz w:val="36"/>
          <w:szCs w:val="36"/>
          <w:highlight w:val="none"/>
        </w:rPr>
      </w:pPr>
    </w:p>
    <w:p w14:paraId="7AB20010">
      <w:pPr>
        <w:shd w:val="clear"/>
        <w:spacing w:line="360" w:lineRule="auto"/>
        <w:jc w:val="center"/>
        <w:outlineLvl w:val="0"/>
        <w:rPr>
          <w:rFonts w:eastAsia="宋体"/>
          <w:b/>
          <w:color w:val="auto"/>
          <w:sz w:val="36"/>
          <w:szCs w:val="36"/>
          <w:highlight w:val="none"/>
        </w:rPr>
      </w:pPr>
    </w:p>
    <w:p w14:paraId="28C20FBB">
      <w:pPr>
        <w:shd w:val="clear"/>
        <w:spacing w:line="360" w:lineRule="auto"/>
        <w:jc w:val="center"/>
        <w:outlineLvl w:val="0"/>
        <w:rPr>
          <w:rFonts w:eastAsia="宋体"/>
          <w:b/>
          <w:color w:val="auto"/>
          <w:sz w:val="36"/>
          <w:szCs w:val="36"/>
          <w:highlight w:val="none"/>
        </w:rPr>
      </w:pPr>
    </w:p>
    <w:p w14:paraId="7A80168D">
      <w:pPr>
        <w:shd w:val="clear"/>
        <w:spacing w:line="360" w:lineRule="auto"/>
        <w:jc w:val="center"/>
        <w:outlineLvl w:val="0"/>
        <w:rPr>
          <w:rFonts w:eastAsia="宋体"/>
          <w:b/>
          <w:color w:val="auto"/>
          <w:sz w:val="36"/>
          <w:szCs w:val="36"/>
          <w:highlight w:val="none"/>
        </w:rPr>
      </w:pPr>
      <w:bookmarkStart w:id="676" w:name="_Toc379"/>
      <w:r>
        <w:rPr>
          <w:rFonts w:eastAsia="宋体"/>
          <w:b/>
          <w:color w:val="auto"/>
          <w:sz w:val="36"/>
          <w:szCs w:val="36"/>
          <w:highlight w:val="none"/>
        </w:rPr>
        <w:t>第四章   采购需求</w:t>
      </w:r>
      <w:bookmarkEnd w:id="676"/>
    </w:p>
    <w:p w14:paraId="54BFB27E">
      <w:pPr>
        <w:shd w:val="clear"/>
        <w:spacing w:line="360" w:lineRule="auto"/>
        <w:contextualSpacing/>
        <w:rPr>
          <w:rFonts w:eastAsia="宋体"/>
          <w:color w:val="auto"/>
          <w:sz w:val="24"/>
          <w:highlight w:val="none"/>
        </w:rPr>
      </w:pPr>
    </w:p>
    <w:p w14:paraId="5ADB476C">
      <w:pPr>
        <w:shd w:val="clear"/>
        <w:spacing w:line="440" w:lineRule="exact"/>
        <w:rPr>
          <w:rFonts w:eastAsia="宋体"/>
          <w:b/>
          <w:color w:val="auto"/>
          <w:highlight w:val="none"/>
        </w:rPr>
      </w:pPr>
    </w:p>
    <w:p w14:paraId="1B53DAE5">
      <w:pPr>
        <w:shd w:val="clear"/>
        <w:autoSpaceDE w:val="0"/>
        <w:autoSpaceDN w:val="0"/>
        <w:rPr>
          <w:rFonts w:eastAsia="宋体"/>
          <w:bCs/>
          <w:color w:val="auto"/>
          <w:highlight w:val="none"/>
        </w:rPr>
      </w:pPr>
    </w:p>
    <w:p w14:paraId="344E44E4">
      <w:pPr>
        <w:shd w:val="clear"/>
        <w:rPr>
          <w:rFonts w:eastAsia="宋体"/>
          <w:color w:val="auto"/>
          <w:highlight w:val="none"/>
        </w:rPr>
      </w:pPr>
    </w:p>
    <w:p w14:paraId="2126B18D">
      <w:pPr>
        <w:widowControl/>
        <w:shd w:val="clear"/>
        <w:jc w:val="left"/>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p>
    <w:p w14:paraId="744BEF05">
      <w:pPr>
        <w:shd w:val="clear"/>
        <w:spacing w:line="360" w:lineRule="auto"/>
        <w:contextualSpacing/>
        <w:rPr>
          <w:rFonts w:hint="eastAsia" w:eastAsia="宋体"/>
          <w:b/>
          <w:bCs w:val="0"/>
          <w:color w:val="auto"/>
          <w:sz w:val="24"/>
          <w:highlight w:val="none"/>
          <w:lang w:val="en-US" w:eastAsia="zh-CN"/>
        </w:rPr>
      </w:pPr>
      <w:r>
        <w:rPr>
          <w:rFonts w:hint="eastAsia"/>
          <w:b/>
          <w:bCs w:val="0"/>
          <w:color w:val="auto"/>
          <w:sz w:val="24"/>
          <w:highlight w:val="none"/>
          <w:lang w:val="en-US" w:eastAsia="zh-CN"/>
        </w:rPr>
        <w:t>第1包：</w:t>
      </w:r>
    </w:p>
    <w:p w14:paraId="31AC2814">
      <w:pPr>
        <w:shd w:val="clear"/>
        <w:spacing w:line="360" w:lineRule="auto"/>
        <w:contextualSpacing/>
        <w:outlineLvl w:val="0"/>
        <w:rPr>
          <w:b/>
          <w:color w:val="auto"/>
          <w:sz w:val="24"/>
          <w:highlight w:val="none"/>
        </w:rPr>
      </w:pPr>
      <w:r>
        <w:rPr>
          <w:b/>
          <w:color w:val="auto"/>
          <w:sz w:val="24"/>
          <w:highlight w:val="none"/>
        </w:rPr>
        <w:t>一、采购标的</w:t>
      </w:r>
    </w:p>
    <w:p w14:paraId="5BB8AEB1">
      <w:pPr>
        <w:shd w:val="clear"/>
        <w:spacing w:line="360" w:lineRule="auto"/>
        <w:contextualSpacing/>
        <w:outlineLvl w:val="1"/>
        <w:rPr>
          <w:bCs/>
          <w:color w:val="auto"/>
          <w:sz w:val="24"/>
          <w:highlight w:val="none"/>
        </w:rPr>
      </w:pPr>
      <w:r>
        <w:rPr>
          <w:bCs/>
          <w:color w:val="auto"/>
          <w:sz w:val="24"/>
          <w:highlight w:val="none"/>
        </w:rPr>
        <w:t>1. 采购标的</w:t>
      </w:r>
    </w:p>
    <w:p w14:paraId="216C7EB0">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w:t>
      </w:r>
      <w:r>
        <w:rPr>
          <w:rFonts w:hint="eastAsia"/>
          <w:bCs/>
          <w:color w:val="auto"/>
          <w:sz w:val="24"/>
          <w:highlight w:val="none"/>
        </w:rPr>
        <w:t xml:space="preserve">（第1包：系统建设） </w:t>
      </w:r>
    </w:p>
    <w:p w14:paraId="467A99B6">
      <w:pPr>
        <w:shd w:val="clear"/>
        <w:spacing w:line="360" w:lineRule="auto"/>
        <w:contextualSpacing/>
        <w:outlineLvl w:val="1"/>
        <w:rPr>
          <w:bCs/>
          <w:color w:val="auto"/>
          <w:sz w:val="24"/>
          <w:highlight w:val="none"/>
        </w:rPr>
      </w:pPr>
      <w:r>
        <w:rPr>
          <w:bCs/>
          <w:color w:val="auto"/>
          <w:sz w:val="24"/>
          <w:highlight w:val="none"/>
        </w:rPr>
        <w:t>2. 项目概述</w:t>
      </w:r>
    </w:p>
    <w:p w14:paraId="7D06778B">
      <w:pPr>
        <w:shd w:val="clear"/>
        <w:spacing w:after="0" w:line="360" w:lineRule="auto"/>
        <w:ind w:firstLine="482"/>
        <w:contextualSpacing/>
        <w:outlineLvl w:val="2"/>
        <w:rPr>
          <w:bCs/>
          <w:color w:val="auto"/>
          <w:sz w:val="24"/>
          <w:highlight w:val="none"/>
        </w:rPr>
      </w:pPr>
      <w:r>
        <w:rPr>
          <w:bCs/>
          <w:color w:val="auto"/>
          <w:sz w:val="24"/>
          <w:highlight w:val="none"/>
        </w:rPr>
        <w:t>系统有效支撑了2018年-2025年度积分落户业务的申报、核查、复查、公示和落户办理全流程，系统良好运行辅助落实了市</w:t>
      </w:r>
      <w:r>
        <w:rPr>
          <w:rFonts w:hint="eastAsia"/>
          <w:bCs/>
          <w:color w:val="auto"/>
          <w:sz w:val="24"/>
          <w:highlight w:val="none"/>
          <w:lang w:eastAsia="zh-CN"/>
        </w:rPr>
        <w:t>人力资源和社会保障局</w:t>
      </w:r>
      <w:r>
        <w:rPr>
          <w:bCs/>
          <w:color w:val="auto"/>
          <w:sz w:val="24"/>
          <w:highlight w:val="none"/>
        </w:rPr>
        <w:t>积分落户实施工作的组织管理职责、市发展改革委积分落户工作统筹协调职责，有效支撑了市委宣传部、首都文明委、市总工会、市教委、市科委、市公安局、市民政局、市规划国土委、市住房城乡建设委、市税务局积分落户指标审核、手续办理等工作的开展，也为各区政府、经济技术开发区指定相关部门负责部分积分指标的现场审核及政策咨询等工作提供平台服务。积分落户系统每年约有126万人符合资格申报条件，涉及10万家用人单位。系统当前采用的是Oracle数据库，部署在北京联通政务云平台，尚未进行</w:t>
      </w:r>
      <w:r>
        <w:rPr>
          <w:rFonts w:hint="eastAsia"/>
          <w:bCs/>
          <w:color w:val="auto"/>
          <w:sz w:val="24"/>
          <w:highlight w:val="none"/>
          <w:lang w:eastAsia="zh-CN"/>
        </w:rPr>
        <w:t>适配</w:t>
      </w:r>
      <w:r>
        <w:rPr>
          <w:bCs/>
          <w:color w:val="auto"/>
          <w:sz w:val="24"/>
          <w:highlight w:val="none"/>
        </w:rPr>
        <w:t>，因此需要全盘进行</w:t>
      </w:r>
      <w:r>
        <w:rPr>
          <w:rFonts w:hint="eastAsia"/>
          <w:bCs/>
          <w:color w:val="auto"/>
          <w:sz w:val="24"/>
          <w:highlight w:val="none"/>
          <w:lang w:eastAsia="zh-CN"/>
        </w:rPr>
        <w:t>适配</w:t>
      </w:r>
      <w:r>
        <w:rPr>
          <w:bCs/>
          <w:color w:val="auto"/>
          <w:sz w:val="24"/>
          <w:highlight w:val="none"/>
        </w:rPr>
        <w:t xml:space="preserve">。  </w:t>
      </w:r>
    </w:p>
    <w:p w14:paraId="18DAB668">
      <w:pPr>
        <w:shd w:val="clear"/>
        <w:spacing w:line="360" w:lineRule="auto"/>
        <w:contextualSpacing/>
        <w:outlineLvl w:val="0"/>
        <w:rPr>
          <w:b/>
          <w:color w:val="auto"/>
          <w:sz w:val="24"/>
          <w:highlight w:val="none"/>
        </w:rPr>
      </w:pPr>
      <w:r>
        <w:rPr>
          <w:b/>
          <w:color w:val="auto"/>
          <w:sz w:val="24"/>
          <w:highlight w:val="none"/>
        </w:rPr>
        <w:t>二、商务要求</w:t>
      </w:r>
    </w:p>
    <w:p w14:paraId="0CB2881B">
      <w:pPr>
        <w:shd w:val="clear"/>
        <w:spacing w:line="360" w:lineRule="auto"/>
        <w:contextualSpacing/>
        <w:outlineLvl w:val="1"/>
        <w:rPr>
          <w:bCs/>
          <w:color w:val="auto"/>
          <w:sz w:val="24"/>
          <w:highlight w:val="none"/>
        </w:rPr>
      </w:pPr>
      <w:r>
        <w:rPr>
          <w:bCs/>
          <w:color w:val="auto"/>
          <w:sz w:val="24"/>
          <w:highlight w:val="none"/>
        </w:rPr>
        <w:t>1. 交付（实施）的时间（期限）和地点（范围）</w:t>
      </w:r>
    </w:p>
    <w:p w14:paraId="7177AF5C">
      <w:pPr>
        <w:shd w:val="clear"/>
        <w:spacing w:after="0" w:line="360" w:lineRule="auto"/>
        <w:ind w:firstLine="482"/>
        <w:contextualSpacing/>
        <w:outlineLvl w:val="2"/>
        <w:rPr>
          <w:bCs/>
          <w:color w:val="auto"/>
          <w:sz w:val="24"/>
          <w:highlight w:val="none"/>
        </w:rPr>
      </w:pPr>
      <w:r>
        <w:rPr>
          <w:bCs/>
          <w:color w:val="auto"/>
          <w:sz w:val="24"/>
          <w:highlight w:val="none"/>
        </w:rPr>
        <w:t>服务期限：本项目应在</w:t>
      </w:r>
      <w:r>
        <w:rPr>
          <w:rFonts w:hint="eastAsia"/>
          <w:bCs/>
          <w:color w:val="auto"/>
          <w:sz w:val="24"/>
          <w:highlight w:val="none"/>
        </w:rPr>
        <w:t>合同签订后</w:t>
      </w:r>
      <w:r>
        <w:rPr>
          <w:bCs/>
          <w:color w:val="auto"/>
          <w:sz w:val="24"/>
          <w:highlight w:val="none"/>
        </w:rPr>
        <w:t>6个月内完成项目所有建设任务，并组织开展初验</w:t>
      </w:r>
      <w:r>
        <w:rPr>
          <w:rFonts w:hint="eastAsia"/>
          <w:bCs/>
          <w:color w:val="auto"/>
          <w:sz w:val="24"/>
          <w:highlight w:val="none"/>
        </w:rPr>
        <w:t>，</w:t>
      </w:r>
      <w:r>
        <w:rPr>
          <w:bCs/>
          <w:color w:val="auto"/>
          <w:sz w:val="24"/>
          <w:highlight w:val="none"/>
        </w:rPr>
        <w:t>初验合格</w:t>
      </w:r>
      <w:r>
        <w:rPr>
          <w:rFonts w:hint="eastAsia"/>
          <w:bCs/>
          <w:color w:val="auto"/>
          <w:sz w:val="24"/>
          <w:highlight w:val="none"/>
          <w:lang w:eastAsia="zh-CN"/>
        </w:rPr>
        <w:t>系统连续</w:t>
      </w:r>
      <w:r>
        <w:rPr>
          <w:bCs/>
          <w:color w:val="auto"/>
          <w:sz w:val="24"/>
          <w:highlight w:val="none"/>
        </w:rPr>
        <w:t>稳定</w:t>
      </w:r>
      <w:r>
        <w:rPr>
          <w:rFonts w:hint="eastAsia"/>
          <w:bCs/>
          <w:color w:val="auto"/>
          <w:sz w:val="24"/>
          <w:highlight w:val="none"/>
          <w:lang w:eastAsia="zh-CN"/>
        </w:rPr>
        <w:t>试</w:t>
      </w:r>
      <w:r>
        <w:rPr>
          <w:bCs/>
          <w:color w:val="auto"/>
          <w:sz w:val="24"/>
          <w:highlight w:val="none"/>
        </w:rPr>
        <w:t>运行3个月后，组织进行终验。</w:t>
      </w:r>
    </w:p>
    <w:p w14:paraId="484E77B8">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6A1C1821">
      <w:pPr>
        <w:shd w:val="clear"/>
        <w:spacing w:line="360" w:lineRule="auto"/>
        <w:contextualSpacing/>
        <w:outlineLvl w:val="1"/>
        <w:rPr>
          <w:bCs/>
          <w:color w:val="auto"/>
          <w:sz w:val="24"/>
          <w:highlight w:val="none"/>
        </w:rPr>
      </w:pPr>
      <w:r>
        <w:rPr>
          <w:bCs/>
          <w:color w:val="auto"/>
          <w:sz w:val="24"/>
          <w:highlight w:val="none"/>
        </w:rPr>
        <w:t>2. 付款条件（进度和方式）</w:t>
      </w:r>
    </w:p>
    <w:p w14:paraId="529C5A42">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发票及合同款总额10%的履约保函后，于10个工作日内一次性支付成交供应商合同款总额。</w:t>
      </w:r>
    </w:p>
    <w:p w14:paraId="0EFA179F">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6085D564">
      <w:pPr>
        <w:shd w:val="clear"/>
        <w:spacing w:line="360" w:lineRule="auto"/>
        <w:contextualSpacing/>
        <w:outlineLvl w:val="1"/>
        <w:rPr>
          <w:bCs/>
          <w:color w:val="auto"/>
          <w:sz w:val="24"/>
          <w:highlight w:val="none"/>
        </w:rPr>
      </w:pPr>
      <w:r>
        <w:rPr>
          <w:bCs/>
          <w:color w:val="auto"/>
          <w:sz w:val="24"/>
          <w:highlight w:val="none"/>
        </w:rPr>
        <w:t>3. 售后服务（质保期）</w:t>
      </w:r>
    </w:p>
    <w:p w14:paraId="39122C22">
      <w:pPr>
        <w:shd w:val="clear"/>
        <w:spacing w:after="0" w:line="360" w:lineRule="auto"/>
        <w:ind w:firstLine="482"/>
        <w:contextualSpacing/>
        <w:outlineLvl w:val="2"/>
        <w:rPr>
          <w:bCs/>
          <w:color w:val="auto"/>
          <w:sz w:val="24"/>
          <w:highlight w:val="none"/>
        </w:rPr>
      </w:pPr>
      <w:r>
        <w:rPr>
          <w:bCs/>
          <w:color w:val="auto"/>
          <w:sz w:val="24"/>
          <w:highlight w:val="none"/>
        </w:rPr>
        <w:t>所有软件提供</w:t>
      </w:r>
      <w:r>
        <w:rPr>
          <w:rFonts w:hint="eastAsia"/>
          <w:bCs/>
          <w:color w:val="auto"/>
          <w:sz w:val="24"/>
          <w:highlight w:val="none"/>
          <w:lang w:val="en-US" w:eastAsia="zh-CN"/>
        </w:rPr>
        <w:t>2</w:t>
      </w:r>
      <w:r>
        <w:rPr>
          <w:bCs/>
          <w:color w:val="auto"/>
          <w:sz w:val="24"/>
          <w:highlight w:val="none"/>
        </w:rPr>
        <w:t>年维护服务。</w:t>
      </w:r>
    </w:p>
    <w:p w14:paraId="175DD326">
      <w:pPr>
        <w:shd w:val="clear"/>
        <w:spacing w:after="0" w:line="360" w:lineRule="auto"/>
        <w:ind w:firstLine="482"/>
        <w:contextualSpacing/>
        <w:outlineLvl w:val="2"/>
        <w:rPr>
          <w:bCs/>
          <w:color w:val="auto"/>
          <w:sz w:val="24"/>
          <w:highlight w:val="none"/>
        </w:rPr>
      </w:pPr>
      <w:r>
        <w:rPr>
          <w:rFonts w:hint="eastAsia"/>
          <w:bCs/>
          <w:color w:val="auto"/>
          <w:sz w:val="24"/>
          <w:highlight w:val="none"/>
          <w:lang w:eastAsia="zh-CN"/>
        </w:rPr>
        <w:t>质保</w:t>
      </w:r>
      <w:r>
        <w:rPr>
          <w:bCs/>
          <w:color w:val="auto"/>
          <w:sz w:val="24"/>
          <w:highlight w:val="none"/>
        </w:rPr>
        <w:t>期内，远程无法解决的问题需要上门服务进行解决，由此产生的费用均不再收取。</w:t>
      </w:r>
    </w:p>
    <w:p w14:paraId="40F32F78">
      <w:pPr>
        <w:shd w:val="clear"/>
        <w:spacing w:line="360" w:lineRule="auto"/>
        <w:contextualSpacing/>
        <w:outlineLvl w:val="1"/>
        <w:rPr>
          <w:bCs/>
          <w:color w:val="auto"/>
          <w:sz w:val="24"/>
          <w:highlight w:val="none"/>
        </w:rPr>
      </w:pPr>
      <w:r>
        <w:rPr>
          <w:bCs/>
          <w:color w:val="auto"/>
          <w:sz w:val="24"/>
          <w:highlight w:val="none"/>
        </w:rPr>
        <w:t>4. 保险</w:t>
      </w:r>
    </w:p>
    <w:p w14:paraId="5E495B8F">
      <w:pPr>
        <w:shd w:val="clear"/>
        <w:spacing w:after="0" w:line="360" w:lineRule="auto"/>
        <w:ind w:firstLine="482"/>
        <w:contextualSpacing/>
        <w:outlineLvl w:val="2"/>
        <w:rPr>
          <w:bCs/>
          <w:color w:val="auto"/>
          <w:sz w:val="24"/>
          <w:highlight w:val="none"/>
        </w:rPr>
      </w:pPr>
      <w:r>
        <w:rPr>
          <w:bCs/>
          <w:color w:val="auto"/>
          <w:sz w:val="24"/>
          <w:highlight w:val="none"/>
        </w:rPr>
        <w:t>本项目所涉及的运输、</w:t>
      </w:r>
      <w:r>
        <w:rPr>
          <w:rFonts w:hint="eastAsia"/>
          <w:bCs/>
          <w:color w:val="auto"/>
          <w:sz w:val="24"/>
          <w:highlight w:val="none"/>
          <w:lang w:eastAsia="zh-CN"/>
        </w:rPr>
        <w:t>实施</w:t>
      </w:r>
      <w:r>
        <w:rPr>
          <w:bCs/>
          <w:color w:val="auto"/>
          <w:sz w:val="24"/>
          <w:highlight w:val="none"/>
        </w:rPr>
        <w:t>、安装、集成、测评、测试、调试、验收、培训、备品和工具、保险、售后服务、税款、质检、行政许可及相关证书等费用均包含在报价中。</w:t>
      </w:r>
    </w:p>
    <w:p w14:paraId="1031D34C">
      <w:pPr>
        <w:shd w:val="clear"/>
        <w:spacing w:line="360" w:lineRule="auto"/>
        <w:contextualSpacing/>
        <w:outlineLvl w:val="0"/>
        <w:rPr>
          <w:b/>
          <w:color w:val="auto"/>
          <w:sz w:val="24"/>
          <w:highlight w:val="none"/>
        </w:rPr>
      </w:pPr>
      <w:r>
        <w:rPr>
          <w:b/>
          <w:color w:val="auto"/>
          <w:sz w:val="24"/>
          <w:highlight w:val="none"/>
        </w:rPr>
        <w:t>三、技术要求</w:t>
      </w:r>
    </w:p>
    <w:p w14:paraId="1A42843B">
      <w:pPr>
        <w:shd w:val="clear"/>
        <w:spacing w:line="360" w:lineRule="auto"/>
        <w:contextualSpacing/>
        <w:outlineLvl w:val="1"/>
        <w:rPr>
          <w:bCs/>
          <w:color w:val="auto"/>
          <w:sz w:val="24"/>
          <w:highlight w:val="none"/>
        </w:rPr>
      </w:pPr>
      <w:r>
        <w:rPr>
          <w:bCs/>
          <w:color w:val="auto"/>
          <w:sz w:val="24"/>
          <w:highlight w:val="none"/>
        </w:rPr>
        <w:t>1. 基本要求</w:t>
      </w:r>
    </w:p>
    <w:p w14:paraId="0BF38270">
      <w:pPr>
        <w:shd w:val="clear"/>
        <w:spacing w:after="0" w:line="360" w:lineRule="auto"/>
        <w:ind w:firstLine="482"/>
        <w:contextualSpacing/>
        <w:outlineLvl w:val="2"/>
        <w:rPr>
          <w:bCs/>
          <w:color w:val="auto"/>
          <w:sz w:val="24"/>
          <w:highlight w:val="none"/>
        </w:rPr>
      </w:pPr>
      <w:r>
        <w:rPr>
          <w:bCs/>
          <w:color w:val="auto"/>
          <w:sz w:val="24"/>
          <w:highlight w:val="none"/>
        </w:rPr>
        <w:t>1.1 采购标的需实现的功能或者目标</w:t>
      </w:r>
    </w:p>
    <w:p w14:paraId="22230ED0">
      <w:pPr>
        <w:shd w:val="clear"/>
        <w:spacing w:after="0" w:line="360" w:lineRule="auto"/>
        <w:ind w:firstLine="482"/>
        <w:contextualSpacing/>
        <w:outlineLvl w:val="2"/>
        <w:rPr>
          <w:bCs/>
          <w:color w:val="auto"/>
          <w:sz w:val="24"/>
          <w:highlight w:val="none"/>
        </w:rPr>
      </w:pPr>
      <w:r>
        <w:rPr>
          <w:bCs/>
          <w:color w:val="auto"/>
          <w:sz w:val="24"/>
          <w:highlight w:val="none"/>
        </w:rPr>
        <w:t>本项目为积分落户系统的能力提升，涉及应用软件开发，内容如下。</w:t>
      </w:r>
    </w:p>
    <w:tbl>
      <w:tblPr>
        <w:tblStyle w:val="44"/>
        <w:tblW w:w="8424" w:type="dxa"/>
        <w:tblInd w:w="98" w:type="dxa"/>
        <w:tblLayout w:type="fixed"/>
        <w:tblCellMar>
          <w:top w:w="0" w:type="dxa"/>
          <w:left w:w="108" w:type="dxa"/>
          <w:bottom w:w="0" w:type="dxa"/>
          <w:right w:w="108" w:type="dxa"/>
        </w:tblCellMar>
      </w:tblPr>
      <w:tblGrid>
        <w:gridCol w:w="1246"/>
        <w:gridCol w:w="2115"/>
        <w:gridCol w:w="5063"/>
      </w:tblGrid>
      <w:tr w14:paraId="77C3FD90">
        <w:tblPrEx>
          <w:tblCellMar>
            <w:top w:w="0" w:type="dxa"/>
            <w:left w:w="108" w:type="dxa"/>
            <w:bottom w:w="0" w:type="dxa"/>
            <w:right w:w="108" w:type="dxa"/>
          </w:tblCellMar>
        </w:tblPrEx>
        <w:trPr>
          <w:trHeight w:val="300" w:hRule="atLeast"/>
        </w:trPr>
        <w:tc>
          <w:tcPr>
            <w:tcW w:w="1246" w:type="dxa"/>
            <w:tcBorders>
              <w:top w:val="single" w:color="000000" w:sz="8" w:space="0"/>
              <w:left w:val="single" w:color="000000" w:sz="8" w:space="0"/>
              <w:bottom w:val="single" w:color="000000" w:sz="4" w:space="0"/>
              <w:right w:val="single" w:color="000000" w:sz="4" w:space="0"/>
            </w:tcBorders>
            <w:noWrap/>
            <w:vAlign w:val="center"/>
          </w:tcPr>
          <w:p w14:paraId="79D8125D">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大类</w:t>
            </w:r>
          </w:p>
        </w:tc>
        <w:tc>
          <w:tcPr>
            <w:tcW w:w="2115" w:type="dxa"/>
            <w:tcBorders>
              <w:top w:val="single" w:color="000000" w:sz="8" w:space="0"/>
              <w:left w:val="single" w:color="000000" w:sz="4" w:space="0"/>
              <w:bottom w:val="single" w:color="000000" w:sz="4" w:space="0"/>
              <w:right w:val="single" w:color="000000" w:sz="4" w:space="0"/>
            </w:tcBorders>
            <w:noWrap/>
            <w:vAlign w:val="center"/>
          </w:tcPr>
          <w:p w14:paraId="0C9673A4">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小类</w:t>
            </w:r>
          </w:p>
        </w:tc>
        <w:tc>
          <w:tcPr>
            <w:tcW w:w="5063" w:type="dxa"/>
            <w:tcBorders>
              <w:top w:val="single" w:color="000000" w:sz="8" w:space="0"/>
              <w:left w:val="single" w:color="000000" w:sz="4" w:space="0"/>
              <w:bottom w:val="single" w:color="000000" w:sz="4" w:space="0"/>
              <w:right w:val="single" w:color="000000" w:sz="4" w:space="0"/>
            </w:tcBorders>
            <w:noWrap/>
            <w:vAlign w:val="center"/>
          </w:tcPr>
          <w:p w14:paraId="0257F66B">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建设内容</w:t>
            </w:r>
          </w:p>
        </w:tc>
      </w:tr>
      <w:tr w14:paraId="1748C553">
        <w:tblPrEx>
          <w:tblCellMar>
            <w:top w:w="0" w:type="dxa"/>
            <w:left w:w="108" w:type="dxa"/>
            <w:bottom w:w="0" w:type="dxa"/>
            <w:right w:w="108" w:type="dxa"/>
          </w:tblCellMar>
        </w:tblPrEx>
        <w:trPr>
          <w:trHeight w:val="300" w:hRule="atLeast"/>
        </w:trPr>
        <w:tc>
          <w:tcPr>
            <w:tcW w:w="1246" w:type="dxa"/>
            <w:tcBorders>
              <w:top w:val="single" w:color="000000" w:sz="4" w:space="0"/>
              <w:left w:val="single" w:color="000000" w:sz="8" w:space="0"/>
              <w:bottom w:val="single" w:color="000000" w:sz="4" w:space="0"/>
              <w:right w:val="single" w:color="000000" w:sz="4" w:space="0"/>
            </w:tcBorders>
            <w:noWrap/>
            <w:vAlign w:val="center"/>
          </w:tcPr>
          <w:p w14:paraId="27317BF4">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软件类</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5CF80FA0">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应用软件开发</w:t>
            </w:r>
          </w:p>
        </w:tc>
        <w:tc>
          <w:tcPr>
            <w:tcW w:w="5063" w:type="dxa"/>
            <w:tcBorders>
              <w:top w:val="single" w:color="000000" w:sz="4" w:space="0"/>
              <w:left w:val="single" w:color="000000" w:sz="4" w:space="0"/>
              <w:bottom w:val="single" w:color="000000" w:sz="4" w:space="0"/>
              <w:right w:val="single" w:color="000000" w:sz="4" w:space="0"/>
            </w:tcBorders>
            <w:noWrap/>
            <w:vAlign w:val="center"/>
          </w:tcPr>
          <w:p w14:paraId="287AA149">
            <w:pPr>
              <w:shd w:val="clear"/>
              <w:spacing w:after="0" w:line="24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积分申报子系统、积分落户子系统、积分公示子系统、申报审核子系统、落户审核子系统、业务比对子系统、微服务建设、落户链建设</w:t>
            </w:r>
          </w:p>
        </w:tc>
      </w:tr>
    </w:tbl>
    <w:p w14:paraId="20BFE953">
      <w:pPr>
        <w:shd w:val="clear"/>
        <w:spacing w:after="0" w:line="360" w:lineRule="auto"/>
        <w:ind w:firstLine="482"/>
        <w:contextualSpacing/>
        <w:outlineLvl w:val="2"/>
        <w:rPr>
          <w:bCs/>
          <w:color w:val="auto"/>
          <w:sz w:val="24"/>
          <w:highlight w:val="none"/>
        </w:rPr>
      </w:pPr>
      <w:r>
        <w:rPr>
          <w:bCs/>
          <w:color w:val="auto"/>
          <w:sz w:val="24"/>
          <w:highlight w:val="none"/>
        </w:rPr>
        <w:t>本项目通过适配能力提升，加强系统的安全防护能力，提高抵御外部攻击和防范内部泄露的能力，确保系统的稳定运行。同时还可以优化系统的业务流程，提高数据处理和传输的速度，提升系统的性能。北京市人力资源和社会保障局积分落户管理信息系统适配能力提升，推动政务服务的信息化建设，符合国家政策导向，为用户提供更加安全、便捷、高效的服务。</w:t>
      </w:r>
    </w:p>
    <w:p w14:paraId="15180FD4">
      <w:pPr>
        <w:shd w:val="clear"/>
        <w:spacing w:after="0" w:line="360" w:lineRule="auto"/>
        <w:ind w:firstLine="482"/>
        <w:contextualSpacing/>
        <w:outlineLvl w:val="2"/>
        <w:rPr>
          <w:bCs/>
          <w:color w:val="auto"/>
          <w:sz w:val="24"/>
          <w:highlight w:val="none"/>
        </w:rPr>
      </w:pPr>
      <w:r>
        <w:rPr>
          <w:bCs/>
          <w:color w:val="auto"/>
          <w:sz w:val="24"/>
          <w:highlight w:val="none"/>
        </w:rPr>
        <w:t>北京市积分落户管理系统依托北京联通政务云平台，突出通过互联网为社会公众服务的特色，围绕积分落户办理全过程，向单位及个人提供“外网申报、内网审核、外网反馈”的服务模式，向市区两级</w:t>
      </w:r>
      <w:r>
        <w:rPr>
          <w:rFonts w:hint="eastAsia"/>
          <w:bCs/>
          <w:color w:val="auto"/>
          <w:sz w:val="24"/>
          <w:highlight w:val="none"/>
          <w:lang w:eastAsia="zh-CN"/>
        </w:rPr>
        <w:t>人力资源和社会保障局</w:t>
      </w:r>
      <w:r>
        <w:rPr>
          <w:bCs/>
          <w:color w:val="auto"/>
          <w:sz w:val="24"/>
          <w:highlight w:val="none"/>
        </w:rPr>
        <w:t>及各市级相关委办局提供自动比对、业务办理功能，为北京地区的人口调控工作提供有效的系统及数据支撑。原系统</w:t>
      </w:r>
      <w:r>
        <w:rPr>
          <w:rFonts w:hint="eastAsia"/>
          <w:bCs/>
          <w:color w:val="auto"/>
          <w:sz w:val="24"/>
          <w:highlight w:val="none"/>
        </w:rPr>
        <w:t>运行在</w:t>
      </w:r>
      <w:r>
        <w:rPr>
          <w:bCs/>
          <w:color w:val="auto"/>
          <w:sz w:val="24"/>
          <w:highlight w:val="none"/>
        </w:rPr>
        <w:t>x86 环境</w:t>
      </w:r>
      <w:r>
        <w:rPr>
          <w:rFonts w:hint="eastAsia"/>
          <w:bCs/>
          <w:color w:val="auto"/>
          <w:sz w:val="24"/>
          <w:highlight w:val="none"/>
        </w:rPr>
        <w:t>、ORACLE数据库下。</w:t>
      </w:r>
    </w:p>
    <w:p w14:paraId="083B9573">
      <w:pPr>
        <w:shd w:val="clear"/>
        <w:spacing w:after="0" w:line="360" w:lineRule="auto"/>
        <w:ind w:firstLine="482"/>
        <w:contextualSpacing/>
        <w:outlineLvl w:val="2"/>
        <w:rPr>
          <w:bCs/>
          <w:color w:val="auto"/>
          <w:sz w:val="24"/>
          <w:highlight w:val="none"/>
        </w:rPr>
      </w:pPr>
      <w:r>
        <w:rPr>
          <w:rFonts w:hint="eastAsia"/>
          <w:bCs/>
          <w:color w:val="auto"/>
          <w:sz w:val="24"/>
          <w:highlight w:val="none"/>
        </w:rPr>
        <w:t>本项目将更换为OceanBase数据库，操作系统、数据库系统、中间件等进行升级改造。</w:t>
      </w:r>
      <w:r>
        <w:rPr>
          <w:bCs/>
          <w:color w:val="auto"/>
          <w:sz w:val="24"/>
          <w:highlight w:val="none"/>
        </w:rPr>
        <w:t>系统将</w:t>
      </w:r>
      <w:r>
        <w:rPr>
          <w:rFonts w:hint="eastAsia"/>
          <w:bCs/>
          <w:color w:val="auto"/>
          <w:sz w:val="24"/>
          <w:highlight w:val="none"/>
        </w:rPr>
        <w:t>在</w:t>
      </w:r>
      <w:r>
        <w:rPr>
          <w:rFonts w:hint="eastAsia"/>
          <w:bCs/>
          <w:color w:val="auto"/>
          <w:sz w:val="24"/>
          <w:highlight w:val="none"/>
          <w:lang w:eastAsia="zh-CN"/>
        </w:rPr>
        <w:t>安全</w:t>
      </w:r>
      <w:r>
        <w:rPr>
          <w:rFonts w:hint="eastAsia"/>
          <w:bCs/>
          <w:color w:val="auto"/>
          <w:sz w:val="24"/>
          <w:highlight w:val="none"/>
        </w:rPr>
        <w:t>环境中</w:t>
      </w:r>
      <w:r>
        <w:rPr>
          <w:bCs/>
          <w:color w:val="auto"/>
          <w:sz w:val="24"/>
          <w:highlight w:val="none"/>
        </w:rPr>
        <w:t>建设完成互联网积分申报、积分落户、积分公示三个子系统，政务外网申报审核、落户审核、数据比对三个子系统，实现个人和单位用户与政府部门通过互联网和政务外网完成申报、审核、复查、比对、公示业务流程。</w:t>
      </w:r>
    </w:p>
    <w:p w14:paraId="49DA3F75">
      <w:pPr>
        <w:shd w:val="clear"/>
        <w:spacing w:after="0" w:line="360" w:lineRule="auto"/>
        <w:ind w:firstLine="482"/>
        <w:contextualSpacing/>
        <w:outlineLvl w:val="2"/>
        <w:rPr>
          <w:bCs/>
          <w:color w:val="auto"/>
          <w:sz w:val="24"/>
          <w:highlight w:val="none"/>
        </w:rPr>
      </w:pPr>
      <w:r>
        <w:rPr>
          <w:bCs/>
          <w:color w:val="auto"/>
          <w:sz w:val="24"/>
          <w:highlight w:val="none"/>
        </w:rPr>
        <w:t>另外，系统将进行微服务及落户链建设。即在原系统业务功能基础上，针对部分共性服务、调用频繁的服务，抽取出积分计算、资格确认、数据比对、结果查询、数据安全、落户函件及落户数据上链微服务，以更灵活、更容易扩展的方式对业务系统提供功能支持。</w:t>
      </w:r>
    </w:p>
    <w:p w14:paraId="48357B70">
      <w:pPr>
        <w:shd w:val="clear"/>
        <w:spacing w:after="0" w:line="360" w:lineRule="auto"/>
        <w:ind w:firstLine="482"/>
        <w:contextualSpacing/>
        <w:outlineLvl w:val="2"/>
        <w:rPr>
          <w:bCs/>
          <w:color w:val="auto"/>
          <w:sz w:val="24"/>
          <w:highlight w:val="none"/>
        </w:rPr>
      </w:pPr>
      <w:r>
        <w:rPr>
          <w:bCs/>
          <w:color w:val="auto"/>
          <w:sz w:val="24"/>
          <w:highlight w:val="none"/>
        </w:rPr>
        <w:t>1.2 需执行的国家相关标准、行业标准、地方标准或者其他标准、规范</w:t>
      </w:r>
    </w:p>
    <w:p w14:paraId="16055245">
      <w:pPr>
        <w:shd w:val="clear"/>
        <w:spacing w:after="0" w:line="360" w:lineRule="auto"/>
        <w:ind w:firstLine="482"/>
        <w:contextualSpacing/>
        <w:outlineLvl w:val="2"/>
        <w:rPr>
          <w:bCs/>
          <w:color w:val="auto"/>
          <w:sz w:val="24"/>
          <w:highlight w:val="none"/>
        </w:rPr>
      </w:pPr>
      <w:r>
        <w:rPr>
          <w:bCs/>
          <w:color w:val="auto"/>
          <w:sz w:val="24"/>
          <w:highlight w:val="none"/>
        </w:rPr>
        <w:t>《计算机软件需求说明编制指南》（GB/T 9385-2008）</w:t>
      </w:r>
    </w:p>
    <w:p w14:paraId="7AD8FF6A">
      <w:pPr>
        <w:shd w:val="clear"/>
        <w:spacing w:after="0" w:line="360" w:lineRule="auto"/>
        <w:ind w:firstLine="482"/>
        <w:contextualSpacing/>
        <w:outlineLvl w:val="2"/>
        <w:rPr>
          <w:bCs/>
          <w:color w:val="auto"/>
          <w:sz w:val="24"/>
          <w:highlight w:val="none"/>
        </w:rPr>
      </w:pPr>
      <w:r>
        <w:rPr>
          <w:bCs/>
          <w:color w:val="auto"/>
          <w:sz w:val="24"/>
          <w:highlight w:val="none"/>
        </w:rPr>
        <w:t>《计算机软件文档编制规范》（GB/T 8567-2006）</w:t>
      </w:r>
    </w:p>
    <w:p w14:paraId="631A2AB0">
      <w:pPr>
        <w:shd w:val="clear"/>
        <w:spacing w:after="0" w:line="360" w:lineRule="auto"/>
        <w:ind w:firstLine="482"/>
        <w:contextualSpacing/>
        <w:outlineLvl w:val="2"/>
        <w:rPr>
          <w:bCs/>
          <w:color w:val="auto"/>
          <w:sz w:val="24"/>
          <w:highlight w:val="none"/>
        </w:rPr>
      </w:pPr>
      <w:r>
        <w:rPr>
          <w:bCs/>
          <w:color w:val="auto"/>
          <w:sz w:val="24"/>
          <w:highlight w:val="none"/>
        </w:rPr>
        <w:t>《中华人民共和国计算机信息系统安全保护条例》（国务院令第147号）</w:t>
      </w:r>
    </w:p>
    <w:p w14:paraId="47EF2B27">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《信息技术开放系统互联基本参考模型》（GB/T 9387）</w:t>
      </w:r>
    </w:p>
    <w:p w14:paraId="468D9810">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《信息技术开放系统互联开放系统安全框架》（GB/T 18794）</w:t>
      </w:r>
    </w:p>
    <w:p w14:paraId="575D844E">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《信息技术开放系统互联通用高层安全》（GB/T 18237）</w:t>
      </w:r>
    </w:p>
    <w:p w14:paraId="392D2629">
      <w:pPr>
        <w:shd w:val="clear"/>
        <w:spacing w:after="0" w:line="360" w:lineRule="auto"/>
        <w:ind w:firstLine="482"/>
        <w:contextualSpacing/>
        <w:outlineLvl w:val="2"/>
        <w:rPr>
          <w:bCs/>
          <w:color w:val="auto"/>
          <w:sz w:val="24"/>
          <w:highlight w:val="none"/>
        </w:rPr>
      </w:pPr>
      <w:r>
        <w:rPr>
          <w:bCs/>
          <w:color w:val="auto"/>
          <w:sz w:val="24"/>
          <w:highlight w:val="none"/>
        </w:rPr>
        <w:t>《信息安全技术信息系统通用安全技术要求》（GB/T20271-2006）</w:t>
      </w:r>
    </w:p>
    <w:p w14:paraId="1D7DC13F">
      <w:pPr>
        <w:shd w:val="clear"/>
        <w:spacing w:after="0" w:line="360" w:lineRule="auto"/>
        <w:ind w:firstLine="482"/>
        <w:contextualSpacing/>
        <w:outlineLvl w:val="2"/>
        <w:rPr>
          <w:bCs/>
          <w:color w:val="auto"/>
          <w:sz w:val="24"/>
          <w:highlight w:val="none"/>
        </w:rPr>
      </w:pPr>
      <w:r>
        <w:rPr>
          <w:bCs/>
          <w:color w:val="auto"/>
          <w:sz w:val="24"/>
          <w:highlight w:val="none"/>
        </w:rPr>
        <w:t>《信息安全技术网络基础安全技术要求》（GB/T20270-2006）</w:t>
      </w:r>
    </w:p>
    <w:p w14:paraId="78FD2C30">
      <w:pPr>
        <w:shd w:val="clear"/>
        <w:spacing w:after="0" w:line="360" w:lineRule="auto"/>
        <w:ind w:firstLine="482"/>
        <w:contextualSpacing/>
        <w:outlineLvl w:val="2"/>
        <w:rPr>
          <w:bCs/>
          <w:color w:val="auto"/>
          <w:sz w:val="24"/>
          <w:highlight w:val="none"/>
        </w:rPr>
      </w:pPr>
      <w:r>
        <w:rPr>
          <w:bCs/>
          <w:color w:val="auto"/>
          <w:sz w:val="24"/>
          <w:highlight w:val="none"/>
        </w:rPr>
        <w:t>《信息安全技术操作系统安全技术要求》（GB/T20272-2006）</w:t>
      </w:r>
    </w:p>
    <w:p w14:paraId="2B6EED69">
      <w:pPr>
        <w:shd w:val="clear"/>
        <w:spacing w:after="0" w:line="360" w:lineRule="auto"/>
        <w:ind w:firstLine="482"/>
        <w:contextualSpacing/>
        <w:outlineLvl w:val="2"/>
        <w:rPr>
          <w:bCs/>
          <w:color w:val="auto"/>
          <w:sz w:val="24"/>
          <w:highlight w:val="none"/>
        </w:rPr>
      </w:pPr>
      <w:r>
        <w:rPr>
          <w:bCs/>
          <w:color w:val="auto"/>
          <w:sz w:val="24"/>
          <w:highlight w:val="none"/>
        </w:rPr>
        <w:t>《信息安全技术数据库管理系统安全技术要求》（GB/T20273-2006）</w:t>
      </w:r>
    </w:p>
    <w:p w14:paraId="17EF62CC">
      <w:pPr>
        <w:shd w:val="clear"/>
        <w:spacing w:after="0" w:line="360" w:lineRule="auto"/>
        <w:ind w:firstLine="482"/>
        <w:contextualSpacing/>
        <w:outlineLvl w:val="2"/>
        <w:rPr>
          <w:bCs/>
          <w:color w:val="auto"/>
          <w:sz w:val="24"/>
          <w:highlight w:val="none"/>
        </w:rPr>
      </w:pPr>
      <w:r>
        <w:rPr>
          <w:bCs/>
          <w:color w:val="auto"/>
          <w:sz w:val="24"/>
          <w:highlight w:val="none"/>
        </w:rPr>
        <w:t>《信息安全技术信息系统安全工程管理要求》（GB/T20282-2006）</w:t>
      </w:r>
    </w:p>
    <w:p w14:paraId="0B28425A">
      <w:pPr>
        <w:shd w:val="clear"/>
        <w:spacing w:after="0" w:line="360" w:lineRule="auto"/>
        <w:ind w:firstLine="482"/>
        <w:contextualSpacing/>
        <w:outlineLvl w:val="2"/>
        <w:rPr>
          <w:bCs/>
          <w:color w:val="auto"/>
          <w:sz w:val="24"/>
          <w:highlight w:val="none"/>
        </w:rPr>
      </w:pPr>
      <w:r>
        <w:rPr>
          <w:bCs/>
          <w:color w:val="auto"/>
          <w:sz w:val="24"/>
          <w:highlight w:val="none"/>
        </w:rPr>
        <w:t>《信息安全技术服务器安全技术要求》（GB/T21082-2007）</w:t>
      </w:r>
    </w:p>
    <w:p w14:paraId="4D2DC612">
      <w:pPr>
        <w:shd w:val="clear"/>
        <w:spacing w:after="0" w:line="360" w:lineRule="auto"/>
        <w:ind w:firstLine="482"/>
        <w:contextualSpacing/>
        <w:outlineLvl w:val="2"/>
        <w:rPr>
          <w:bCs/>
          <w:color w:val="auto"/>
          <w:sz w:val="24"/>
          <w:highlight w:val="none"/>
        </w:rPr>
      </w:pPr>
      <w:r>
        <w:rPr>
          <w:bCs/>
          <w:color w:val="auto"/>
          <w:sz w:val="24"/>
          <w:highlight w:val="none"/>
        </w:rPr>
        <w:t>《计算机软件可靠性和可维护性管理》（GB/T 14394-93）</w:t>
      </w:r>
    </w:p>
    <w:p w14:paraId="12A22924">
      <w:pPr>
        <w:shd w:val="clear"/>
        <w:spacing w:after="0" w:line="360" w:lineRule="auto"/>
        <w:ind w:firstLine="482"/>
        <w:contextualSpacing/>
        <w:outlineLvl w:val="2"/>
        <w:rPr>
          <w:bCs/>
          <w:color w:val="auto"/>
          <w:sz w:val="24"/>
          <w:highlight w:val="none"/>
        </w:rPr>
      </w:pPr>
      <w:r>
        <w:rPr>
          <w:bCs/>
          <w:color w:val="auto"/>
          <w:sz w:val="24"/>
          <w:highlight w:val="none"/>
        </w:rPr>
        <w:t>《电子政务总体技术框架》（DB11/Z 610-2008）</w:t>
      </w:r>
    </w:p>
    <w:p w14:paraId="381AC904">
      <w:pPr>
        <w:shd w:val="clear"/>
        <w:spacing w:after="0" w:line="360" w:lineRule="auto"/>
        <w:ind w:firstLine="482"/>
        <w:contextualSpacing/>
        <w:outlineLvl w:val="2"/>
        <w:rPr>
          <w:bCs/>
          <w:color w:val="auto"/>
          <w:sz w:val="24"/>
          <w:highlight w:val="none"/>
        </w:rPr>
      </w:pPr>
      <w:r>
        <w:rPr>
          <w:bCs/>
          <w:color w:val="auto"/>
          <w:sz w:val="24"/>
          <w:highlight w:val="none"/>
        </w:rPr>
        <w:t>《政务信息资源目录体系》（DB11/T 337-2006）</w:t>
      </w:r>
    </w:p>
    <w:p w14:paraId="47141EE9">
      <w:pPr>
        <w:shd w:val="clear"/>
        <w:spacing w:after="0" w:line="360" w:lineRule="auto"/>
        <w:ind w:firstLine="482"/>
        <w:contextualSpacing/>
        <w:outlineLvl w:val="2"/>
        <w:rPr>
          <w:bCs/>
          <w:color w:val="auto"/>
          <w:sz w:val="24"/>
          <w:highlight w:val="none"/>
        </w:rPr>
      </w:pPr>
      <w:r>
        <w:rPr>
          <w:bCs/>
          <w:color w:val="auto"/>
          <w:sz w:val="24"/>
          <w:highlight w:val="none"/>
        </w:rPr>
        <w:t>《政府信息系统软件通用质量要求》（DB11/T 338-2006）</w:t>
      </w:r>
    </w:p>
    <w:p w14:paraId="7E317BE8">
      <w:pPr>
        <w:shd w:val="clear"/>
        <w:spacing w:after="0" w:line="360" w:lineRule="auto"/>
        <w:ind w:firstLine="482"/>
        <w:contextualSpacing/>
        <w:outlineLvl w:val="2"/>
        <w:rPr>
          <w:bCs/>
          <w:color w:val="auto"/>
          <w:sz w:val="24"/>
          <w:highlight w:val="none"/>
        </w:rPr>
      </w:pPr>
      <w:r>
        <w:rPr>
          <w:bCs/>
          <w:color w:val="auto"/>
          <w:sz w:val="24"/>
          <w:highlight w:val="none"/>
        </w:rPr>
        <w:t>《面向公众服务的政务信息资源分级分类技术性指导文件》（DB11/Z 359）</w:t>
      </w:r>
    </w:p>
    <w:p w14:paraId="58B15D1D">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第2部分：政务信息资源目录管理》（DB11/T 553.2-2008）</w:t>
      </w:r>
    </w:p>
    <w:p w14:paraId="0623936A">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第3部分：政务信息资源交换管理》（DB11/T 553.3-2008）</w:t>
      </w:r>
    </w:p>
    <w:p w14:paraId="4B9CC4A9">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第5部分：接口规范》（DB11/T 553.5-2008）</w:t>
      </w:r>
    </w:p>
    <w:p w14:paraId="137D7253">
      <w:pPr>
        <w:shd w:val="clear"/>
        <w:spacing w:after="0" w:line="360" w:lineRule="auto"/>
        <w:ind w:firstLine="482"/>
        <w:contextualSpacing/>
        <w:outlineLvl w:val="2"/>
        <w:rPr>
          <w:bCs/>
          <w:color w:val="auto"/>
          <w:sz w:val="24"/>
          <w:highlight w:val="none"/>
        </w:rPr>
      </w:pPr>
      <w:r>
        <w:rPr>
          <w:bCs/>
          <w:color w:val="auto"/>
          <w:sz w:val="24"/>
          <w:highlight w:val="none"/>
        </w:rPr>
        <w:t>《区块链参考架构》</w:t>
      </w:r>
      <w:r>
        <w:rPr>
          <w:rFonts w:hint="eastAsia"/>
          <w:bCs/>
          <w:color w:val="auto"/>
          <w:sz w:val="24"/>
          <w:highlight w:val="none"/>
        </w:rPr>
        <w:t>（</w:t>
      </w:r>
      <w:r>
        <w:rPr>
          <w:bCs/>
          <w:color w:val="auto"/>
          <w:sz w:val="24"/>
          <w:highlight w:val="none"/>
        </w:rPr>
        <w:t>CBD-Forum-001-2017</w:t>
      </w:r>
      <w:r>
        <w:rPr>
          <w:rFonts w:hint="eastAsia"/>
          <w:bCs/>
          <w:color w:val="auto"/>
          <w:sz w:val="24"/>
          <w:highlight w:val="none"/>
        </w:rPr>
        <w:t>）</w:t>
      </w:r>
    </w:p>
    <w:p w14:paraId="5C0F9F64">
      <w:pPr>
        <w:shd w:val="clear"/>
        <w:spacing w:after="0" w:line="360" w:lineRule="auto"/>
        <w:ind w:firstLine="482"/>
        <w:contextualSpacing/>
        <w:outlineLvl w:val="2"/>
        <w:rPr>
          <w:bCs/>
          <w:color w:val="auto"/>
          <w:sz w:val="24"/>
          <w:highlight w:val="none"/>
        </w:rPr>
      </w:pPr>
      <w:r>
        <w:rPr>
          <w:bCs/>
          <w:color w:val="auto"/>
          <w:sz w:val="24"/>
          <w:highlight w:val="none"/>
        </w:rPr>
        <w:t>《区块链数据格式》</w:t>
      </w:r>
      <w:r>
        <w:rPr>
          <w:rFonts w:hint="eastAsia"/>
          <w:bCs/>
          <w:color w:val="auto"/>
          <w:sz w:val="24"/>
          <w:highlight w:val="none"/>
        </w:rPr>
        <w:t>（</w:t>
      </w:r>
      <w:r>
        <w:rPr>
          <w:bCs/>
          <w:color w:val="auto"/>
          <w:sz w:val="24"/>
          <w:highlight w:val="none"/>
        </w:rPr>
        <w:t>CBD-Forum-002-2017</w:t>
      </w:r>
      <w:r>
        <w:rPr>
          <w:rFonts w:hint="eastAsia"/>
          <w:bCs/>
          <w:color w:val="auto"/>
          <w:sz w:val="24"/>
          <w:highlight w:val="none"/>
        </w:rPr>
        <w:t>）</w:t>
      </w:r>
    </w:p>
    <w:p w14:paraId="5F14166E">
      <w:pPr>
        <w:shd w:val="clear"/>
        <w:spacing w:after="0" w:line="360" w:lineRule="auto"/>
        <w:ind w:firstLine="482"/>
        <w:contextualSpacing/>
        <w:outlineLvl w:val="2"/>
        <w:rPr>
          <w:bCs/>
          <w:color w:val="auto"/>
          <w:sz w:val="24"/>
          <w:highlight w:val="none"/>
        </w:rPr>
      </w:pPr>
      <w:r>
        <w:rPr>
          <w:bCs/>
          <w:color w:val="auto"/>
          <w:sz w:val="24"/>
          <w:highlight w:val="none"/>
        </w:rPr>
        <w:t>《区块链平台基础技术要求》（T/SIA 007-2018）</w:t>
      </w:r>
    </w:p>
    <w:p w14:paraId="55FD92D5">
      <w:pPr>
        <w:shd w:val="clear"/>
        <w:spacing w:after="0" w:line="360" w:lineRule="auto"/>
        <w:ind w:firstLine="482"/>
        <w:contextualSpacing/>
        <w:outlineLvl w:val="2"/>
        <w:rPr>
          <w:bCs/>
          <w:color w:val="auto"/>
          <w:sz w:val="24"/>
          <w:highlight w:val="none"/>
        </w:rPr>
      </w:pPr>
      <w:r>
        <w:rPr>
          <w:bCs/>
          <w:color w:val="auto"/>
          <w:sz w:val="24"/>
          <w:highlight w:val="none"/>
        </w:rPr>
        <w:t>《分布式应用架构技术能力要求第1部分</w:t>
      </w:r>
      <w:r>
        <w:rPr>
          <w:rFonts w:hint="eastAsia"/>
          <w:bCs/>
          <w:color w:val="auto"/>
          <w:sz w:val="24"/>
          <w:highlight w:val="none"/>
        </w:rPr>
        <w:t>：</w:t>
      </w:r>
      <w:r>
        <w:rPr>
          <w:bCs/>
          <w:color w:val="auto"/>
          <w:sz w:val="24"/>
          <w:highlight w:val="none"/>
        </w:rPr>
        <w:t>微服务平台》</w:t>
      </w:r>
    </w:p>
    <w:p w14:paraId="5DFB41C2">
      <w:pPr>
        <w:shd w:val="clear"/>
        <w:spacing w:line="360" w:lineRule="auto"/>
        <w:contextualSpacing/>
        <w:outlineLvl w:val="1"/>
        <w:rPr>
          <w:bCs/>
          <w:color w:val="auto"/>
          <w:sz w:val="24"/>
          <w:highlight w:val="none"/>
        </w:rPr>
      </w:pPr>
      <w:r>
        <w:rPr>
          <w:bCs/>
          <w:color w:val="auto"/>
          <w:sz w:val="24"/>
          <w:highlight w:val="none"/>
        </w:rPr>
        <w:t xml:space="preserve">2. </w:t>
      </w:r>
      <w:r>
        <w:rPr>
          <w:rFonts w:hint="eastAsia"/>
          <w:bCs/>
          <w:color w:val="auto"/>
          <w:sz w:val="24"/>
          <w:highlight w:val="none"/>
        </w:rPr>
        <w:t>服务内容及要求</w:t>
      </w:r>
    </w:p>
    <w:p w14:paraId="29952EE6">
      <w:pPr>
        <w:shd w:val="clear"/>
        <w:spacing w:after="0" w:line="360" w:lineRule="auto"/>
        <w:ind w:firstLine="482"/>
        <w:contextualSpacing/>
        <w:outlineLvl w:val="2"/>
        <w:rPr>
          <w:bCs/>
          <w:color w:val="auto"/>
          <w:sz w:val="24"/>
          <w:highlight w:val="none"/>
        </w:rPr>
      </w:pPr>
      <w:r>
        <w:rPr>
          <w:bCs/>
          <w:color w:val="auto"/>
          <w:sz w:val="24"/>
          <w:highlight w:val="none"/>
        </w:rPr>
        <w:t>2.1</w:t>
      </w:r>
      <w:r>
        <w:rPr>
          <w:rFonts w:hint="eastAsia"/>
          <w:bCs/>
          <w:color w:val="auto"/>
          <w:sz w:val="24"/>
          <w:highlight w:val="none"/>
        </w:rPr>
        <w:t xml:space="preserve"> </w:t>
      </w:r>
      <w:r>
        <w:rPr>
          <w:bCs/>
          <w:color w:val="auto"/>
          <w:sz w:val="24"/>
          <w:highlight w:val="none"/>
        </w:rPr>
        <w:t>采购标的需满足的性能、材料、结构、外观、质量、安全、技术规格、物理特性等要求</w:t>
      </w:r>
    </w:p>
    <w:p w14:paraId="2BD33F52">
      <w:pPr>
        <w:shd w:val="clear"/>
        <w:spacing w:after="0" w:line="360" w:lineRule="auto"/>
        <w:ind w:firstLine="482"/>
        <w:contextualSpacing/>
        <w:outlineLvl w:val="2"/>
        <w:rPr>
          <w:bCs/>
          <w:color w:val="auto"/>
          <w:sz w:val="24"/>
          <w:highlight w:val="none"/>
        </w:rPr>
      </w:pPr>
      <w:r>
        <w:rPr>
          <w:bCs/>
          <w:color w:val="auto"/>
          <w:sz w:val="24"/>
          <w:highlight w:val="none"/>
        </w:rPr>
        <w:t>2.1.</w:t>
      </w:r>
      <w:r>
        <w:rPr>
          <w:rFonts w:hint="eastAsia"/>
          <w:bCs/>
          <w:color w:val="auto"/>
          <w:sz w:val="24"/>
          <w:highlight w:val="none"/>
        </w:rPr>
        <w:t xml:space="preserve">1 </w:t>
      </w:r>
      <w:r>
        <w:rPr>
          <w:bCs/>
          <w:color w:val="auto"/>
          <w:sz w:val="24"/>
          <w:highlight w:val="none"/>
        </w:rPr>
        <w:t>系统技术要求</w:t>
      </w:r>
    </w:p>
    <w:p w14:paraId="4834999C">
      <w:pPr>
        <w:shd w:val="clear"/>
        <w:spacing w:after="0" w:line="360" w:lineRule="auto"/>
        <w:ind w:firstLine="482"/>
        <w:contextualSpacing/>
        <w:outlineLvl w:val="2"/>
        <w:rPr>
          <w:bCs/>
          <w:color w:val="auto"/>
          <w:sz w:val="24"/>
          <w:highlight w:val="none"/>
        </w:rPr>
      </w:pPr>
      <w:r>
        <w:rPr>
          <w:bCs/>
          <w:color w:val="auto"/>
          <w:sz w:val="24"/>
          <w:highlight w:val="none"/>
        </w:rPr>
        <w:t>1）系统要求采用微服务架构技术，基于微服务架构进行技术架构设计，支持分布式数据库访问、支持分布式缓存、分布式消息队列、分布式文件系统、分布式安全服务，满足大规模数据存储要求和高并发访问要求，支持资源的按需分配、应用可弹性伸缩、数据可水平扩展</w:t>
      </w:r>
      <w:r>
        <w:rPr>
          <w:rFonts w:hint="eastAsia"/>
          <w:bCs/>
          <w:color w:val="auto"/>
          <w:sz w:val="24"/>
          <w:highlight w:val="none"/>
        </w:rPr>
        <w:t>。</w:t>
      </w:r>
    </w:p>
    <w:p w14:paraId="5726FA26">
      <w:pPr>
        <w:shd w:val="clear"/>
        <w:spacing w:after="0" w:line="360" w:lineRule="auto"/>
        <w:ind w:firstLine="482"/>
        <w:contextualSpacing/>
        <w:outlineLvl w:val="2"/>
        <w:rPr>
          <w:bCs/>
          <w:color w:val="auto"/>
          <w:sz w:val="24"/>
          <w:highlight w:val="none"/>
        </w:rPr>
      </w:pPr>
      <w:r>
        <w:rPr>
          <w:rFonts w:hint="eastAsia"/>
          <w:bCs/>
          <w:color w:val="auto"/>
          <w:sz w:val="24"/>
          <w:highlight w:val="none"/>
        </w:rPr>
        <w:t>2</w:t>
      </w:r>
      <w:r>
        <w:rPr>
          <w:bCs/>
          <w:color w:val="auto"/>
          <w:sz w:val="24"/>
          <w:highlight w:val="none"/>
        </w:rPr>
        <w:t>）系统基于J2EE标准的B/S架构进行设计，支持多系统集成和服务中心对接</w:t>
      </w:r>
      <w:r>
        <w:rPr>
          <w:rFonts w:hint="eastAsia"/>
          <w:bCs/>
          <w:color w:val="auto"/>
          <w:sz w:val="24"/>
          <w:highlight w:val="none"/>
        </w:rPr>
        <w:t>。</w:t>
      </w:r>
    </w:p>
    <w:p w14:paraId="2A6D5AE9">
      <w:pPr>
        <w:shd w:val="clear"/>
        <w:spacing w:after="0" w:line="360" w:lineRule="auto"/>
        <w:ind w:firstLine="482"/>
        <w:contextualSpacing/>
        <w:outlineLvl w:val="2"/>
        <w:rPr>
          <w:bCs/>
          <w:color w:val="auto"/>
          <w:sz w:val="24"/>
          <w:highlight w:val="none"/>
        </w:rPr>
      </w:pPr>
      <w:r>
        <w:rPr>
          <w:rFonts w:hint="eastAsia"/>
          <w:bCs/>
          <w:color w:val="auto"/>
          <w:sz w:val="24"/>
          <w:highlight w:val="none"/>
        </w:rPr>
        <w:t>2.1.2 业务需求</w:t>
      </w:r>
    </w:p>
    <w:p w14:paraId="787A638F">
      <w:pPr>
        <w:shd w:val="clear"/>
        <w:spacing w:after="0" w:line="360" w:lineRule="auto"/>
        <w:ind w:firstLine="482"/>
        <w:contextualSpacing/>
        <w:outlineLvl w:val="2"/>
        <w:rPr>
          <w:bCs/>
          <w:color w:val="auto"/>
          <w:sz w:val="24"/>
          <w:highlight w:val="none"/>
        </w:rPr>
      </w:pPr>
      <w:r>
        <w:rPr>
          <w:bCs/>
          <w:color w:val="auto"/>
          <w:sz w:val="24"/>
          <w:highlight w:val="none"/>
        </w:rPr>
        <w:t>北京市积分落户每年申请一次，具体安排由市</w:t>
      </w:r>
      <w:r>
        <w:rPr>
          <w:rFonts w:hint="eastAsia"/>
          <w:bCs/>
          <w:color w:val="auto"/>
          <w:sz w:val="24"/>
          <w:highlight w:val="none"/>
          <w:lang w:eastAsia="zh-CN"/>
        </w:rPr>
        <w:t>人力资源和社会保障局</w:t>
      </w:r>
      <w:r>
        <w:rPr>
          <w:bCs/>
          <w:color w:val="auto"/>
          <w:sz w:val="24"/>
          <w:highlight w:val="none"/>
        </w:rPr>
        <w:t>每年年初向社会公布，设置系统注册、关联单位、积分指标填报与比对、积分计算、发布及公示等阶段。</w:t>
      </w:r>
    </w:p>
    <w:p w14:paraId="4D2A0754">
      <w:pPr>
        <w:shd w:val="clear"/>
        <w:spacing w:after="0" w:line="360" w:lineRule="auto"/>
        <w:ind w:firstLine="482"/>
        <w:contextualSpacing/>
        <w:outlineLvl w:val="2"/>
        <w:rPr>
          <w:bCs/>
          <w:color w:val="auto"/>
          <w:sz w:val="24"/>
          <w:highlight w:val="none"/>
        </w:rPr>
      </w:pPr>
      <w:r>
        <w:rPr>
          <w:bCs/>
          <w:color w:val="auto"/>
          <w:sz w:val="24"/>
          <w:highlight w:val="none"/>
        </w:rPr>
        <w:t>以互联网申报系统、业务经办系统组成的跨互联网、政务外网部署的北京市积分落户管理系统需要按照北京市统一要求进行适配能力提升。其中，互联网申报系统面向社会公众和单位，提供积分落户网上申报功能；业务经办系统提供区县和各委办局审核、受理等功能，为市</w:t>
      </w:r>
      <w:r>
        <w:rPr>
          <w:rFonts w:hint="eastAsia"/>
          <w:bCs/>
          <w:color w:val="auto"/>
          <w:sz w:val="24"/>
          <w:highlight w:val="none"/>
          <w:lang w:eastAsia="zh-CN"/>
        </w:rPr>
        <w:t>人力资源和社会保障局</w:t>
      </w:r>
      <w:r>
        <w:rPr>
          <w:bCs/>
          <w:color w:val="auto"/>
          <w:sz w:val="24"/>
          <w:highlight w:val="none"/>
        </w:rPr>
        <w:t>提供包括政策参数设置、阶段时间计划设置、积分的初排与终排、积分复查受理、终止个人积分、设置落户分数线、黑名单维护、调京手续确认、落户单据打印、发送落户数据、查询统计等功能；通过</w:t>
      </w:r>
      <w:r>
        <w:rPr>
          <w:rFonts w:hint="eastAsia"/>
          <w:bCs/>
          <w:color w:val="auto"/>
          <w:sz w:val="24"/>
          <w:highlight w:val="none"/>
        </w:rPr>
        <w:t>“</w:t>
      </w:r>
      <w:r>
        <w:rPr>
          <w:bCs/>
          <w:color w:val="auto"/>
          <w:sz w:val="24"/>
          <w:highlight w:val="none"/>
        </w:rPr>
        <w:t>北京市政务信息资源共享交换平台</w:t>
      </w:r>
      <w:r>
        <w:rPr>
          <w:rFonts w:hint="eastAsia"/>
          <w:bCs/>
          <w:color w:val="auto"/>
          <w:sz w:val="24"/>
          <w:highlight w:val="none"/>
        </w:rPr>
        <w:t>”</w:t>
      </w:r>
      <w:r>
        <w:rPr>
          <w:bCs/>
          <w:color w:val="auto"/>
          <w:sz w:val="24"/>
          <w:highlight w:val="none"/>
        </w:rPr>
        <w:t>与各委办局进行数据交换，各委办局通过其前置机接收和反馈比对数据，</w:t>
      </w:r>
      <w:r>
        <w:rPr>
          <w:rFonts w:hint="eastAsia"/>
          <w:bCs/>
          <w:color w:val="auto"/>
          <w:sz w:val="24"/>
          <w:highlight w:val="none"/>
          <w:lang w:eastAsia="zh-CN"/>
        </w:rPr>
        <w:t>人力资源和社会保障局</w:t>
      </w:r>
      <w:r>
        <w:rPr>
          <w:bCs/>
          <w:color w:val="auto"/>
          <w:sz w:val="24"/>
          <w:highlight w:val="none"/>
        </w:rPr>
        <w:t>前置机统一发送比对数据和接收比对结果；通过在市</w:t>
      </w:r>
      <w:r>
        <w:rPr>
          <w:rFonts w:hint="eastAsia"/>
          <w:bCs/>
          <w:color w:val="auto"/>
          <w:sz w:val="24"/>
          <w:highlight w:val="none"/>
          <w:lang w:eastAsia="zh-CN"/>
        </w:rPr>
        <w:t>人力资源和社会保障局</w:t>
      </w:r>
      <w:r>
        <w:rPr>
          <w:bCs/>
          <w:color w:val="auto"/>
          <w:sz w:val="24"/>
          <w:highlight w:val="none"/>
        </w:rPr>
        <w:t>网站上建立链接，向所有公众开放，提供个人积分模拟计算、落户公示人员查询功能；同时，在</w:t>
      </w:r>
      <w:r>
        <w:rPr>
          <w:rFonts w:hint="eastAsia"/>
          <w:bCs/>
          <w:color w:val="auto"/>
          <w:sz w:val="24"/>
          <w:highlight w:val="none"/>
          <w:lang w:eastAsia="zh-CN"/>
        </w:rPr>
        <w:t>人力资源和社会保障局</w:t>
      </w:r>
      <w:r>
        <w:rPr>
          <w:bCs/>
          <w:color w:val="auto"/>
          <w:sz w:val="24"/>
          <w:highlight w:val="none"/>
        </w:rPr>
        <w:t>网站上开发建设积分落户服务专栏，加载积分模拟计算工具、在线申报系统入口，同时集中展示积分落户相关服务内容，包括政策公告、办事指南、服务窗口查询和常见问题解答等，让服务更集中。</w:t>
      </w:r>
    </w:p>
    <w:p w14:paraId="56A656F9">
      <w:pPr>
        <w:shd w:val="clear"/>
        <w:spacing w:after="0" w:line="360" w:lineRule="auto"/>
        <w:ind w:firstLine="482"/>
        <w:contextualSpacing/>
        <w:outlineLvl w:val="2"/>
        <w:rPr>
          <w:rFonts w:ascii="Calibri" w:hAnsi="Calibri" w:eastAsiaTheme="minorEastAsia" w:cstheme="minorBidi"/>
          <w:color w:val="auto"/>
          <w:szCs w:val="22"/>
          <w:highlight w:val="none"/>
        </w:rPr>
      </w:pPr>
      <w:r>
        <w:rPr>
          <w:rFonts w:hint="eastAsia"/>
          <w:bCs/>
          <w:color w:val="auto"/>
          <w:sz w:val="24"/>
          <w:highlight w:val="none"/>
        </w:rPr>
        <w:t>2.1.3 功能需求</w:t>
      </w:r>
    </w:p>
    <w:p w14:paraId="082BB5B2">
      <w:pPr>
        <w:shd w:val="clear"/>
        <w:spacing w:after="0" w:line="360" w:lineRule="auto"/>
        <w:ind w:firstLine="482"/>
        <w:contextualSpacing/>
        <w:outlineLvl w:val="2"/>
        <w:rPr>
          <w:bCs/>
          <w:color w:val="auto"/>
          <w:sz w:val="24"/>
          <w:highlight w:val="none"/>
        </w:rPr>
      </w:pPr>
      <w:r>
        <w:rPr>
          <w:rFonts w:hint="eastAsia"/>
          <w:bCs/>
          <w:color w:val="auto"/>
          <w:sz w:val="24"/>
          <w:highlight w:val="none"/>
        </w:rPr>
        <w:t>需要</w:t>
      </w:r>
      <w:r>
        <w:rPr>
          <w:bCs/>
          <w:color w:val="auto"/>
          <w:sz w:val="24"/>
          <w:highlight w:val="none"/>
        </w:rPr>
        <w:t>完成互联网积分申报、积分落户、积分公示三个子系统</w:t>
      </w:r>
      <w:r>
        <w:rPr>
          <w:rFonts w:hint="eastAsia"/>
          <w:bCs/>
          <w:color w:val="auto"/>
          <w:sz w:val="24"/>
          <w:highlight w:val="none"/>
        </w:rPr>
        <w:t>的</w:t>
      </w:r>
      <w:r>
        <w:rPr>
          <w:bCs/>
          <w:color w:val="auto"/>
          <w:sz w:val="24"/>
          <w:highlight w:val="none"/>
        </w:rPr>
        <w:t>适配能力提升，</w:t>
      </w:r>
      <w:r>
        <w:rPr>
          <w:rFonts w:hint="eastAsia"/>
          <w:bCs/>
          <w:color w:val="auto"/>
          <w:sz w:val="24"/>
          <w:highlight w:val="none"/>
        </w:rPr>
        <w:t>完成</w:t>
      </w:r>
      <w:r>
        <w:rPr>
          <w:bCs/>
          <w:color w:val="auto"/>
          <w:sz w:val="24"/>
          <w:highlight w:val="none"/>
        </w:rPr>
        <w:t>政务外网申报审核、落户审核、数据比对三个子系统</w:t>
      </w:r>
      <w:r>
        <w:rPr>
          <w:rFonts w:hint="eastAsia"/>
          <w:bCs/>
          <w:color w:val="auto"/>
          <w:sz w:val="24"/>
          <w:highlight w:val="none"/>
        </w:rPr>
        <w:t>的</w:t>
      </w:r>
      <w:r>
        <w:rPr>
          <w:bCs/>
          <w:color w:val="auto"/>
          <w:sz w:val="24"/>
          <w:highlight w:val="none"/>
        </w:rPr>
        <w:t>适配能力提升，实现个人和单位用户与政府部门通过互联网和政务外网完成申报、审核、复查、比对、公示业务流程。</w:t>
      </w:r>
    </w:p>
    <w:p w14:paraId="1EF16309">
      <w:pPr>
        <w:shd w:val="clear"/>
        <w:spacing w:after="0" w:line="360" w:lineRule="auto"/>
        <w:ind w:firstLine="482"/>
        <w:contextualSpacing/>
        <w:outlineLvl w:val="2"/>
        <w:rPr>
          <w:bCs/>
          <w:color w:val="auto"/>
          <w:sz w:val="24"/>
          <w:highlight w:val="none"/>
        </w:rPr>
      </w:pPr>
      <w:r>
        <w:rPr>
          <w:bCs/>
          <w:color w:val="auto"/>
          <w:sz w:val="24"/>
          <w:highlight w:val="none"/>
        </w:rPr>
        <w:t>另外，系统将进行微服务及落户链建设。即在原系统业务功能基础上，针对部分共性服务、调用频繁的服务，抽取出积分计算、资格确认、数据比对、结果查询、数据安全、落户函件及落户数据上链微服务，以更灵活、更容易扩展的方式对业务系统提供功能支持。</w:t>
      </w:r>
    </w:p>
    <w:p w14:paraId="054987BC">
      <w:pPr>
        <w:shd w:val="clear"/>
        <w:spacing w:after="0" w:line="360" w:lineRule="auto"/>
        <w:ind w:firstLine="482"/>
        <w:contextualSpacing/>
        <w:outlineLvl w:val="2"/>
        <w:rPr>
          <w:bCs/>
          <w:color w:val="auto"/>
          <w:sz w:val="24"/>
          <w:highlight w:val="none"/>
        </w:rPr>
      </w:pPr>
      <w:r>
        <w:rPr>
          <w:rFonts w:hint="eastAsia"/>
          <w:bCs/>
          <w:color w:val="auto"/>
          <w:sz w:val="24"/>
          <w:highlight w:val="none"/>
        </w:rPr>
        <w:t>1）</w:t>
      </w:r>
      <w:r>
        <w:rPr>
          <w:bCs/>
          <w:color w:val="auto"/>
          <w:sz w:val="24"/>
          <w:highlight w:val="none"/>
        </w:rPr>
        <w:t>积分申报子系统</w:t>
      </w:r>
    </w:p>
    <w:p w14:paraId="2FD35449">
      <w:pPr>
        <w:shd w:val="clear"/>
        <w:spacing w:after="0" w:line="360" w:lineRule="auto"/>
        <w:ind w:firstLine="482"/>
        <w:contextualSpacing/>
        <w:outlineLvl w:val="2"/>
        <w:rPr>
          <w:bCs/>
          <w:color w:val="auto"/>
          <w:sz w:val="24"/>
          <w:highlight w:val="none"/>
        </w:rPr>
      </w:pPr>
      <w:r>
        <w:rPr>
          <w:bCs/>
          <w:color w:val="auto"/>
          <w:sz w:val="24"/>
          <w:highlight w:val="none"/>
        </w:rPr>
        <w:t>积分申报子系统是面向社会公众和单位，提供积分落户网上申报功能的平台，包括单位申报和个人申报。单位用户和个人用户可以通过注册账号登录该系统，完成积分落户的信息填报和变更，并将个人申报信息提交给区</w:t>
      </w:r>
      <w:r>
        <w:rPr>
          <w:rFonts w:hint="eastAsia"/>
          <w:bCs/>
          <w:color w:val="auto"/>
          <w:sz w:val="24"/>
          <w:highlight w:val="none"/>
          <w:lang w:eastAsia="zh-CN"/>
        </w:rPr>
        <w:t>人力资源和社会保障局</w:t>
      </w:r>
      <w:r>
        <w:rPr>
          <w:bCs/>
          <w:color w:val="auto"/>
          <w:sz w:val="24"/>
          <w:highlight w:val="none"/>
        </w:rPr>
        <w:t>。在个人信息比对和全市个人积分初排结束后，对单位用户和个人用户提供个人积分查询和积分复查申请功能。通过单位确认的形式将个人积分复查申请提交给市</w:t>
      </w:r>
      <w:r>
        <w:rPr>
          <w:rFonts w:hint="eastAsia"/>
          <w:bCs/>
          <w:color w:val="auto"/>
          <w:sz w:val="24"/>
          <w:highlight w:val="none"/>
          <w:lang w:eastAsia="zh-CN"/>
        </w:rPr>
        <w:t>人力资源和社会保障局</w:t>
      </w:r>
      <w:r>
        <w:rPr>
          <w:bCs/>
          <w:color w:val="auto"/>
          <w:sz w:val="24"/>
          <w:highlight w:val="none"/>
        </w:rPr>
        <w:t>。在个人积分修正后，对单位用户和个人提供复查结果查询功能，并对符合积分落户条件的个人用户提供打印积分落户申请表功能。最后通过个人用户录入调函信息和随调子女信息，提交给区</w:t>
      </w:r>
      <w:r>
        <w:rPr>
          <w:rFonts w:hint="eastAsia"/>
          <w:bCs/>
          <w:color w:val="auto"/>
          <w:sz w:val="24"/>
          <w:highlight w:val="none"/>
          <w:lang w:eastAsia="zh-CN"/>
        </w:rPr>
        <w:t>人力资源和社会保障局</w:t>
      </w:r>
      <w:r>
        <w:rPr>
          <w:bCs/>
          <w:color w:val="auto"/>
          <w:sz w:val="24"/>
          <w:highlight w:val="none"/>
        </w:rPr>
        <w:t>受理，完成积分落户互联网申报过程。</w:t>
      </w:r>
    </w:p>
    <w:p w14:paraId="7A4CBFA7">
      <w:pPr>
        <w:shd w:val="clear"/>
        <w:spacing w:after="0" w:line="360" w:lineRule="auto"/>
        <w:ind w:firstLine="482"/>
        <w:contextualSpacing/>
        <w:outlineLvl w:val="2"/>
        <w:rPr>
          <w:bCs/>
          <w:color w:val="auto"/>
          <w:sz w:val="24"/>
          <w:highlight w:val="none"/>
        </w:rPr>
      </w:pPr>
      <w:r>
        <w:rPr>
          <w:rFonts w:hint="eastAsia"/>
          <w:bCs/>
          <w:color w:val="auto"/>
          <w:sz w:val="24"/>
          <w:highlight w:val="none"/>
        </w:rPr>
        <w:t>2）</w:t>
      </w:r>
      <w:r>
        <w:rPr>
          <w:bCs/>
          <w:color w:val="auto"/>
          <w:sz w:val="24"/>
          <w:highlight w:val="none"/>
        </w:rPr>
        <w:t>积分落户子系统</w:t>
      </w:r>
    </w:p>
    <w:p w14:paraId="17136C2B">
      <w:pPr>
        <w:shd w:val="clear"/>
        <w:spacing w:after="0" w:line="360" w:lineRule="auto"/>
        <w:ind w:firstLine="482"/>
        <w:contextualSpacing/>
        <w:outlineLvl w:val="2"/>
        <w:rPr>
          <w:bCs/>
          <w:color w:val="auto"/>
          <w:sz w:val="24"/>
          <w:highlight w:val="none"/>
        </w:rPr>
      </w:pPr>
      <w:r>
        <w:rPr>
          <w:bCs/>
          <w:color w:val="auto"/>
          <w:sz w:val="24"/>
          <w:highlight w:val="none"/>
        </w:rPr>
        <w:t>申报人通过积分申请，经公示无异议或有异议经审核通过的人员，可登录积分落户子系统，系统会引导申请人进一步填写或修改落户信息、档案信息、无犯罪记录证明递交方式和随迁子女信息。在落户材料验证通过的基础上进行进一步的落户工作。且本次项目中独立优化的积分落户子系统，将支持各年度的积分落户工作的滚动开展，极大的方便了经办人员的工作，并使得数据的安全维护及完整性得到最大程度的保护。</w:t>
      </w:r>
    </w:p>
    <w:p w14:paraId="29A88BE2">
      <w:pPr>
        <w:shd w:val="clear"/>
        <w:spacing w:after="0" w:line="360" w:lineRule="auto"/>
        <w:ind w:firstLine="482"/>
        <w:contextualSpacing/>
        <w:outlineLvl w:val="2"/>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积分公示子系统</w:t>
      </w:r>
    </w:p>
    <w:p w14:paraId="7613B7FC">
      <w:pPr>
        <w:shd w:val="clear"/>
        <w:spacing w:after="0" w:line="360" w:lineRule="auto"/>
        <w:ind w:firstLine="482"/>
        <w:contextualSpacing/>
        <w:outlineLvl w:val="2"/>
        <w:rPr>
          <w:bCs/>
          <w:color w:val="auto"/>
          <w:sz w:val="24"/>
          <w:highlight w:val="none"/>
        </w:rPr>
      </w:pPr>
      <w:r>
        <w:rPr>
          <w:bCs/>
          <w:color w:val="auto"/>
          <w:sz w:val="24"/>
          <w:highlight w:val="none"/>
        </w:rPr>
        <w:t>在市</w:t>
      </w:r>
      <w:r>
        <w:rPr>
          <w:rFonts w:hint="eastAsia"/>
          <w:bCs/>
          <w:color w:val="auto"/>
          <w:sz w:val="24"/>
          <w:highlight w:val="none"/>
          <w:lang w:eastAsia="zh-CN"/>
        </w:rPr>
        <w:t>人力资源和社会保障局</w:t>
      </w:r>
      <w:r>
        <w:rPr>
          <w:bCs/>
          <w:color w:val="auto"/>
          <w:sz w:val="24"/>
          <w:highlight w:val="none"/>
        </w:rPr>
        <w:t>网站上建立链接，向所有公众开放，提供个人积分模拟计算、落户公示人员查询功能。</w:t>
      </w:r>
    </w:p>
    <w:p w14:paraId="4C8EC945">
      <w:pPr>
        <w:shd w:val="clear"/>
        <w:spacing w:after="0" w:line="360" w:lineRule="auto"/>
        <w:ind w:firstLine="482"/>
        <w:contextualSpacing/>
        <w:outlineLvl w:val="2"/>
        <w:rPr>
          <w:bCs/>
          <w:color w:val="auto"/>
          <w:sz w:val="24"/>
          <w:highlight w:val="none"/>
        </w:rPr>
      </w:pPr>
      <w:bookmarkStart w:id="677" w:name="_Toc12236"/>
      <w:r>
        <w:rPr>
          <w:rFonts w:hint="eastAsia"/>
          <w:bCs/>
          <w:color w:val="auto"/>
          <w:sz w:val="24"/>
          <w:highlight w:val="none"/>
        </w:rPr>
        <w:t>4）申报审核子系统</w:t>
      </w:r>
      <w:bookmarkEnd w:id="677"/>
    </w:p>
    <w:p w14:paraId="7687F923">
      <w:pPr>
        <w:shd w:val="clear"/>
        <w:spacing w:after="0" w:line="360" w:lineRule="auto"/>
        <w:ind w:firstLine="482"/>
        <w:contextualSpacing/>
        <w:outlineLvl w:val="2"/>
        <w:rPr>
          <w:bCs/>
          <w:color w:val="auto"/>
          <w:sz w:val="24"/>
          <w:highlight w:val="none"/>
        </w:rPr>
      </w:pPr>
      <w:r>
        <w:rPr>
          <w:rFonts w:hint="eastAsia"/>
          <w:bCs/>
          <w:color w:val="auto"/>
          <w:sz w:val="24"/>
          <w:highlight w:val="none"/>
        </w:rPr>
        <w:t>申报审核系统包括区县功能、市</w:t>
      </w:r>
      <w:r>
        <w:rPr>
          <w:rFonts w:hint="eastAsia"/>
          <w:bCs/>
          <w:color w:val="auto"/>
          <w:sz w:val="24"/>
          <w:highlight w:val="none"/>
          <w:lang w:eastAsia="zh-CN"/>
        </w:rPr>
        <w:t>人力资源和社会保障局</w:t>
      </w:r>
      <w:r>
        <w:rPr>
          <w:rFonts w:hint="eastAsia"/>
          <w:bCs/>
          <w:color w:val="auto"/>
          <w:sz w:val="24"/>
          <w:highlight w:val="none"/>
        </w:rPr>
        <w:t>功能和各委办局功能，主要受理申报阶段提交的材料信息而需要进行审核的业务系统。区</w:t>
      </w:r>
      <w:r>
        <w:rPr>
          <w:rFonts w:hint="eastAsia"/>
          <w:bCs/>
          <w:color w:val="auto"/>
          <w:sz w:val="24"/>
          <w:highlight w:val="none"/>
          <w:lang w:eastAsia="zh-CN"/>
        </w:rPr>
        <w:t>人力资源和社会保障局</w:t>
      </w:r>
      <w:r>
        <w:rPr>
          <w:rFonts w:hint="eastAsia"/>
          <w:bCs/>
          <w:color w:val="auto"/>
          <w:sz w:val="24"/>
          <w:highlight w:val="none"/>
        </w:rPr>
        <w:t>的业务包括夫妻关系信息审核、异议复查处理、查询统计等功能；市</w:t>
      </w:r>
      <w:r>
        <w:rPr>
          <w:rFonts w:hint="eastAsia"/>
          <w:bCs/>
          <w:color w:val="auto"/>
          <w:sz w:val="24"/>
          <w:highlight w:val="none"/>
          <w:lang w:eastAsia="zh-CN"/>
        </w:rPr>
        <w:t>人力资源和社会保障局</w:t>
      </w:r>
      <w:r>
        <w:rPr>
          <w:rFonts w:hint="eastAsia"/>
          <w:bCs/>
          <w:color w:val="auto"/>
          <w:sz w:val="24"/>
          <w:highlight w:val="none"/>
        </w:rPr>
        <w:t>的业务包括政策参数设置、阶段时间计划设置、白名单导入、准入条件数据比对、终止个人积分、设置落户分值、黑名单维护等业务；委办局的功能主要是受理本局的积分复查等业务</w:t>
      </w:r>
    </w:p>
    <w:p w14:paraId="768AAC69">
      <w:pPr>
        <w:shd w:val="clear"/>
        <w:spacing w:after="0" w:line="360" w:lineRule="auto"/>
        <w:ind w:firstLine="482"/>
        <w:contextualSpacing/>
        <w:outlineLvl w:val="2"/>
        <w:rPr>
          <w:bCs/>
          <w:color w:val="auto"/>
          <w:sz w:val="24"/>
          <w:highlight w:val="none"/>
        </w:rPr>
      </w:pPr>
      <w:bookmarkStart w:id="678" w:name="_Toc8828"/>
      <w:r>
        <w:rPr>
          <w:rFonts w:hint="eastAsia"/>
          <w:bCs/>
          <w:color w:val="auto"/>
          <w:sz w:val="24"/>
          <w:highlight w:val="none"/>
        </w:rPr>
        <w:t>5）落户审核子系统</w:t>
      </w:r>
      <w:bookmarkEnd w:id="678"/>
    </w:p>
    <w:p w14:paraId="5C208DC4">
      <w:pPr>
        <w:shd w:val="clear"/>
        <w:spacing w:after="0" w:line="360" w:lineRule="auto"/>
        <w:ind w:firstLine="482"/>
        <w:contextualSpacing/>
        <w:outlineLvl w:val="2"/>
        <w:rPr>
          <w:bCs/>
          <w:color w:val="auto"/>
          <w:sz w:val="24"/>
          <w:highlight w:val="none"/>
        </w:rPr>
      </w:pPr>
      <w:r>
        <w:rPr>
          <w:rFonts w:hint="eastAsia"/>
          <w:bCs/>
          <w:color w:val="auto"/>
          <w:sz w:val="24"/>
          <w:highlight w:val="none"/>
        </w:rPr>
        <w:t>落户审核系统包括区县和市</w:t>
      </w:r>
      <w:r>
        <w:rPr>
          <w:rFonts w:hint="eastAsia"/>
          <w:bCs/>
          <w:color w:val="auto"/>
          <w:sz w:val="24"/>
          <w:highlight w:val="none"/>
          <w:lang w:eastAsia="zh-CN"/>
        </w:rPr>
        <w:t>人力资源和社会保障局</w:t>
      </w:r>
      <w:r>
        <w:rPr>
          <w:rFonts w:hint="eastAsia"/>
          <w:bCs/>
          <w:color w:val="auto"/>
          <w:sz w:val="24"/>
          <w:highlight w:val="none"/>
        </w:rPr>
        <w:t>功能，主要受理落户阶段提交的材料信息而需要进行审核的业务系统。区</w:t>
      </w:r>
      <w:r>
        <w:rPr>
          <w:rFonts w:hint="eastAsia"/>
          <w:bCs/>
          <w:color w:val="auto"/>
          <w:sz w:val="24"/>
          <w:highlight w:val="none"/>
          <w:lang w:eastAsia="zh-CN"/>
        </w:rPr>
        <w:t>人力资源和社会保障局</w:t>
      </w:r>
      <w:r>
        <w:rPr>
          <w:rFonts w:hint="eastAsia"/>
          <w:bCs/>
          <w:color w:val="auto"/>
          <w:sz w:val="24"/>
          <w:highlight w:val="none"/>
        </w:rPr>
        <w:t>的业务包括个人落户受理、个人落户通知和个人落户审批等功能；市</w:t>
      </w:r>
      <w:r>
        <w:rPr>
          <w:rFonts w:hint="eastAsia"/>
          <w:bCs/>
          <w:color w:val="auto"/>
          <w:sz w:val="24"/>
          <w:highlight w:val="none"/>
          <w:lang w:eastAsia="zh-CN"/>
        </w:rPr>
        <w:t>人力资源和社会保障局</w:t>
      </w:r>
      <w:r>
        <w:rPr>
          <w:rFonts w:hint="eastAsia"/>
          <w:bCs/>
          <w:color w:val="auto"/>
          <w:sz w:val="24"/>
          <w:highlight w:val="none"/>
        </w:rPr>
        <w:t>的业务包括调京手续确认、打印调京函件、落户信息修改、发送落户数据、导出落户积分落户人员汇总表等业务。</w:t>
      </w:r>
    </w:p>
    <w:p w14:paraId="5FA32DBF">
      <w:pPr>
        <w:shd w:val="clear"/>
        <w:spacing w:after="0" w:line="360" w:lineRule="auto"/>
        <w:ind w:firstLine="482"/>
        <w:contextualSpacing/>
        <w:outlineLvl w:val="2"/>
        <w:rPr>
          <w:bCs/>
          <w:color w:val="auto"/>
          <w:sz w:val="24"/>
          <w:highlight w:val="none"/>
        </w:rPr>
      </w:pPr>
      <w:bookmarkStart w:id="679" w:name="_Toc26659"/>
      <w:r>
        <w:rPr>
          <w:rFonts w:hint="eastAsia"/>
          <w:bCs/>
          <w:color w:val="auto"/>
          <w:sz w:val="24"/>
          <w:highlight w:val="none"/>
        </w:rPr>
        <w:t>6）业务比对子系统</w:t>
      </w:r>
      <w:bookmarkEnd w:id="679"/>
    </w:p>
    <w:p w14:paraId="3083C54B">
      <w:pPr>
        <w:shd w:val="clear"/>
        <w:spacing w:after="0" w:line="360" w:lineRule="auto"/>
        <w:ind w:firstLine="482"/>
        <w:contextualSpacing/>
        <w:outlineLvl w:val="2"/>
        <w:rPr>
          <w:bCs/>
          <w:color w:val="auto"/>
          <w:sz w:val="24"/>
          <w:highlight w:val="none"/>
        </w:rPr>
      </w:pPr>
      <w:r>
        <w:rPr>
          <w:rFonts w:hint="eastAsia"/>
          <w:bCs/>
          <w:color w:val="auto"/>
          <w:sz w:val="24"/>
          <w:highlight w:val="none"/>
        </w:rPr>
        <w:t>个人填报的信息需要定期发送至相关委办局进行验证，相关委办局对需要验证的数据进行内部处理，将验证结果返回至积分落户系统，积分落户系统根据个人信息的验证结果进行后续业务处理。</w:t>
      </w:r>
    </w:p>
    <w:p w14:paraId="4B54345A">
      <w:pPr>
        <w:shd w:val="clear"/>
        <w:spacing w:after="0" w:line="360" w:lineRule="auto"/>
        <w:ind w:firstLine="482"/>
        <w:contextualSpacing/>
        <w:outlineLvl w:val="2"/>
        <w:rPr>
          <w:bCs/>
          <w:color w:val="auto"/>
          <w:sz w:val="24"/>
          <w:highlight w:val="none"/>
        </w:rPr>
      </w:pPr>
      <w:bookmarkStart w:id="680" w:name="_Toc20348"/>
      <w:r>
        <w:rPr>
          <w:rFonts w:hint="eastAsia"/>
          <w:bCs/>
          <w:color w:val="auto"/>
          <w:sz w:val="24"/>
          <w:highlight w:val="none"/>
        </w:rPr>
        <w:t>7）微服务建设</w:t>
      </w:r>
      <w:bookmarkEnd w:id="680"/>
    </w:p>
    <w:p w14:paraId="0FA4F135">
      <w:pPr>
        <w:shd w:val="clear"/>
        <w:spacing w:after="0" w:line="360" w:lineRule="auto"/>
        <w:ind w:firstLine="482"/>
        <w:contextualSpacing/>
        <w:outlineLvl w:val="2"/>
        <w:rPr>
          <w:bCs/>
          <w:color w:val="auto"/>
          <w:sz w:val="24"/>
          <w:highlight w:val="none"/>
        </w:rPr>
      </w:pPr>
      <w:r>
        <w:rPr>
          <w:rFonts w:hint="eastAsia"/>
          <w:bCs/>
          <w:color w:val="auto"/>
          <w:sz w:val="24"/>
          <w:highlight w:val="none"/>
        </w:rPr>
        <w:t>针对部分共性服务，抽取出积分计算、资格确认、数据比对、结果查询等微服务，以灵活、可扩展的方式支持业务系统。</w:t>
      </w:r>
    </w:p>
    <w:p w14:paraId="2B784053">
      <w:pPr>
        <w:shd w:val="clear"/>
        <w:spacing w:after="0" w:line="360" w:lineRule="auto"/>
        <w:ind w:firstLine="482"/>
        <w:contextualSpacing/>
        <w:outlineLvl w:val="2"/>
        <w:rPr>
          <w:bCs/>
          <w:color w:val="auto"/>
          <w:sz w:val="24"/>
          <w:highlight w:val="none"/>
        </w:rPr>
      </w:pPr>
      <w:bookmarkStart w:id="681" w:name="_Toc31797"/>
      <w:r>
        <w:rPr>
          <w:rFonts w:hint="eastAsia"/>
          <w:bCs/>
          <w:color w:val="auto"/>
          <w:sz w:val="24"/>
          <w:highlight w:val="none"/>
        </w:rPr>
        <w:t>8）</w:t>
      </w:r>
      <w:bookmarkEnd w:id="681"/>
      <w:r>
        <w:rPr>
          <w:rFonts w:hint="eastAsia"/>
          <w:bCs/>
          <w:color w:val="auto"/>
          <w:sz w:val="24"/>
          <w:highlight w:val="none"/>
        </w:rPr>
        <w:t>落户链建设</w:t>
      </w:r>
    </w:p>
    <w:p w14:paraId="28EB8791">
      <w:pPr>
        <w:shd w:val="clear"/>
        <w:spacing w:after="0" w:line="360" w:lineRule="auto"/>
        <w:ind w:firstLine="482"/>
        <w:contextualSpacing/>
        <w:outlineLvl w:val="2"/>
        <w:rPr>
          <w:bCs/>
          <w:color w:val="auto"/>
          <w:sz w:val="24"/>
          <w:highlight w:val="none"/>
        </w:rPr>
      </w:pPr>
      <w:r>
        <w:rPr>
          <w:rFonts w:hint="eastAsia"/>
          <w:bCs/>
          <w:color w:val="auto"/>
          <w:sz w:val="24"/>
          <w:highlight w:val="none"/>
        </w:rPr>
        <w:t>抽取共性微服务：积分计算、资格确认、数据比对、结果查询、数据安全、落户函件、落户数据上链，提升系统灵活性与扩展性。应用区块链技术实现纸质函件电子化传输与加密共享，使积分落户办理“一次不跑”，利用其不可篡改、可追溯特性保障数据实时更新、安全流转与协同共享，并建立规范的共享与分析机制。</w:t>
      </w:r>
    </w:p>
    <w:p w14:paraId="66969039">
      <w:pPr>
        <w:shd w:val="clear"/>
        <w:spacing w:after="0" w:line="360" w:lineRule="auto"/>
        <w:ind w:firstLine="482"/>
        <w:contextualSpacing/>
        <w:outlineLvl w:val="2"/>
        <w:rPr>
          <w:bCs/>
          <w:color w:val="auto"/>
          <w:sz w:val="24"/>
          <w:highlight w:val="none"/>
        </w:rPr>
      </w:pPr>
      <w:r>
        <w:rPr>
          <w:bCs/>
          <w:color w:val="auto"/>
          <w:sz w:val="24"/>
          <w:highlight w:val="none"/>
        </w:rPr>
        <w:t>2.1.3</w:t>
      </w:r>
      <w:r>
        <w:rPr>
          <w:rFonts w:hint="eastAsia"/>
          <w:bCs/>
          <w:color w:val="auto"/>
          <w:sz w:val="24"/>
          <w:highlight w:val="none"/>
        </w:rPr>
        <w:t xml:space="preserve"> </w:t>
      </w:r>
      <w:r>
        <w:rPr>
          <w:bCs/>
          <w:color w:val="auto"/>
          <w:sz w:val="24"/>
          <w:highlight w:val="none"/>
        </w:rPr>
        <w:t>数据库设计需求</w:t>
      </w:r>
    </w:p>
    <w:p w14:paraId="5029CC71">
      <w:pPr>
        <w:shd w:val="clear"/>
        <w:spacing w:after="0" w:line="360" w:lineRule="auto"/>
        <w:ind w:firstLine="482"/>
        <w:contextualSpacing/>
        <w:outlineLvl w:val="2"/>
        <w:rPr>
          <w:bCs/>
          <w:color w:val="auto"/>
          <w:sz w:val="24"/>
          <w:highlight w:val="none"/>
        </w:rPr>
      </w:pPr>
      <w:r>
        <w:rPr>
          <w:bCs/>
          <w:color w:val="auto"/>
          <w:sz w:val="24"/>
          <w:highlight w:val="none"/>
        </w:rPr>
        <w:t>本项目所涉及数据库设计开发，应符合的国家、行业标准规范包括</w:t>
      </w:r>
      <w:r>
        <w:rPr>
          <w:rFonts w:hint="eastAsia"/>
          <w:bCs/>
          <w:color w:val="auto"/>
          <w:sz w:val="24"/>
          <w:highlight w:val="none"/>
        </w:rPr>
        <w:t>：</w:t>
      </w:r>
      <w:r>
        <w:rPr>
          <w:bCs/>
          <w:color w:val="auto"/>
          <w:sz w:val="24"/>
          <w:highlight w:val="none"/>
        </w:rPr>
        <w:t>《软件开发规范》、《计算机软件产品开发文件编制指南》《电子政务标准化指南》等</w:t>
      </w:r>
      <w:r>
        <w:rPr>
          <w:rFonts w:hint="eastAsia"/>
          <w:bCs/>
          <w:color w:val="auto"/>
          <w:sz w:val="24"/>
          <w:highlight w:val="none"/>
        </w:rPr>
        <w:t>。</w:t>
      </w:r>
    </w:p>
    <w:p w14:paraId="2A0FF3D8">
      <w:pPr>
        <w:shd w:val="clear"/>
        <w:spacing w:after="0" w:line="360" w:lineRule="auto"/>
        <w:ind w:firstLine="482"/>
        <w:contextualSpacing/>
        <w:outlineLvl w:val="2"/>
        <w:rPr>
          <w:bCs/>
          <w:color w:val="auto"/>
          <w:sz w:val="24"/>
          <w:highlight w:val="none"/>
        </w:rPr>
      </w:pPr>
      <w:r>
        <w:rPr>
          <w:rFonts w:hint="eastAsia"/>
          <w:bCs/>
          <w:color w:val="auto"/>
          <w:sz w:val="24"/>
          <w:highlight w:val="none"/>
          <w:lang w:eastAsia="zh-CN"/>
        </w:rPr>
        <w:t>适配</w:t>
      </w:r>
      <w:r>
        <w:rPr>
          <w:rFonts w:hint="eastAsia"/>
          <w:bCs/>
          <w:color w:val="auto"/>
          <w:sz w:val="24"/>
          <w:highlight w:val="none"/>
        </w:rPr>
        <w:t>改造涉及多方面的内容，本期要将现有数据库迁移到</w:t>
      </w:r>
      <w:r>
        <w:rPr>
          <w:rFonts w:hint="eastAsia"/>
          <w:bCs/>
          <w:color w:val="auto"/>
          <w:sz w:val="24"/>
          <w:highlight w:val="none"/>
          <w:lang w:eastAsia="zh-CN"/>
        </w:rPr>
        <w:t>新的</w:t>
      </w:r>
      <w:r>
        <w:rPr>
          <w:rFonts w:hint="eastAsia"/>
          <w:bCs/>
          <w:color w:val="auto"/>
          <w:sz w:val="24"/>
          <w:highlight w:val="none"/>
        </w:rPr>
        <w:t>数据库平台，并确保积分落户系统和业务逻辑能够在新环境中稳定运行。</w:t>
      </w:r>
    </w:p>
    <w:p w14:paraId="3750538F">
      <w:pPr>
        <w:shd w:val="clear"/>
        <w:spacing w:after="0" w:line="360" w:lineRule="auto"/>
        <w:ind w:firstLine="482"/>
        <w:contextualSpacing/>
        <w:outlineLvl w:val="2"/>
        <w:rPr>
          <w:bCs/>
          <w:color w:val="auto"/>
          <w:sz w:val="24"/>
          <w:highlight w:val="none"/>
        </w:rPr>
      </w:pPr>
      <w:r>
        <w:rPr>
          <w:bCs/>
          <w:color w:val="auto"/>
          <w:sz w:val="24"/>
          <w:highlight w:val="none"/>
        </w:rPr>
        <w:t>2.1.4</w:t>
      </w:r>
      <w:r>
        <w:rPr>
          <w:rFonts w:hint="eastAsia"/>
          <w:bCs/>
          <w:color w:val="auto"/>
          <w:sz w:val="24"/>
          <w:highlight w:val="none"/>
        </w:rPr>
        <w:t xml:space="preserve"> </w:t>
      </w:r>
      <w:r>
        <w:rPr>
          <w:bCs/>
          <w:color w:val="auto"/>
          <w:sz w:val="24"/>
          <w:highlight w:val="none"/>
        </w:rPr>
        <w:t>安全设计要求</w:t>
      </w:r>
    </w:p>
    <w:p w14:paraId="4D06C334">
      <w:pPr>
        <w:shd w:val="clear"/>
        <w:spacing w:after="0" w:line="360" w:lineRule="auto"/>
        <w:ind w:firstLine="482"/>
        <w:contextualSpacing/>
        <w:outlineLvl w:val="2"/>
        <w:rPr>
          <w:bCs/>
          <w:color w:val="auto"/>
          <w:sz w:val="24"/>
          <w:highlight w:val="none"/>
        </w:rPr>
      </w:pPr>
      <w:r>
        <w:rPr>
          <w:bCs/>
          <w:color w:val="auto"/>
          <w:sz w:val="24"/>
          <w:highlight w:val="none"/>
        </w:rPr>
        <w:t>系统参照最新安全设计要求来开发和实施本项目。</w:t>
      </w:r>
    </w:p>
    <w:p w14:paraId="79AF5172">
      <w:pPr>
        <w:shd w:val="clear"/>
        <w:spacing w:after="0" w:line="360" w:lineRule="auto"/>
        <w:ind w:firstLine="482"/>
        <w:contextualSpacing/>
        <w:outlineLvl w:val="2"/>
        <w:rPr>
          <w:bCs/>
          <w:color w:val="auto"/>
          <w:sz w:val="24"/>
          <w:highlight w:val="none"/>
        </w:rPr>
      </w:pPr>
      <w:r>
        <w:rPr>
          <w:bCs/>
          <w:color w:val="auto"/>
          <w:sz w:val="24"/>
          <w:highlight w:val="none"/>
        </w:rPr>
        <w:t>系统开发过程中要根据安全与保密的有关规定，严格区分对内、对外的操作权限和信息权限，确保信息安全。应提升系统的安全性和可追溯性，能够通过功能实现的业务，均需通过软件固化</w:t>
      </w:r>
      <w:r>
        <w:rPr>
          <w:rFonts w:hint="eastAsia"/>
          <w:bCs/>
          <w:color w:val="auto"/>
          <w:sz w:val="24"/>
          <w:highlight w:val="none"/>
        </w:rPr>
        <w:t>，</w:t>
      </w:r>
      <w:r>
        <w:rPr>
          <w:bCs/>
          <w:color w:val="auto"/>
          <w:sz w:val="24"/>
          <w:highlight w:val="none"/>
        </w:rPr>
        <w:t>避免直接操作数据库等不安全行为。</w:t>
      </w:r>
    </w:p>
    <w:p w14:paraId="211D6FD2">
      <w:pPr>
        <w:shd w:val="clear"/>
        <w:spacing w:after="0" w:line="360" w:lineRule="auto"/>
        <w:ind w:firstLine="482"/>
        <w:contextualSpacing/>
        <w:outlineLvl w:val="2"/>
        <w:rPr>
          <w:bCs/>
          <w:color w:val="auto"/>
          <w:sz w:val="24"/>
          <w:highlight w:val="none"/>
        </w:rPr>
      </w:pPr>
      <w:r>
        <w:rPr>
          <w:bCs/>
          <w:color w:val="auto"/>
          <w:sz w:val="24"/>
          <w:highlight w:val="none"/>
        </w:rPr>
        <w:t>2.1.5</w:t>
      </w:r>
      <w:r>
        <w:rPr>
          <w:rFonts w:hint="eastAsia"/>
          <w:bCs/>
          <w:color w:val="auto"/>
          <w:sz w:val="24"/>
          <w:highlight w:val="none"/>
        </w:rPr>
        <w:t xml:space="preserve"> </w:t>
      </w:r>
      <w:r>
        <w:rPr>
          <w:bCs/>
          <w:color w:val="auto"/>
          <w:sz w:val="24"/>
          <w:highlight w:val="none"/>
        </w:rPr>
        <w:t>性能需求</w:t>
      </w:r>
    </w:p>
    <w:p w14:paraId="7DF17D37">
      <w:pPr>
        <w:shd w:val="clear"/>
        <w:spacing w:after="0" w:line="360" w:lineRule="auto"/>
        <w:ind w:firstLine="482"/>
        <w:contextualSpacing/>
        <w:outlineLvl w:val="2"/>
        <w:rPr>
          <w:bCs/>
          <w:color w:val="auto"/>
          <w:sz w:val="24"/>
          <w:highlight w:val="none"/>
        </w:rPr>
      </w:pPr>
      <w:r>
        <w:rPr>
          <w:bCs/>
          <w:color w:val="auto"/>
          <w:sz w:val="24"/>
          <w:highlight w:val="none"/>
        </w:rPr>
        <w:t>1）易用性</w:t>
      </w:r>
    </w:p>
    <w:p w14:paraId="7493AA3B">
      <w:pPr>
        <w:shd w:val="clear"/>
        <w:spacing w:after="0" w:line="360" w:lineRule="auto"/>
        <w:ind w:firstLine="482"/>
        <w:contextualSpacing/>
        <w:outlineLvl w:val="2"/>
        <w:rPr>
          <w:bCs/>
          <w:color w:val="auto"/>
          <w:sz w:val="24"/>
          <w:highlight w:val="none"/>
        </w:rPr>
      </w:pPr>
      <w:r>
        <w:rPr>
          <w:bCs/>
          <w:color w:val="auto"/>
          <w:sz w:val="24"/>
          <w:highlight w:val="none"/>
        </w:rPr>
        <w:t xml:space="preserve">因为本系统涉及的业务点多面广、用户多、职能范围存在交叉。所以，要求注重系统的界面布局、菜单的设计、应用展示等方面的设计，遵循友好、直观，简洁的设计思路，体现对用户使用过程的正确引导。 </w:t>
      </w:r>
    </w:p>
    <w:p w14:paraId="53658DC3">
      <w:pPr>
        <w:shd w:val="clear"/>
        <w:spacing w:after="0" w:line="360" w:lineRule="auto"/>
        <w:ind w:firstLine="482"/>
        <w:contextualSpacing/>
        <w:outlineLvl w:val="2"/>
        <w:rPr>
          <w:bCs/>
          <w:color w:val="auto"/>
          <w:sz w:val="24"/>
          <w:highlight w:val="none"/>
        </w:rPr>
      </w:pPr>
      <w:r>
        <w:rPr>
          <w:bCs/>
          <w:color w:val="auto"/>
          <w:sz w:val="24"/>
          <w:highlight w:val="none"/>
        </w:rPr>
        <w:t>2）易维护</w:t>
      </w:r>
    </w:p>
    <w:p w14:paraId="08159AB6">
      <w:pPr>
        <w:shd w:val="clear"/>
        <w:spacing w:after="0" w:line="360" w:lineRule="auto"/>
        <w:ind w:firstLine="482"/>
        <w:contextualSpacing/>
        <w:outlineLvl w:val="2"/>
        <w:rPr>
          <w:bCs/>
          <w:color w:val="auto"/>
          <w:sz w:val="24"/>
          <w:highlight w:val="none"/>
        </w:rPr>
      </w:pPr>
      <w:r>
        <w:rPr>
          <w:bCs/>
          <w:color w:val="auto"/>
          <w:sz w:val="24"/>
          <w:highlight w:val="none"/>
        </w:rPr>
        <w:t>需要提供系统正常运行所必须的管理和维护功能，包括：数据备份与恢复、应用系统管理、信息内容管理、用户权限管理、代码维护等。</w:t>
      </w:r>
    </w:p>
    <w:p w14:paraId="52293138">
      <w:pPr>
        <w:shd w:val="clear"/>
        <w:spacing w:after="0" w:line="360" w:lineRule="auto"/>
        <w:ind w:firstLine="482"/>
        <w:contextualSpacing/>
        <w:outlineLvl w:val="2"/>
        <w:rPr>
          <w:bCs/>
          <w:color w:val="auto"/>
          <w:sz w:val="24"/>
          <w:highlight w:val="none"/>
        </w:rPr>
      </w:pPr>
      <w:r>
        <w:rPr>
          <w:bCs/>
          <w:color w:val="auto"/>
          <w:sz w:val="24"/>
          <w:highlight w:val="none"/>
        </w:rPr>
        <w:t>3）可扩展</w:t>
      </w:r>
    </w:p>
    <w:p w14:paraId="453BD317">
      <w:pPr>
        <w:shd w:val="clear"/>
        <w:spacing w:after="0" w:line="360" w:lineRule="auto"/>
        <w:ind w:firstLine="482"/>
        <w:contextualSpacing/>
        <w:outlineLvl w:val="2"/>
        <w:rPr>
          <w:bCs/>
          <w:color w:val="auto"/>
          <w:sz w:val="24"/>
          <w:highlight w:val="none"/>
        </w:rPr>
      </w:pPr>
      <w:r>
        <w:rPr>
          <w:bCs/>
          <w:color w:val="auto"/>
          <w:sz w:val="24"/>
          <w:highlight w:val="none"/>
        </w:rPr>
        <w:t>需要采用易于扩展的系统架构进行各项功能的开发实现，便于今后在进行业务功能扩展时能够快速实现功能调整，顺利实现与新系统、新功能、新数据项的对接，最大程度的体现系统的兼容性。</w:t>
      </w:r>
    </w:p>
    <w:p w14:paraId="2A19C024">
      <w:pPr>
        <w:shd w:val="clear"/>
        <w:spacing w:after="0" w:line="360" w:lineRule="auto"/>
        <w:ind w:firstLine="482"/>
        <w:contextualSpacing/>
        <w:outlineLvl w:val="2"/>
        <w:rPr>
          <w:bCs/>
          <w:color w:val="auto"/>
          <w:sz w:val="24"/>
          <w:highlight w:val="none"/>
        </w:rPr>
      </w:pPr>
      <w:r>
        <w:rPr>
          <w:bCs/>
          <w:color w:val="auto"/>
          <w:sz w:val="24"/>
          <w:highlight w:val="none"/>
        </w:rPr>
        <w:t>4）可靠性</w:t>
      </w:r>
    </w:p>
    <w:p w14:paraId="4C809C26">
      <w:pPr>
        <w:shd w:val="clear"/>
        <w:spacing w:after="0" w:line="360" w:lineRule="auto"/>
        <w:ind w:firstLine="482"/>
        <w:contextualSpacing/>
        <w:outlineLvl w:val="2"/>
        <w:rPr>
          <w:bCs/>
          <w:color w:val="auto"/>
          <w:sz w:val="24"/>
          <w:highlight w:val="none"/>
        </w:rPr>
      </w:pPr>
      <w:r>
        <w:rPr>
          <w:bCs/>
          <w:color w:val="auto"/>
          <w:sz w:val="24"/>
          <w:highlight w:val="none"/>
        </w:rPr>
        <w:t>本项目建设的北京市积分落户系统要能够满足7*24小时的运行要求，系统可用性要求达到99.9%，即全年宕机的时间控制在8.</w:t>
      </w:r>
      <w:r>
        <w:rPr>
          <w:rFonts w:hint="eastAsia"/>
          <w:bCs/>
          <w:color w:val="auto"/>
          <w:sz w:val="24"/>
          <w:highlight w:val="none"/>
        </w:rPr>
        <w:t>5</w:t>
      </w:r>
      <w:r>
        <w:rPr>
          <w:bCs/>
          <w:color w:val="auto"/>
          <w:sz w:val="24"/>
          <w:highlight w:val="none"/>
        </w:rPr>
        <w:t>小时内。</w:t>
      </w:r>
    </w:p>
    <w:p w14:paraId="3D66D6BA">
      <w:pPr>
        <w:shd w:val="clear"/>
        <w:spacing w:after="0" w:line="360" w:lineRule="auto"/>
        <w:ind w:firstLine="482"/>
        <w:contextualSpacing/>
        <w:outlineLvl w:val="2"/>
        <w:rPr>
          <w:bCs/>
          <w:color w:val="auto"/>
          <w:sz w:val="24"/>
          <w:highlight w:val="none"/>
        </w:rPr>
      </w:pPr>
      <w:r>
        <w:rPr>
          <w:bCs/>
          <w:color w:val="auto"/>
          <w:sz w:val="24"/>
          <w:highlight w:val="none"/>
        </w:rPr>
        <w:t>具体性能指标：</w:t>
      </w:r>
    </w:p>
    <w:tbl>
      <w:tblPr>
        <w:tblStyle w:val="4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4620"/>
        <w:gridCol w:w="1338"/>
      </w:tblGrid>
      <w:tr w14:paraId="723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7C2A67C4">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名称</w:t>
            </w:r>
          </w:p>
        </w:tc>
        <w:tc>
          <w:tcPr>
            <w:tcW w:w="4620" w:type="dxa"/>
            <w:vAlign w:val="center"/>
          </w:tcPr>
          <w:p w14:paraId="7D9924B1">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要求</w:t>
            </w:r>
          </w:p>
        </w:tc>
        <w:tc>
          <w:tcPr>
            <w:tcW w:w="1338" w:type="dxa"/>
            <w:vAlign w:val="center"/>
          </w:tcPr>
          <w:p w14:paraId="1AB535F2">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备注</w:t>
            </w:r>
          </w:p>
        </w:tc>
      </w:tr>
      <w:tr w14:paraId="5FB1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247CCA84">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用户并发数</w:t>
            </w:r>
          </w:p>
        </w:tc>
        <w:tc>
          <w:tcPr>
            <w:tcW w:w="4620" w:type="dxa"/>
            <w:vAlign w:val="center"/>
          </w:tcPr>
          <w:p w14:paraId="53EAAFC2">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系统后台应支持至少</w:t>
            </w:r>
            <w:r>
              <w:rPr>
                <w:rFonts w:asciiTheme="minorHAnsi" w:hAnsiTheme="minorHAnsi" w:eastAsiaTheme="minorEastAsia" w:cstheme="minorBidi"/>
                <w:bCs/>
                <w:color w:val="auto"/>
                <w:sz w:val="24"/>
                <w:highlight w:val="none"/>
              </w:rPr>
              <w:t>1</w:t>
            </w:r>
            <w:r>
              <w:rPr>
                <w:rFonts w:hint="eastAsia" w:asciiTheme="minorHAnsi" w:hAnsiTheme="minorHAnsi" w:eastAsiaTheme="minorEastAsia" w:cstheme="minorBidi"/>
                <w:bCs/>
                <w:color w:val="auto"/>
                <w:sz w:val="24"/>
                <w:highlight w:val="none"/>
              </w:rPr>
              <w:t>00用户的同时在线</w:t>
            </w:r>
          </w:p>
        </w:tc>
        <w:tc>
          <w:tcPr>
            <w:tcW w:w="1338" w:type="dxa"/>
            <w:vAlign w:val="center"/>
          </w:tcPr>
          <w:p w14:paraId="01E4B393">
            <w:pPr>
              <w:shd w:val="clear"/>
              <w:spacing w:after="0" w:line="240" w:lineRule="auto"/>
              <w:contextualSpacing/>
              <w:rPr>
                <w:rFonts w:asciiTheme="minorHAnsi" w:hAnsiTheme="minorHAnsi" w:eastAsiaTheme="minorEastAsia" w:cstheme="minorBidi"/>
                <w:bCs/>
                <w:color w:val="auto"/>
                <w:sz w:val="24"/>
                <w:highlight w:val="none"/>
              </w:rPr>
            </w:pPr>
          </w:p>
        </w:tc>
      </w:tr>
      <w:tr w14:paraId="3809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797A4EC7">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响应速度与访问速度</w:t>
            </w:r>
          </w:p>
          <w:p w14:paraId="474A425E">
            <w:pPr>
              <w:shd w:val="clear"/>
              <w:spacing w:after="0" w:line="240" w:lineRule="auto"/>
              <w:contextualSpacing/>
              <w:rPr>
                <w:rFonts w:asciiTheme="minorHAnsi" w:hAnsiTheme="minorHAnsi" w:eastAsiaTheme="minorEastAsia" w:cstheme="minorBidi"/>
                <w:bCs/>
                <w:color w:val="auto"/>
                <w:sz w:val="24"/>
                <w:highlight w:val="none"/>
              </w:rPr>
            </w:pPr>
          </w:p>
          <w:p w14:paraId="406DFC1D">
            <w:pPr>
              <w:shd w:val="clear"/>
              <w:spacing w:after="0" w:line="240" w:lineRule="auto"/>
              <w:contextualSpacing/>
              <w:rPr>
                <w:rFonts w:asciiTheme="minorHAnsi" w:hAnsiTheme="minorHAnsi" w:eastAsiaTheme="minorEastAsia" w:cstheme="minorBidi"/>
                <w:bCs/>
                <w:color w:val="auto"/>
                <w:sz w:val="24"/>
                <w:highlight w:val="none"/>
              </w:rPr>
            </w:pPr>
          </w:p>
        </w:tc>
        <w:tc>
          <w:tcPr>
            <w:tcW w:w="4620" w:type="dxa"/>
            <w:vAlign w:val="center"/>
          </w:tcPr>
          <w:p w14:paraId="111EAC1B">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交互类业务的平均响应时间&lt;=</w:t>
            </w:r>
            <w:r>
              <w:rPr>
                <w:rFonts w:asciiTheme="minorHAnsi" w:hAnsiTheme="minorHAnsi" w:eastAsiaTheme="minorEastAsia" w:cstheme="minorBidi"/>
                <w:bCs/>
                <w:color w:val="auto"/>
                <w:sz w:val="24"/>
                <w:highlight w:val="none"/>
              </w:rPr>
              <w:t>3</w:t>
            </w:r>
            <w:r>
              <w:rPr>
                <w:rFonts w:hint="eastAsia" w:asciiTheme="minorHAnsi" w:hAnsiTheme="minorHAnsi" w:eastAsiaTheme="minorEastAsia" w:cstheme="minorBidi"/>
                <w:bCs/>
                <w:color w:val="auto"/>
                <w:sz w:val="24"/>
                <w:highlight w:val="none"/>
              </w:rPr>
              <w:t>秒</w:t>
            </w:r>
          </w:p>
          <w:p w14:paraId="65667AAB">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简单查询平均响应时间：1-3秒</w:t>
            </w:r>
          </w:p>
          <w:p w14:paraId="2829676C">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复杂查询平均响应时间：5-10秒</w:t>
            </w:r>
          </w:p>
          <w:p w14:paraId="0233C9E6">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应用网页平均响应时间&lt;=3秒，峰值&lt;=10秒</w:t>
            </w:r>
          </w:p>
        </w:tc>
        <w:tc>
          <w:tcPr>
            <w:tcW w:w="1338" w:type="dxa"/>
            <w:vAlign w:val="center"/>
          </w:tcPr>
          <w:p w14:paraId="448799DD">
            <w:pPr>
              <w:shd w:val="clear"/>
              <w:spacing w:after="0" w:line="240" w:lineRule="auto"/>
              <w:contextualSpacing/>
              <w:rPr>
                <w:rFonts w:asciiTheme="minorHAnsi" w:hAnsiTheme="minorHAnsi" w:eastAsiaTheme="minorEastAsia" w:cstheme="minorBidi"/>
                <w:bCs/>
                <w:color w:val="auto"/>
                <w:sz w:val="24"/>
                <w:highlight w:val="none"/>
              </w:rPr>
            </w:pPr>
          </w:p>
        </w:tc>
      </w:tr>
      <w:tr w14:paraId="602E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09F24AB4">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可靠性</w:t>
            </w:r>
          </w:p>
        </w:tc>
        <w:tc>
          <w:tcPr>
            <w:tcW w:w="4620" w:type="dxa"/>
            <w:vAlign w:val="center"/>
          </w:tcPr>
          <w:p w14:paraId="6CF08DEA">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1.能够满足7*24小时的运行要求</w:t>
            </w:r>
          </w:p>
          <w:p w14:paraId="43D99F18">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2.系统可用性要求达到99.9%，即全年宕机的时间控制在8.5小时内</w:t>
            </w:r>
          </w:p>
        </w:tc>
        <w:tc>
          <w:tcPr>
            <w:tcW w:w="1338" w:type="dxa"/>
            <w:vAlign w:val="center"/>
          </w:tcPr>
          <w:p w14:paraId="40AEFE0B">
            <w:pPr>
              <w:shd w:val="clear"/>
              <w:spacing w:after="0" w:line="240" w:lineRule="auto"/>
              <w:contextualSpacing/>
              <w:rPr>
                <w:rFonts w:asciiTheme="minorHAnsi" w:hAnsiTheme="minorHAnsi" w:eastAsiaTheme="minorEastAsia" w:cstheme="minorBidi"/>
                <w:bCs/>
                <w:color w:val="auto"/>
                <w:sz w:val="24"/>
                <w:highlight w:val="none"/>
              </w:rPr>
            </w:pPr>
          </w:p>
        </w:tc>
      </w:tr>
    </w:tbl>
    <w:p w14:paraId="50B50BCA">
      <w:pPr>
        <w:shd w:val="clear"/>
        <w:spacing w:line="360" w:lineRule="auto"/>
        <w:ind w:firstLine="482"/>
        <w:contextualSpacing/>
        <w:outlineLvl w:val="2"/>
        <w:rPr>
          <w:bCs/>
          <w:color w:val="auto"/>
          <w:sz w:val="24"/>
          <w:highlight w:val="none"/>
        </w:rPr>
      </w:pPr>
      <w:r>
        <w:rPr>
          <w:bCs/>
          <w:color w:val="auto"/>
          <w:sz w:val="24"/>
          <w:highlight w:val="none"/>
        </w:rPr>
        <w:t>2.2</w:t>
      </w:r>
      <w:r>
        <w:rPr>
          <w:rFonts w:hint="eastAsia"/>
          <w:bCs/>
          <w:color w:val="auto"/>
          <w:sz w:val="24"/>
          <w:highlight w:val="none"/>
        </w:rPr>
        <w:t xml:space="preserve"> </w:t>
      </w:r>
      <w:r>
        <w:rPr>
          <w:bCs/>
          <w:color w:val="auto"/>
          <w:sz w:val="24"/>
          <w:highlight w:val="none"/>
        </w:rPr>
        <w:t>采购标的需满足的服务标准、期限、效率等要求</w:t>
      </w:r>
    </w:p>
    <w:p w14:paraId="7FB6BAD9">
      <w:pPr>
        <w:shd w:val="clear"/>
        <w:spacing w:after="0" w:line="360" w:lineRule="auto"/>
        <w:ind w:firstLine="482"/>
        <w:contextualSpacing/>
        <w:outlineLvl w:val="2"/>
        <w:rPr>
          <w:bCs/>
          <w:color w:val="auto"/>
          <w:sz w:val="24"/>
          <w:highlight w:val="none"/>
        </w:rPr>
      </w:pPr>
      <w:r>
        <w:rPr>
          <w:bCs/>
          <w:color w:val="auto"/>
          <w:sz w:val="24"/>
          <w:highlight w:val="none"/>
        </w:rPr>
        <w:t>售后要求</w:t>
      </w:r>
      <w:r>
        <w:rPr>
          <w:rFonts w:hint="eastAsia"/>
          <w:bCs/>
          <w:color w:val="auto"/>
          <w:sz w:val="24"/>
          <w:highlight w:val="none"/>
        </w:rPr>
        <w:t>：</w:t>
      </w:r>
    </w:p>
    <w:p w14:paraId="64E96793">
      <w:pPr>
        <w:shd w:val="clear"/>
        <w:spacing w:after="0" w:line="360" w:lineRule="auto"/>
        <w:ind w:firstLine="482"/>
        <w:contextualSpacing/>
        <w:outlineLvl w:val="2"/>
        <w:rPr>
          <w:bCs/>
          <w:color w:val="auto"/>
          <w:sz w:val="24"/>
          <w:highlight w:val="none"/>
        </w:rPr>
      </w:pPr>
      <w:r>
        <w:rPr>
          <w:bCs/>
          <w:color w:val="auto"/>
          <w:sz w:val="24"/>
          <w:highlight w:val="none"/>
        </w:rPr>
        <w:t>软件开发单位应在北京范围内具有研发、实施、维护的技术力量，确保技术支持服务的及时性。软件开发单位的项目组成员应对本项目采用的产品具有实际的开发和管理经验，能够指导业务系统开发部署等工作。</w:t>
      </w:r>
    </w:p>
    <w:p w14:paraId="42CFFFEB">
      <w:pPr>
        <w:shd w:val="clear"/>
        <w:spacing w:after="0" w:line="360" w:lineRule="auto"/>
        <w:ind w:firstLine="482"/>
        <w:contextualSpacing/>
        <w:outlineLvl w:val="2"/>
        <w:rPr>
          <w:bCs/>
          <w:color w:val="auto"/>
          <w:sz w:val="24"/>
          <w:highlight w:val="none"/>
        </w:rPr>
      </w:pPr>
      <w:r>
        <w:rPr>
          <w:bCs/>
          <w:color w:val="auto"/>
          <w:sz w:val="24"/>
          <w:highlight w:val="none"/>
        </w:rPr>
        <w:t>1）自验收之日起，提供</w:t>
      </w:r>
      <w:r>
        <w:rPr>
          <w:rFonts w:hint="eastAsia"/>
          <w:bCs/>
          <w:color w:val="auto"/>
          <w:sz w:val="24"/>
          <w:highlight w:val="none"/>
          <w:lang w:eastAsia="zh-CN"/>
        </w:rPr>
        <w:t>两</w:t>
      </w:r>
      <w:r>
        <w:rPr>
          <w:bCs/>
          <w:color w:val="auto"/>
          <w:sz w:val="24"/>
          <w:highlight w:val="none"/>
        </w:rPr>
        <w:t>年的免费维护服务，包括一般性需求调整和功能完善。在系统使用的周期内，提供技术支持</w:t>
      </w:r>
      <w:r>
        <w:rPr>
          <w:rFonts w:hint="eastAsia"/>
          <w:bCs/>
          <w:color w:val="auto"/>
          <w:sz w:val="24"/>
          <w:highlight w:val="none"/>
        </w:rPr>
        <w:t>。</w:t>
      </w:r>
    </w:p>
    <w:p w14:paraId="78B797BD">
      <w:pPr>
        <w:shd w:val="clear"/>
        <w:spacing w:after="0" w:line="360" w:lineRule="auto"/>
        <w:ind w:firstLine="482"/>
        <w:contextualSpacing/>
        <w:outlineLvl w:val="2"/>
        <w:rPr>
          <w:bCs/>
          <w:color w:val="auto"/>
          <w:sz w:val="24"/>
          <w:highlight w:val="none"/>
        </w:rPr>
      </w:pPr>
      <w:r>
        <w:rPr>
          <w:bCs/>
          <w:color w:val="auto"/>
          <w:sz w:val="24"/>
          <w:highlight w:val="none"/>
        </w:rPr>
        <w:t>2）在系统使用周期内，提供技术支持，包括常驻现场支持、电话支持远程支持、邮件支持等</w:t>
      </w:r>
      <w:r>
        <w:rPr>
          <w:rFonts w:hint="eastAsia"/>
          <w:bCs/>
          <w:color w:val="auto"/>
          <w:sz w:val="24"/>
          <w:highlight w:val="none"/>
        </w:rPr>
        <w:t>。</w:t>
      </w:r>
    </w:p>
    <w:p w14:paraId="12A79DC0">
      <w:pPr>
        <w:shd w:val="clear"/>
        <w:spacing w:after="0" w:line="360" w:lineRule="auto"/>
        <w:ind w:firstLine="482"/>
        <w:contextualSpacing/>
        <w:outlineLvl w:val="2"/>
        <w:rPr>
          <w:bCs/>
          <w:color w:val="auto"/>
          <w:sz w:val="24"/>
          <w:highlight w:val="none"/>
        </w:rPr>
      </w:pPr>
      <w:r>
        <w:rPr>
          <w:bCs/>
          <w:color w:val="auto"/>
          <w:sz w:val="24"/>
          <w:highlight w:val="none"/>
        </w:rPr>
        <w:t>3）配置能胜任本项目日常技术维护工作的技术人员</w:t>
      </w:r>
      <w:r>
        <w:rPr>
          <w:rFonts w:hint="eastAsia"/>
          <w:bCs/>
          <w:color w:val="auto"/>
          <w:sz w:val="24"/>
          <w:highlight w:val="none"/>
        </w:rPr>
        <w:t>不少于5人</w:t>
      </w:r>
      <w:r>
        <w:rPr>
          <w:rFonts w:hint="eastAsia"/>
          <w:bCs/>
          <w:color w:val="auto"/>
          <w:sz w:val="24"/>
          <w:highlight w:val="none"/>
          <w:lang w:eastAsia="zh-CN"/>
        </w:rPr>
        <w:t>，</w:t>
      </w:r>
      <w:r>
        <w:rPr>
          <w:rFonts w:hint="eastAsia"/>
          <w:bCs/>
          <w:color w:val="auto"/>
          <w:sz w:val="24"/>
          <w:highlight w:val="none"/>
        </w:rPr>
        <w:t>且可提供运维服务人员社保证明，但不得与设计、开发团队人员重复，</w:t>
      </w:r>
      <w:r>
        <w:rPr>
          <w:bCs/>
          <w:color w:val="auto"/>
          <w:sz w:val="24"/>
          <w:highlight w:val="none"/>
        </w:rPr>
        <w:t>提供长期良好的本地化技术支持</w:t>
      </w:r>
      <w:r>
        <w:rPr>
          <w:rFonts w:hint="eastAsia"/>
          <w:bCs/>
          <w:color w:val="auto"/>
          <w:sz w:val="24"/>
          <w:highlight w:val="none"/>
        </w:rPr>
        <w:t>。</w:t>
      </w:r>
    </w:p>
    <w:p w14:paraId="165A72D1">
      <w:pPr>
        <w:shd w:val="clear"/>
        <w:spacing w:after="0" w:line="360" w:lineRule="auto"/>
        <w:ind w:firstLine="482"/>
        <w:contextualSpacing/>
        <w:outlineLvl w:val="2"/>
        <w:rPr>
          <w:bCs/>
          <w:color w:val="auto"/>
          <w:sz w:val="24"/>
          <w:highlight w:val="none"/>
        </w:rPr>
      </w:pPr>
      <w:r>
        <w:rPr>
          <w:bCs/>
          <w:color w:val="auto"/>
          <w:sz w:val="24"/>
          <w:highlight w:val="none"/>
        </w:rPr>
        <w:t>4）在质保期内，应提供7</w:t>
      </w:r>
      <w:r>
        <w:rPr>
          <w:rFonts w:hint="eastAsia" w:asciiTheme="minorHAnsi" w:hAnsiTheme="minorHAnsi" w:eastAsiaTheme="minorEastAsia" w:cstheme="minorBidi"/>
          <w:bCs/>
          <w:color w:val="auto"/>
          <w:sz w:val="24"/>
          <w:highlight w:val="none"/>
        </w:rPr>
        <w:t>*</w:t>
      </w:r>
      <w:r>
        <w:rPr>
          <w:bCs/>
          <w:color w:val="auto"/>
          <w:sz w:val="24"/>
          <w:highlight w:val="none"/>
        </w:rPr>
        <w:t>24小时响应服务。软件故障维护，要求1小时内提供远程技术服务响应</w:t>
      </w:r>
      <w:r>
        <w:rPr>
          <w:rFonts w:hint="eastAsia"/>
          <w:bCs/>
          <w:color w:val="auto"/>
          <w:sz w:val="24"/>
          <w:highlight w:val="none"/>
        </w:rPr>
        <w:t>；</w:t>
      </w:r>
      <w:r>
        <w:rPr>
          <w:bCs/>
          <w:color w:val="auto"/>
          <w:sz w:val="24"/>
          <w:highlight w:val="none"/>
        </w:rPr>
        <w:t>如不能远程解决，维护人员应在2小时内到达现场，并在24个小时内排除故障</w:t>
      </w:r>
      <w:r>
        <w:rPr>
          <w:rFonts w:hint="eastAsia"/>
          <w:bCs/>
          <w:color w:val="auto"/>
          <w:sz w:val="24"/>
          <w:highlight w:val="none"/>
        </w:rPr>
        <w:t xml:space="preserve">。 </w:t>
      </w:r>
    </w:p>
    <w:p w14:paraId="17AC6001">
      <w:pPr>
        <w:shd w:val="clear"/>
        <w:spacing w:after="0" w:line="360" w:lineRule="auto"/>
        <w:ind w:firstLine="482"/>
        <w:contextualSpacing/>
        <w:outlineLvl w:val="2"/>
        <w:rPr>
          <w:bCs/>
          <w:color w:val="auto"/>
          <w:sz w:val="24"/>
          <w:highlight w:val="none"/>
        </w:rPr>
      </w:pPr>
      <w:r>
        <w:rPr>
          <w:bCs/>
          <w:color w:val="auto"/>
          <w:sz w:val="24"/>
          <w:highlight w:val="none"/>
        </w:rPr>
        <w:t>5）休息时间及节假日技术保障</w:t>
      </w:r>
      <w:r>
        <w:rPr>
          <w:rFonts w:hint="eastAsia"/>
          <w:bCs/>
          <w:color w:val="auto"/>
          <w:sz w:val="24"/>
          <w:highlight w:val="none"/>
        </w:rPr>
        <w:t>：</w:t>
      </w:r>
      <w:r>
        <w:rPr>
          <w:bCs/>
          <w:color w:val="auto"/>
          <w:sz w:val="24"/>
          <w:highlight w:val="none"/>
        </w:rPr>
        <w:t>在每年的五一、十一、元旦、春节等国家法定节假日期间，按照用户的要求完成特殊的应急服务工作。</w:t>
      </w:r>
    </w:p>
    <w:p w14:paraId="672D581D">
      <w:pPr>
        <w:shd w:val="clear"/>
        <w:spacing w:after="0" w:line="360" w:lineRule="auto"/>
        <w:ind w:firstLine="482"/>
        <w:contextualSpacing/>
        <w:outlineLvl w:val="2"/>
        <w:rPr>
          <w:bCs/>
          <w:color w:val="auto"/>
          <w:sz w:val="24"/>
          <w:highlight w:val="none"/>
        </w:rPr>
      </w:pPr>
      <w:r>
        <w:rPr>
          <w:bCs/>
          <w:color w:val="auto"/>
          <w:sz w:val="24"/>
          <w:highlight w:val="none"/>
        </w:rPr>
        <w:t>2.3</w:t>
      </w:r>
      <w:r>
        <w:rPr>
          <w:rFonts w:hint="eastAsia"/>
          <w:bCs/>
          <w:color w:val="auto"/>
          <w:sz w:val="24"/>
          <w:highlight w:val="none"/>
        </w:rPr>
        <w:t xml:space="preserve"> </w:t>
      </w:r>
      <w:r>
        <w:rPr>
          <w:bCs/>
          <w:color w:val="auto"/>
          <w:sz w:val="24"/>
          <w:highlight w:val="none"/>
        </w:rPr>
        <w:t>采购标的的其他技术、服务等要求</w:t>
      </w:r>
    </w:p>
    <w:p w14:paraId="61D29E9E">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2.3.1 </w:t>
      </w:r>
      <w:r>
        <w:rPr>
          <w:bCs/>
          <w:color w:val="auto"/>
          <w:sz w:val="24"/>
          <w:highlight w:val="none"/>
        </w:rPr>
        <w:t>项目团队要求</w:t>
      </w:r>
    </w:p>
    <w:p w14:paraId="03CF3F1E">
      <w:pPr>
        <w:shd w:val="clear"/>
        <w:spacing w:after="0" w:line="360" w:lineRule="auto"/>
        <w:ind w:firstLine="482"/>
        <w:contextualSpacing/>
        <w:outlineLvl w:val="2"/>
        <w:rPr>
          <w:bCs/>
          <w:color w:val="auto"/>
          <w:sz w:val="24"/>
          <w:highlight w:val="none"/>
        </w:rPr>
      </w:pPr>
      <w:bookmarkStart w:id="682" w:name="OLE_LINK16"/>
      <w:r>
        <w:rPr>
          <w:rFonts w:hint="eastAsia"/>
          <w:bCs/>
          <w:color w:val="auto"/>
          <w:sz w:val="24"/>
          <w:highlight w:val="none"/>
        </w:rPr>
        <w:t>供应商</w:t>
      </w:r>
      <w:r>
        <w:rPr>
          <w:bCs/>
          <w:color w:val="auto"/>
          <w:sz w:val="24"/>
          <w:highlight w:val="none"/>
        </w:rPr>
        <w:t>应投入履行项目的实施人员，包括1名专职项目经理及完善的核心技术人员团队。成员角色包括但不限于架构师、需求分析师、美工、开发工程师、测试工程师等。</w:t>
      </w:r>
    </w:p>
    <w:p w14:paraId="53A66D06">
      <w:pPr>
        <w:shd w:val="clear"/>
        <w:spacing w:after="0" w:line="360" w:lineRule="auto"/>
        <w:ind w:firstLine="482"/>
        <w:contextualSpacing/>
        <w:outlineLvl w:val="2"/>
        <w:rPr>
          <w:bCs/>
          <w:color w:val="auto"/>
          <w:sz w:val="24"/>
          <w:highlight w:val="none"/>
        </w:rPr>
      </w:pPr>
      <w:r>
        <w:rPr>
          <w:bCs/>
          <w:color w:val="auto"/>
          <w:sz w:val="24"/>
          <w:highlight w:val="none"/>
        </w:rPr>
        <w:t>核心技术人员必须具备丰富的系统设计和软件开发经验，能够与用户进行良好的沟通，具备相关产品设计、开发、测试及部署能力，需具备强烈的服务意识和高度的责任感。</w:t>
      </w:r>
    </w:p>
    <w:bookmarkEnd w:id="682"/>
    <w:p w14:paraId="38C7B46F">
      <w:pPr>
        <w:shd w:val="clear"/>
        <w:spacing w:after="0" w:line="360" w:lineRule="auto"/>
        <w:ind w:firstLine="482"/>
        <w:contextualSpacing/>
        <w:outlineLvl w:val="2"/>
        <w:rPr>
          <w:rFonts w:hint="eastAsia"/>
          <w:bCs/>
          <w:color w:val="auto"/>
          <w:sz w:val="24"/>
          <w:highlight w:val="none"/>
        </w:rPr>
      </w:pPr>
      <w:r>
        <w:rPr>
          <w:rFonts w:hint="eastAsia"/>
          <w:bCs/>
          <w:color w:val="auto"/>
          <w:sz w:val="24"/>
          <w:highlight w:val="none"/>
        </w:rPr>
        <w:t>供应商</w:t>
      </w:r>
      <w:r>
        <w:rPr>
          <w:bCs/>
          <w:color w:val="auto"/>
          <w:sz w:val="24"/>
          <w:highlight w:val="none"/>
        </w:rPr>
        <w:t>需在</w:t>
      </w:r>
      <w:r>
        <w:rPr>
          <w:rFonts w:hint="eastAsia"/>
          <w:bCs/>
          <w:color w:val="auto"/>
          <w:sz w:val="24"/>
          <w:highlight w:val="none"/>
        </w:rPr>
        <w:t>响应文件</w:t>
      </w:r>
      <w:r>
        <w:rPr>
          <w:bCs/>
          <w:color w:val="auto"/>
          <w:sz w:val="24"/>
          <w:highlight w:val="none"/>
        </w:rPr>
        <w:t>中明确人员清单，并提供必要的资质证明文件。</w:t>
      </w:r>
    </w:p>
    <w:p w14:paraId="08118C2A">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2.3.2 </w:t>
      </w:r>
      <w:r>
        <w:rPr>
          <w:bCs/>
          <w:color w:val="auto"/>
          <w:sz w:val="24"/>
          <w:highlight w:val="none"/>
        </w:rPr>
        <w:t>提交的成果</w:t>
      </w:r>
    </w:p>
    <w:p w14:paraId="663FA3EF">
      <w:pPr>
        <w:shd w:val="clear"/>
        <w:spacing w:after="0" w:line="360" w:lineRule="auto"/>
        <w:ind w:firstLine="482"/>
        <w:contextualSpacing/>
        <w:rPr>
          <w:color w:val="auto"/>
          <w:highlight w:val="none"/>
        </w:rPr>
      </w:pPr>
      <w:r>
        <w:rPr>
          <w:bCs/>
          <w:color w:val="auto"/>
          <w:sz w:val="24"/>
          <w:highlight w:val="none"/>
        </w:rPr>
        <w:t>在本项目实施过程中</w:t>
      </w:r>
      <w:r>
        <w:rPr>
          <w:rFonts w:hint="eastAsia"/>
          <w:bCs/>
          <w:color w:val="auto"/>
          <w:sz w:val="24"/>
          <w:highlight w:val="none"/>
        </w:rPr>
        <w:t>，</w:t>
      </w:r>
      <w:r>
        <w:rPr>
          <w:bCs/>
          <w:color w:val="auto"/>
          <w:sz w:val="24"/>
          <w:highlight w:val="none"/>
        </w:rPr>
        <w:t>软件开发单位应按照本项目要求形成全面详尽的技术资料，包括可运行的程序、源代码、标准规范及技术文档等</w:t>
      </w:r>
      <w:r>
        <w:rPr>
          <w:rFonts w:hint="eastAsia"/>
          <w:bCs/>
          <w:color w:val="auto"/>
          <w:sz w:val="24"/>
          <w:highlight w:val="none"/>
        </w:rPr>
        <w:t>（</w:t>
      </w:r>
      <w:r>
        <w:rPr>
          <w:bCs/>
          <w:color w:val="auto"/>
          <w:sz w:val="24"/>
          <w:highlight w:val="none"/>
        </w:rPr>
        <w:t>包含项目验收后调整和补充的项目成果和资料</w:t>
      </w:r>
      <w:r>
        <w:rPr>
          <w:rFonts w:hint="eastAsia"/>
          <w:bCs/>
          <w:color w:val="auto"/>
          <w:sz w:val="24"/>
          <w:highlight w:val="none"/>
        </w:rPr>
        <w:t>）</w:t>
      </w:r>
      <w:r>
        <w:rPr>
          <w:bCs/>
          <w:color w:val="auto"/>
          <w:sz w:val="24"/>
          <w:highlight w:val="none"/>
        </w:rPr>
        <w:t>，确保技术资料的一致性和完整性，并向项目工作组分阶段按时提交。</w:t>
      </w:r>
    </w:p>
    <w:p w14:paraId="2C22D158">
      <w:pPr>
        <w:shd w:val="clear"/>
        <w:spacing w:after="0" w:line="360" w:lineRule="auto"/>
        <w:ind w:firstLine="482"/>
        <w:contextualSpacing/>
        <w:outlineLvl w:val="2"/>
        <w:rPr>
          <w:bCs/>
          <w:color w:val="auto"/>
          <w:sz w:val="24"/>
          <w:highlight w:val="none"/>
        </w:rPr>
      </w:pPr>
      <w:r>
        <w:rPr>
          <w:rFonts w:hint="eastAsia"/>
          <w:bCs/>
          <w:color w:val="auto"/>
          <w:sz w:val="24"/>
          <w:highlight w:val="none"/>
        </w:rPr>
        <w:t>2.4 为落实政府采购政策需满足的要求</w:t>
      </w:r>
    </w:p>
    <w:p w14:paraId="53973739">
      <w:pPr>
        <w:shd w:val="clear"/>
        <w:spacing w:after="0" w:line="360" w:lineRule="auto"/>
        <w:ind w:firstLine="482"/>
        <w:contextualSpacing/>
        <w:outlineLvl w:val="2"/>
        <w:rPr>
          <w:rFonts w:hint="eastAsia" w:eastAsia="宋体"/>
          <w:bCs/>
          <w:color w:val="auto"/>
          <w:sz w:val="24"/>
          <w:highlight w:val="none"/>
          <w:lang w:eastAsia="zh-CN"/>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r>
        <w:rPr>
          <w:rFonts w:hint="eastAsia"/>
          <w:bCs/>
          <w:color w:val="auto"/>
          <w:sz w:val="24"/>
          <w:highlight w:val="none"/>
          <w:lang w:eastAsia="zh-CN"/>
        </w:rPr>
        <w:t>。</w:t>
      </w:r>
    </w:p>
    <w:p w14:paraId="01B057A0">
      <w:pPr>
        <w:shd w:val="clear"/>
        <w:spacing w:line="360" w:lineRule="auto"/>
        <w:contextualSpacing/>
        <w:outlineLvl w:val="1"/>
        <w:rPr>
          <w:bCs/>
          <w:color w:val="auto"/>
          <w:sz w:val="24"/>
          <w:highlight w:val="none"/>
        </w:rPr>
      </w:pPr>
      <w:r>
        <w:rPr>
          <w:bCs/>
          <w:color w:val="auto"/>
          <w:sz w:val="24"/>
          <w:highlight w:val="none"/>
        </w:rPr>
        <w:t>3. 验收方案</w:t>
      </w:r>
    </w:p>
    <w:p w14:paraId="26C08A0B">
      <w:pPr>
        <w:shd w:val="clear"/>
        <w:spacing w:after="0" w:line="360" w:lineRule="auto"/>
        <w:ind w:firstLine="482"/>
        <w:contextualSpacing/>
        <w:outlineLvl w:val="2"/>
        <w:rPr>
          <w:bCs/>
          <w:color w:val="auto"/>
          <w:sz w:val="24"/>
          <w:highlight w:val="none"/>
        </w:rPr>
      </w:pPr>
      <w:r>
        <w:rPr>
          <w:bCs/>
          <w:color w:val="auto"/>
          <w:sz w:val="24"/>
          <w:highlight w:val="none"/>
        </w:rPr>
        <w:t>3.1 履约验收主体</w:t>
      </w:r>
    </w:p>
    <w:p w14:paraId="343A81FA">
      <w:pPr>
        <w:shd w:val="clear"/>
        <w:spacing w:after="0" w:line="360" w:lineRule="auto"/>
        <w:ind w:firstLine="482"/>
        <w:contextualSpacing/>
        <w:outlineLvl w:val="2"/>
        <w:rPr>
          <w:bCs/>
          <w:color w:val="auto"/>
          <w:sz w:val="24"/>
          <w:highlight w:val="none"/>
        </w:rPr>
      </w:pPr>
      <w:r>
        <w:rPr>
          <w:bCs/>
          <w:color w:val="auto"/>
          <w:sz w:val="24"/>
          <w:highlight w:val="none"/>
        </w:rPr>
        <w:t>采购人、</w:t>
      </w:r>
      <w:r>
        <w:rPr>
          <w:rFonts w:hint="eastAsia"/>
          <w:bCs/>
          <w:color w:val="auto"/>
          <w:sz w:val="24"/>
          <w:highlight w:val="none"/>
        </w:rPr>
        <w:t>监理单位、</w:t>
      </w:r>
      <w:r>
        <w:rPr>
          <w:bCs/>
          <w:color w:val="auto"/>
          <w:sz w:val="24"/>
          <w:highlight w:val="none"/>
        </w:rPr>
        <w:t>专家。</w:t>
      </w:r>
    </w:p>
    <w:p w14:paraId="14633291">
      <w:pPr>
        <w:shd w:val="clear"/>
        <w:spacing w:after="0" w:line="360" w:lineRule="auto"/>
        <w:ind w:firstLine="482"/>
        <w:contextualSpacing/>
        <w:outlineLvl w:val="2"/>
        <w:rPr>
          <w:bCs/>
          <w:color w:val="auto"/>
          <w:sz w:val="24"/>
          <w:highlight w:val="none"/>
        </w:rPr>
      </w:pPr>
      <w:r>
        <w:rPr>
          <w:bCs/>
          <w:color w:val="auto"/>
          <w:sz w:val="24"/>
          <w:highlight w:val="none"/>
        </w:rPr>
        <w:t>3.2 履约验收时间</w:t>
      </w:r>
    </w:p>
    <w:p w14:paraId="1A2A1C95">
      <w:pPr>
        <w:shd w:val="clear"/>
        <w:spacing w:after="0" w:line="360" w:lineRule="auto"/>
        <w:ind w:firstLine="482"/>
        <w:contextualSpacing/>
        <w:outlineLvl w:val="2"/>
        <w:rPr>
          <w:bCs/>
          <w:color w:val="auto"/>
          <w:sz w:val="24"/>
          <w:highlight w:val="none"/>
        </w:rPr>
      </w:pPr>
      <w:r>
        <w:rPr>
          <w:bCs/>
          <w:color w:val="auto"/>
          <w:sz w:val="24"/>
          <w:highlight w:val="none"/>
        </w:rPr>
        <w:t>本项目应在</w:t>
      </w:r>
      <w:r>
        <w:rPr>
          <w:rFonts w:hint="eastAsia"/>
          <w:bCs/>
          <w:color w:val="auto"/>
          <w:sz w:val="24"/>
          <w:highlight w:val="none"/>
        </w:rPr>
        <w:t>合同签订后</w:t>
      </w:r>
      <w:r>
        <w:rPr>
          <w:bCs/>
          <w:color w:val="auto"/>
          <w:sz w:val="24"/>
          <w:highlight w:val="none"/>
        </w:rPr>
        <w:t>6个月内完成项目所有建设任务，并组织开展初验，初验合格</w:t>
      </w:r>
      <w:r>
        <w:rPr>
          <w:rFonts w:hint="eastAsia"/>
          <w:bCs/>
          <w:color w:val="auto"/>
          <w:sz w:val="24"/>
          <w:highlight w:val="none"/>
          <w:lang w:eastAsia="zh-CN"/>
        </w:rPr>
        <w:t>系统连续</w:t>
      </w:r>
      <w:r>
        <w:rPr>
          <w:bCs/>
          <w:color w:val="auto"/>
          <w:sz w:val="24"/>
          <w:highlight w:val="none"/>
        </w:rPr>
        <w:t>稳定</w:t>
      </w:r>
      <w:r>
        <w:rPr>
          <w:rFonts w:hint="eastAsia"/>
          <w:bCs/>
          <w:color w:val="auto"/>
          <w:sz w:val="24"/>
          <w:highlight w:val="none"/>
          <w:lang w:eastAsia="zh-CN"/>
        </w:rPr>
        <w:t>试</w:t>
      </w:r>
      <w:r>
        <w:rPr>
          <w:bCs/>
          <w:color w:val="auto"/>
          <w:sz w:val="24"/>
          <w:highlight w:val="none"/>
        </w:rPr>
        <w:t>运行3个月后，组织进行终验</w:t>
      </w:r>
      <w:r>
        <w:rPr>
          <w:rFonts w:hint="eastAsia"/>
          <w:bCs/>
          <w:color w:val="auto"/>
          <w:sz w:val="24"/>
          <w:highlight w:val="none"/>
        </w:rPr>
        <w:t>。</w:t>
      </w:r>
    </w:p>
    <w:p w14:paraId="330BC105">
      <w:pPr>
        <w:shd w:val="clear"/>
        <w:spacing w:after="0" w:line="360" w:lineRule="auto"/>
        <w:ind w:firstLine="482"/>
        <w:contextualSpacing/>
        <w:outlineLvl w:val="2"/>
        <w:rPr>
          <w:bCs/>
          <w:color w:val="auto"/>
          <w:sz w:val="24"/>
          <w:highlight w:val="none"/>
        </w:rPr>
      </w:pPr>
      <w:r>
        <w:rPr>
          <w:bCs/>
          <w:color w:val="auto"/>
          <w:sz w:val="24"/>
          <w:highlight w:val="none"/>
        </w:rPr>
        <w:t>3.3 履约验收方式</w:t>
      </w:r>
    </w:p>
    <w:p w14:paraId="3709968D">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lang w:val="en-US" w:eastAsia="zh-CN"/>
        </w:rPr>
        <w:t>专家评审</w:t>
      </w:r>
      <w:r>
        <w:rPr>
          <w:bCs/>
          <w:color w:val="auto"/>
          <w:sz w:val="24"/>
          <w:highlight w:val="none"/>
        </w:rPr>
        <w:t>会。</w:t>
      </w:r>
    </w:p>
    <w:p w14:paraId="25BA2664">
      <w:pPr>
        <w:shd w:val="clear"/>
        <w:spacing w:after="0" w:line="360" w:lineRule="auto"/>
        <w:ind w:firstLine="482"/>
        <w:contextualSpacing/>
        <w:outlineLvl w:val="2"/>
        <w:rPr>
          <w:bCs/>
          <w:color w:val="auto"/>
          <w:sz w:val="24"/>
          <w:highlight w:val="none"/>
        </w:rPr>
      </w:pPr>
      <w:r>
        <w:rPr>
          <w:bCs/>
          <w:color w:val="auto"/>
          <w:sz w:val="24"/>
          <w:highlight w:val="none"/>
        </w:rPr>
        <w:t>3.4 履约验收程序</w:t>
      </w:r>
    </w:p>
    <w:p w14:paraId="16EBFD88">
      <w:pPr>
        <w:shd w:val="clear"/>
        <w:spacing w:after="0" w:line="360" w:lineRule="auto"/>
        <w:ind w:firstLine="482"/>
        <w:contextualSpacing/>
        <w:outlineLvl w:val="2"/>
        <w:rPr>
          <w:bCs/>
          <w:color w:val="auto"/>
          <w:sz w:val="24"/>
          <w:highlight w:val="none"/>
        </w:rPr>
      </w:pPr>
      <w:r>
        <w:rPr>
          <w:bCs/>
          <w:color w:val="auto"/>
          <w:sz w:val="24"/>
          <w:highlight w:val="none"/>
        </w:rPr>
        <w:t>成交供应商应在</w:t>
      </w:r>
      <w:r>
        <w:rPr>
          <w:rFonts w:hint="default" w:ascii="Times New Roman" w:hAnsi="Times New Roman" w:eastAsia="宋体" w:cs="Times New Roman"/>
          <w:bCs/>
          <w:color w:val="auto"/>
          <w:sz w:val="24"/>
          <w:szCs w:val="24"/>
          <w:highlight w:val="none"/>
          <w:lang w:eastAsia="zh-CN"/>
        </w:rPr>
        <w:t>完成</w:t>
      </w:r>
      <w:r>
        <w:rPr>
          <w:rFonts w:hint="eastAsia" w:eastAsia="宋体" w:cs="Times New Roman"/>
          <w:bCs/>
          <w:color w:val="auto"/>
          <w:sz w:val="24"/>
          <w:szCs w:val="24"/>
          <w:highlight w:val="none"/>
          <w:lang w:eastAsia="zh-CN"/>
        </w:rPr>
        <w:t>项目所有</w:t>
      </w:r>
      <w:r>
        <w:rPr>
          <w:bCs/>
          <w:color w:val="auto"/>
          <w:sz w:val="24"/>
          <w:highlight w:val="none"/>
        </w:rPr>
        <w:t>建设</w:t>
      </w:r>
      <w:r>
        <w:rPr>
          <w:rFonts w:hint="eastAsia" w:cs="Times New Roman"/>
          <w:bCs/>
          <w:color w:val="auto"/>
          <w:sz w:val="24"/>
          <w:szCs w:val="24"/>
          <w:highlight w:val="none"/>
          <w:lang w:eastAsia="zh-CN"/>
        </w:rPr>
        <w:t>任务，系统</w:t>
      </w:r>
      <w:r>
        <w:rPr>
          <w:rFonts w:hint="default" w:ascii="Times New Roman" w:hAnsi="Times New Roman" w:eastAsia="宋体" w:cs="Times New Roman"/>
          <w:bCs/>
          <w:color w:val="auto"/>
          <w:sz w:val="24"/>
          <w:szCs w:val="24"/>
          <w:highlight w:val="none"/>
          <w:lang w:eastAsia="zh-CN"/>
        </w:rPr>
        <w:t>经测试达到安全、稳定、高效运行后</w:t>
      </w:r>
      <w:r>
        <w:rPr>
          <w:bCs/>
          <w:color w:val="auto"/>
          <w:sz w:val="24"/>
          <w:highlight w:val="none"/>
        </w:rPr>
        <w:t>，向采购人及监理单位提交</w:t>
      </w:r>
      <w:r>
        <w:rPr>
          <w:rFonts w:hint="eastAsia"/>
          <w:bCs/>
          <w:color w:val="auto"/>
          <w:sz w:val="24"/>
          <w:highlight w:val="none"/>
        </w:rPr>
        <w:t>初验</w:t>
      </w:r>
      <w:r>
        <w:rPr>
          <w:bCs/>
          <w:color w:val="auto"/>
          <w:sz w:val="24"/>
          <w:highlight w:val="none"/>
        </w:rPr>
        <w:t>材料，并在</w:t>
      </w:r>
      <w:r>
        <w:rPr>
          <w:rFonts w:hint="eastAsia"/>
          <w:bCs/>
          <w:color w:val="auto"/>
          <w:sz w:val="24"/>
          <w:highlight w:val="none"/>
          <w:lang w:eastAsia="zh-CN"/>
        </w:rPr>
        <w:t>初验</w:t>
      </w:r>
      <w:r>
        <w:rPr>
          <w:bCs/>
          <w:color w:val="auto"/>
          <w:sz w:val="24"/>
          <w:highlight w:val="none"/>
        </w:rPr>
        <w:t>材料审核通过后，书面向采购人及监理单位提出</w:t>
      </w:r>
      <w:r>
        <w:rPr>
          <w:rFonts w:hint="eastAsia"/>
          <w:bCs/>
          <w:color w:val="auto"/>
          <w:sz w:val="24"/>
          <w:highlight w:val="none"/>
          <w:lang w:eastAsia="zh-CN"/>
        </w:rPr>
        <w:t>初验</w:t>
      </w:r>
      <w:r>
        <w:rPr>
          <w:bCs/>
          <w:color w:val="auto"/>
          <w:sz w:val="24"/>
          <w:highlight w:val="none"/>
        </w:rPr>
        <w:t>申请，由采购人组织开展项目</w:t>
      </w:r>
      <w:r>
        <w:rPr>
          <w:rFonts w:hint="eastAsia"/>
          <w:bCs/>
          <w:color w:val="auto"/>
          <w:sz w:val="24"/>
          <w:highlight w:val="none"/>
        </w:rPr>
        <w:t>初验</w:t>
      </w:r>
      <w:r>
        <w:rPr>
          <w:bCs/>
          <w:color w:val="auto"/>
          <w:sz w:val="24"/>
          <w:highlight w:val="none"/>
        </w:rPr>
        <w:t>。</w:t>
      </w:r>
    </w:p>
    <w:p w14:paraId="3FC2794F">
      <w:pPr>
        <w:shd w:val="clear"/>
        <w:spacing w:after="0" w:line="360" w:lineRule="auto"/>
        <w:ind w:firstLine="482"/>
        <w:contextualSpacing/>
        <w:rPr>
          <w:color w:val="auto"/>
          <w:highlight w:val="none"/>
        </w:rPr>
      </w:pPr>
      <w:r>
        <w:rPr>
          <w:bCs/>
          <w:color w:val="auto"/>
          <w:sz w:val="24"/>
          <w:highlight w:val="none"/>
        </w:rPr>
        <w:t>成交供应商应在</w:t>
      </w:r>
      <w:r>
        <w:rPr>
          <w:rFonts w:hint="eastAsia" w:cs="Times New Roman"/>
          <w:bCs/>
          <w:color w:val="auto"/>
          <w:sz w:val="24"/>
          <w:szCs w:val="24"/>
          <w:highlight w:val="none"/>
          <w:lang w:eastAsia="zh-CN"/>
        </w:rPr>
        <w:t>项目</w:t>
      </w:r>
      <w:r>
        <w:rPr>
          <w:bCs/>
          <w:color w:val="auto"/>
          <w:sz w:val="24"/>
          <w:highlight w:val="none"/>
        </w:rPr>
        <w:t>初验合格</w:t>
      </w:r>
      <w:r>
        <w:rPr>
          <w:rFonts w:hint="eastAsia"/>
          <w:bCs/>
          <w:color w:val="auto"/>
          <w:sz w:val="24"/>
          <w:highlight w:val="none"/>
          <w:lang w:eastAsia="zh-CN"/>
        </w:rPr>
        <w:t>，系统连续稳定试运行</w:t>
      </w:r>
      <w:r>
        <w:rPr>
          <w:rFonts w:hint="eastAsia"/>
          <w:bCs/>
          <w:color w:val="auto"/>
          <w:sz w:val="24"/>
          <w:highlight w:val="none"/>
        </w:rPr>
        <w:t>3个月后</w:t>
      </w:r>
      <w:r>
        <w:rPr>
          <w:bCs/>
          <w:color w:val="auto"/>
          <w:sz w:val="24"/>
          <w:highlight w:val="none"/>
        </w:rPr>
        <w:t>，向采购人及监理单位提交</w:t>
      </w:r>
      <w:r>
        <w:rPr>
          <w:rFonts w:hint="eastAsia"/>
          <w:bCs/>
          <w:color w:val="auto"/>
          <w:sz w:val="24"/>
          <w:highlight w:val="none"/>
        </w:rPr>
        <w:t>终验</w:t>
      </w:r>
      <w:r>
        <w:rPr>
          <w:bCs/>
          <w:color w:val="auto"/>
          <w:sz w:val="24"/>
          <w:highlight w:val="none"/>
        </w:rPr>
        <w:t>材料，并在</w:t>
      </w:r>
      <w:r>
        <w:rPr>
          <w:rFonts w:hint="eastAsia"/>
          <w:bCs/>
          <w:color w:val="auto"/>
          <w:sz w:val="24"/>
          <w:highlight w:val="none"/>
          <w:lang w:eastAsia="zh-CN"/>
        </w:rPr>
        <w:t>终验</w:t>
      </w:r>
      <w:r>
        <w:rPr>
          <w:bCs/>
          <w:color w:val="auto"/>
          <w:sz w:val="24"/>
          <w:highlight w:val="none"/>
        </w:rPr>
        <w:t>材料审核通过后，书面向采购人及监理单位提出</w:t>
      </w:r>
      <w:r>
        <w:rPr>
          <w:rFonts w:hint="eastAsia"/>
          <w:bCs/>
          <w:color w:val="auto"/>
          <w:sz w:val="24"/>
          <w:highlight w:val="none"/>
          <w:lang w:eastAsia="zh-CN"/>
        </w:rPr>
        <w:t>终验</w:t>
      </w:r>
      <w:r>
        <w:rPr>
          <w:bCs/>
          <w:color w:val="auto"/>
          <w:sz w:val="24"/>
          <w:highlight w:val="none"/>
        </w:rPr>
        <w:t>申请，由采购人组织</w:t>
      </w:r>
      <w:r>
        <w:rPr>
          <w:rFonts w:hint="eastAsia"/>
          <w:bCs/>
          <w:color w:val="auto"/>
          <w:sz w:val="24"/>
          <w:highlight w:val="none"/>
          <w:lang w:eastAsia="zh-CN"/>
        </w:rPr>
        <w:t>进行</w:t>
      </w:r>
      <w:r>
        <w:rPr>
          <w:bCs/>
          <w:color w:val="auto"/>
          <w:sz w:val="24"/>
          <w:highlight w:val="none"/>
        </w:rPr>
        <w:t>项目</w:t>
      </w:r>
      <w:r>
        <w:rPr>
          <w:rFonts w:hint="eastAsia"/>
          <w:bCs/>
          <w:color w:val="auto"/>
          <w:sz w:val="24"/>
          <w:highlight w:val="none"/>
        </w:rPr>
        <w:t>终验</w:t>
      </w:r>
      <w:r>
        <w:rPr>
          <w:bCs/>
          <w:color w:val="auto"/>
          <w:sz w:val="24"/>
          <w:highlight w:val="none"/>
        </w:rPr>
        <w:t>。</w:t>
      </w:r>
    </w:p>
    <w:p w14:paraId="56685DD7">
      <w:pPr>
        <w:shd w:val="clear"/>
        <w:spacing w:after="0" w:line="360" w:lineRule="auto"/>
        <w:ind w:firstLine="482"/>
        <w:contextualSpacing/>
        <w:outlineLvl w:val="2"/>
        <w:rPr>
          <w:bCs/>
          <w:color w:val="auto"/>
          <w:sz w:val="24"/>
          <w:highlight w:val="none"/>
        </w:rPr>
      </w:pPr>
      <w:r>
        <w:rPr>
          <w:bCs/>
          <w:color w:val="auto"/>
          <w:sz w:val="24"/>
          <w:highlight w:val="none"/>
        </w:rPr>
        <w:t>3.5 履约验收内容</w:t>
      </w:r>
    </w:p>
    <w:p w14:paraId="40944EFC">
      <w:pPr>
        <w:shd w:val="clear"/>
        <w:spacing w:after="0" w:line="360" w:lineRule="auto"/>
        <w:ind w:firstLine="482"/>
        <w:contextualSpacing/>
        <w:outlineLvl w:val="2"/>
        <w:rPr>
          <w:bCs/>
          <w:color w:val="auto"/>
          <w:sz w:val="24"/>
          <w:highlight w:val="none"/>
        </w:rPr>
      </w:pPr>
      <w:r>
        <w:rPr>
          <w:rFonts w:hint="default"/>
          <w:bCs/>
          <w:color w:val="auto"/>
          <w:sz w:val="24"/>
          <w:szCs w:val="24"/>
          <w:highlight w:val="none"/>
          <w:lang w:val="en-US" w:eastAsia="zh-CN"/>
        </w:rPr>
        <w:t>合同</w:t>
      </w:r>
      <w:r>
        <w:rPr>
          <w:rFonts w:hint="eastAsia"/>
          <w:bCs/>
          <w:color w:val="auto"/>
          <w:sz w:val="24"/>
          <w:szCs w:val="24"/>
          <w:highlight w:val="none"/>
          <w:lang w:val="en-US" w:eastAsia="zh-CN"/>
        </w:rPr>
        <w:t>和采购人要求完成</w:t>
      </w:r>
      <w:r>
        <w:rPr>
          <w:rFonts w:hint="default"/>
          <w:bCs/>
          <w:color w:val="auto"/>
          <w:sz w:val="24"/>
          <w:szCs w:val="24"/>
          <w:highlight w:val="none"/>
          <w:lang w:val="en-US" w:eastAsia="zh-CN"/>
        </w:rPr>
        <w:t>的</w:t>
      </w:r>
      <w:r>
        <w:rPr>
          <w:rFonts w:hint="eastAsia"/>
          <w:bCs/>
          <w:color w:val="auto"/>
          <w:sz w:val="24"/>
          <w:szCs w:val="24"/>
          <w:highlight w:val="none"/>
          <w:lang w:val="en-US" w:eastAsia="zh-CN"/>
        </w:rPr>
        <w:t>全部工作</w:t>
      </w:r>
      <w:r>
        <w:rPr>
          <w:rFonts w:hint="default"/>
          <w:bCs/>
          <w:color w:val="auto"/>
          <w:sz w:val="24"/>
          <w:szCs w:val="24"/>
          <w:highlight w:val="none"/>
          <w:lang w:val="en-US" w:eastAsia="zh-CN"/>
        </w:rPr>
        <w:t>。</w:t>
      </w:r>
    </w:p>
    <w:p w14:paraId="1F901425">
      <w:pPr>
        <w:shd w:val="clear"/>
        <w:spacing w:after="0" w:line="360" w:lineRule="auto"/>
        <w:ind w:firstLine="482"/>
        <w:contextualSpacing/>
        <w:outlineLvl w:val="2"/>
        <w:rPr>
          <w:bCs/>
          <w:color w:val="auto"/>
          <w:sz w:val="24"/>
          <w:highlight w:val="none"/>
        </w:rPr>
      </w:pPr>
      <w:r>
        <w:rPr>
          <w:bCs/>
          <w:color w:val="auto"/>
          <w:sz w:val="24"/>
          <w:highlight w:val="none"/>
        </w:rPr>
        <w:t>3.6 验收标准</w:t>
      </w:r>
    </w:p>
    <w:p w14:paraId="34CCF758">
      <w:pPr>
        <w:shd w:val="clear"/>
        <w:spacing w:after="0" w:line="360" w:lineRule="auto"/>
        <w:ind w:firstLine="482"/>
        <w:contextualSpacing/>
        <w:rPr>
          <w:rFonts w:hint="default" w:eastAsia="宋体"/>
          <w:bCs/>
          <w:color w:val="auto"/>
          <w:sz w:val="24"/>
          <w:highlight w:val="none"/>
          <w:lang w:val="en-US" w:eastAsia="zh-CN"/>
        </w:rPr>
      </w:pPr>
      <w:r>
        <w:rPr>
          <w:rFonts w:hint="default"/>
          <w:bCs/>
          <w:color w:val="auto"/>
          <w:sz w:val="24"/>
          <w:highlight w:val="none"/>
        </w:rPr>
        <w:t>项目通过由采购人组织的专家评审会验收，且交付成果完全满足采购人</w:t>
      </w:r>
      <w:r>
        <w:rPr>
          <w:rFonts w:hint="eastAsia"/>
          <w:bCs/>
          <w:color w:val="auto"/>
          <w:sz w:val="24"/>
          <w:highlight w:val="none"/>
          <w:lang w:eastAsia="zh-CN"/>
        </w:rPr>
        <w:t>和</w:t>
      </w:r>
      <w:r>
        <w:rPr>
          <w:rFonts w:hint="default"/>
          <w:bCs/>
          <w:color w:val="auto"/>
          <w:sz w:val="24"/>
          <w:highlight w:val="none"/>
        </w:rPr>
        <w:t>合同规定的全部要求。</w:t>
      </w:r>
    </w:p>
    <w:p w14:paraId="23160ACF">
      <w:pPr>
        <w:shd w:val="clear"/>
        <w:spacing w:line="360" w:lineRule="auto"/>
        <w:ind w:firstLine="480" w:firstLineChars="200"/>
        <w:contextualSpacing/>
        <w:outlineLvl w:val="1"/>
        <w:rPr>
          <w:bCs/>
          <w:color w:val="auto"/>
          <w:sz w:val="24"/>
          <w:highlight w:val="none"/>
        </w:rPr>
      </w:pPr>
      <w:r>
        <w:rPr>
          <w:rFonts w:hint="eastAsia"/>
          <w:bCs/>
          <w:color w:val="auto"/>
          <w:sz w:val="24"/>
          <w:highlight w:val="none"/>
        </w:rPr>
        <w:t xml:space="preserve">4. </w:t>
      </w:r>
      <w:r>
        <w:rPr>
          <w:bCs/>
          <w:color w:val="auto"/>
          <w:sz w:val="24"/>
          <w:highlight w:val="none"/>
        </w:rPr>
        <w:t>其他要求</w:t>
      </w:r>
    </w:p>
    <w:p w14:paraId="6020E7D7">
      <w:pPr>
        <w:shd w:val="clear"/>
        <w:spacing w:line="360" w:lineRule="auto"/>
        <w:ind w:firstLine="482"/>
        <w:contextualSpacing/>
        <w:rPr>
          <w:bCs/>
          <w:color w:val="auto"/>
          <w:sz w:val="24"/>
          <w:highlight w:val="none"/>
        </w:rPr>
      </w:pPr>
      <w:r>
        <w:rPr>
          <w:rFonts w:hint="eastAsia"/>
          <w:bCs/>
          <w:color w:val="auto"/>
          <w:sz w:val="24"/>
          <w:highlight w:val="none"/>
          <w:lang w:eastAsia="zh-CN"/>
        </w:rPr>
        <w:t>无。</w:t>
      </w:r>
    </w:p>
    <w:p w14:paraId="43A23E8D">
      <w:pPr>
        <w:shd w:val="clear"/>
        <w:spacing w:line="360" w:lineRule="auto"/>
        <w:ind w:firstLine="482"/>
        <w:contextualSpacing/>
        <w:rPr>
          <w:bCs/>
          <w:color w:val="auto"/>
          <w:sz w:val="24"/>
          <w:highlight w:val="none"/>
        </w:rPr>
      </w:pPr>
    </w:p>
    <w:p w14:paraId="3B7D9BF5">
      <w:pPr>
        <w:shd w:val="clear"/>
        <w:spacing w:line="360" w:lineRule="auto"/>
        <w:ind w:firstLine="482"/>
        <w:contextualSpacing/>
        <w:rPr>
          <w:rFonts w:hint="eastAsia"/>
          <w:bCs/>
          <w:color w:val="auto"/>
          <w:sz w:val="24"/>
          <w:highlight w:val="none"/>
        </w:rPr>
        <w:sectPr>
          <w:pgSz w:w="11907" w:h="16840"/>
          <w:pgMar w:top="1440" w:right="1800" w:bottom="1440" w:left="1800" w:header="851" w:footer="851" w:gutter="0"/>
          <w:pgNumType w:fmt="decimal"/>
          <w:cols w:space="720" w:num="1"/>
          <w:docGrid w:linePitch="462" w:charSpace="0"/>
        </w:sectPr>
      </w:pPr>
    </w:p>
    <w:p w14:paraId="20601F13">
      <w:pPr>
        <w:pStyle w:val="6"/>
        <w:shd w:val="clear"/>
        <w:rPr>
          <w:rFonts w:hint="eastAsia"/>
          <w:color w:val="auto"/>
          <w:highlight w:val="none"/>
          <w:u w:val="none"/>
          <w:lang w:val="en-US" w:eastAsia="zh-CN"/>
        </w:rPr>
      </w:pPr>
      <w:r>
        <w:rPr>
          <w:rFonts w:hint="eastAsia"/>
          <w:color w:val="auto"/>
          <w:highlight w:val="none"/>
          <w:u w:val="none"/>
          <w:lang w:val="en-US" w:eastAsia="zh-CN"/>
        </w:rPr>
        <w:t>第2包：</w:t>
      </w:r>
    </w:p>
    <w:p w14:paraId="0B92D83C">
      <w:pPr>
        <w:shd w:val="clear"/>
        <w:spacing w:line="360" w:lineRule="auto"/>
        <w:contextualSpacing/>
        <w:outlineLvl w:val="0"/>
        <w:rPr>
          <w:b/>
          <w:color w:val="auto"/>
          <w:sz w:val="24"/>
          <w:highlight w:val="none"/>
        </w:rPr>
      </w:pPr>
      <w:r>
        <w:rPr>
          <w:b/>
          <w:color w:val="auto"/>
          <w:sz w:val="24"/>
          <w:highlight w:val="none"/>
        </w:rPr>
        <w:t>一、采购标的</w:t>
      </w:r>
    </w:p>
    <w:p w14:paraId="75597E73">
      <w:pPr>
        <w:shd w:val="clear"/>
        <w:spacing w:line="360" w:lineRule="auto"/>
        <w:contextualSpacing/>
        <w:outlineLvl w:val="1"/>
        <w:rPr>
          <w:bCs/>
          <w:color w:val="auto"/>
          <w:sz w:val="24"/>
          <w:highlight w:val="none"/>
        </w:rPr>
      </w:pPr>
      <w:r>
        <w:rPr>
          <w:bCs/>
          <w:color w:val="auto"/>
          <w:sz w:val="24"/>
          <w:highlight w:val="none"/>
        </w:rPr>
        <w:t>1. 采购标的</w:t>
      </w:r>
    </w:p>
    <w:p w14:paraId="11A64E1D">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w:t>
      </w:r>
      <w:r>
        <w:rPr>
          <w:rFonts w:hint="eastAsia"/>
          <w:bCs/>
          <w:color w:val="auto"/>
          <w:sz w:val="24"/>
          <w:highlight w:val="none"/>
        </w:rPr>
        <w:t>（第2包：</w:t>
      </w:r>
      <w:r>
        <w:rPr>
          <w:bCs/>
          <w:color w:val="auto"/>
          <w:sz w:val="24"/>
          <w:highlight w:val="none"/>
        </w:rPr>
        <w:t>测评服务</w:t>
      </w:r>
      <w:r>
        <w:rPr>
          <w:rFonts w:hint="eastAsia"/>
          <w:bCs/>
          <w:color w:val="auto"/>
          <w:sz w:val="24"/>
          <w:highlight w:val="none"/>
        </w:rPr>
        <w:t>）</w:t>
      </w:r>
    </w:p>
    <w:p w14:paraId="57BCDD5A">
      <w:pPr>
        <w:shd w:val="clear"/>
        <w:spacing w:line="360" w:lineRule="auto"/>
        <w:contextualSpacing/>
        <w:outlineLvl w:val="1"/>
        <w:rPr>
          <w:bCs/>
          <w:color w:val="auto"/>
          <w:sz w:val="24"/>
          <w:highlight w:val="none"/>
        </w:rPr>
      </w:pPr>
      <w:r>
        <w:rPr>
          <w:bCs/>
          <w:color w:val="auto"/>
          <w:sz w:val="24"/>
          <w:highlight w:val="none"/>
        </w:rPr>
        <w:t>2. 项目概述</w:t>
      </w:r>
    </w:p>
    <w:p w14:paraId="201D4D21">
      <w:pPr>
        <w:shd w:val="clear"/>
        <w:spacing w:after="0" w:line="360" w:lineRule="auto"/>
        <w:ind w:firstLine="482"/>
        <w:contextualSpacing/>
        <w:outlineLvl w:val="2"/>
        <w:rPr>
          <w:bCs/>
          <w:color w:val="auto"/>
          <w:sz w:val="24"/>
          <w:highlight w:val="none"/>
        </w:rPr>
      </w:pPr>
      <w:r>
        <w:rPr>
          <w:bCs/>
          <w:color w:val="auto"/>
          <w:sz w:val="24"/>
          <w:highlight w:val="none"/>
        </w:rPr>
        <w:t>2020年《北京市“十四五”时期智慧城市发展行动纲要</w:t>
      </w:r>
      <w:r>
        <w:rPr>
          <w:rFonts w:hint="eastAsia"/>
          <w:bCs/>
          <w:color w:val="auto"/>
          <w:sz w:val="24"/>
          <w:highlight w:val="none"/>
          <w:lang w:eastAsia="zh-CN"/>
        </w:rPr>
        <w:t>（征求意见稿）》</w:t>
      </w:r>
      <w:r>
        <w:rPr>
          <w:bCs/>
          <w:color w:val="auto"/>
          <w:sz w:val="24"/>
          <w:highlight w:val="none"/>
        </w:rPr>
        <w:t>发布，提出“聚焦‘全程网办、全网通办’目标，全面推进政务服务事项统一入口、统一预约、统一受理、统一赋码、协同办理、统一反馈。市、区两级全部依申请政务服务事项，实现受理、审批、送达等全流程网上办理；加速落实指尖行动计划，实现移动端、自助端业务深办”。2020年《北京市深入推进“互联网+政务服务”实施方案</w:t>
      </w:r>
      <w:r>
        <w:rPr>
          <w:rFonts w:hint="eastAsia"/>
          <w:bCs/>
          <w:color w:val="auto"/>
          <w:sz w:val="24"/>
          <w:highlight w:val="none"/>
          <w:lang w:eastAsia="zh-CN"/>
        </w:rPr>
        <w:t>（征求意见稿）》</w:t>
      </w:r>
      <w:r>
        <w:rPr>
          <w:bCs/>
          <w:color w:val="auto"/>
          <w:sz w:val="24"/>
          <w:highlight w:val="none"/>
        </w:rPr>
        <w:t>中要求，“充分运用互联网思维”，“简化办事环节、优化服务流程、减少办事材料，实现各部门的数据跑路和业务协同，变被动服务为主动服务，全面推动政务服务网上办理，实现‘应上尽上、全程在线’，为公众提供便捷高效的政务服务”。为充分落实积分落户政策调整及指标优化的要求，积极推动《北京市“十四五”时期智慧城市发展行动纲要》、《北京市深入推进“互联网+政务服务”实施方案》等政策在积分落户这一重点民生领域的实践，以智能便捷为核心进一步提升服务能力，并总结应对在试行政策期间因系统的紧耦合导致政策变动后开发量较大、不同年度系统并行运行等逐步显现的问题，拟通过微服务、区块链等新技术，从精简优化、服务便捷、灵活扩展等方面启动本次升级改造，以支撑积分落户工作的持续高效开展。</w:t>
      </w:r>
    </w:p>
    <w:p w14:paraId="7D57E613">
      <w:pPr>
        <w:shd w:val="clear"/>
        <w:spacing w:after="0" w:line="360" w:lineRule="auto"/>
        <w:ind w:firstLine="482"/>
        <w:contextualSpacing/>
        <w:outlineLvl w:val="2"/>
        <w:rPr>
          <w:rFonts w:hint="eastAsia" w:ascii="宋体" w:hAnsi="宋体" w:cs="宋体"/>
          <w:bCs/>
          <w:color w:val="auto"/>
          <w:sz w:val="24"/>
          <w:highlight w:val="none"/>
        </w:rPr>
      </w:pPr>
      <w:r>
        <w:rPr>
          <w:bCs/>
          <w:color w:val="auto"/>
          <w:sz w:val="24"/>
          <w:highlight w:val="none"/>
        </w:rPr>
        <w:t xml:space="preserve">根据《中华人民共和国网络安全法》（2017年版）和《信息安全技术 信息系统安全等级保护基本要求》（GB/T 22239-2008），北京市人力资源和社会保障局遵循国家网络安全和信息安全的战略部署，强调关键信息基础设施的安全防护，北京市积分落户系统作为重要民生应用，被纳入了这一要求的范畴。                              </w:t>
      </w:r>
    </w:p>
    <w:p w14:paraId="6B021E3B">
      <w:pPr>
        <w:shd w:val="clear"/>
        <w:spacing w:line="360" w:lineRule="auto"/>
        <w:contextualSpacing/>
        <w:outlineLvl w:val="0"/>
        <w:rPr>
          <w:b/>
          <w:color w:val="auto"/>
          <w:sz w:val="24"/>
          <w:highlight w:val="none"/>
        </w:rPr>
      </w:pPr>
      <w:r>
        <w:rPr>
          <w:b/>
          <w:color w:val="auto"/>
          <w:sz w:val="24"/>
          <w:highlight w:val="none"/>
        </w:rPr>
        <w:t>二、商务要求</w:t>
      </w:r>
    </w:p>
    <w:p w14:paraId="57AFEC07">
      <w:pPr>
        <w:shd w:val="clear"/>
        <w:spacing w:line="360" w:lineRule="auto"/>
        <w:contextualSpacing/>
        <w:outlineLvl w:val="1"/>
        <w:rPr>
          <w:bCs/>
          <w:color w:val="auto"/>
          <w:sz w:val="24"/>
          <w:highlight w:val="none"/>
        </w:rPr>
      </w:pPr>
      <w:r>
        <w:rPr>
          <w:bCs/>
          <w:color w:val="auto"/>
          <w:sz w:val="24"/>
          <w:highlight w:val="none"/>
        </w:rPr>
        <w:t>1. 交付（实施）的时间（期限）和地点（范围）</w:t>
      </w:r>
    </w:p>
    <w:p w14:paraId="13AC1C0D">
      <w:pPr>
        <w:shd w:val="clear"/>
        <w:spacing w:after="0" w:line="360" w:lineRule="auto"/>
        <w:ind w:firstLine="482"/>
        <w:contextualSpacing/>
        <w:outlineLvl w:val="2"/>
        <w:rPr>
          <w:bCs/>
          <w:color w:val="auto"/>
          <w:sz w:val="24"/>
          <w:highlight w:val="none"/>
        </w:rPr>
      </w:pPr>
      <w:r>
        <w:rPr>
          <w:bCs/>
          <w:color w:val="auto"/>
          <w:sz w:val="24"/>
          <w:highlight w:val="none"/>
        </w:rPr>
        <w:t>服务期限：自</w:t>
      </w:r>
      <w:r>
        <w:rPr>
          <w:rFonts w:hint="eastAsia"/>
          <w:bCs/>
          <w:color w:val="auto"/>
          <w:sz w:val="24"/>
          <w:highlight w:val="none"/>
        </w:rPr>
        <w:t>合同</w:t>
      </w:r>
      <w:r>
        <w:rPr>
          <w:bCs/>
          <w:color w:val="auto"/>
          <w:sz w:val="24"/>
          <w:highlight w:val="none"/>
        </w:rPr>
        <w:t>签订之日起至北京市人力资源和社会保障局积分落户管理信息系统适配能力提升项目全部竣工并通过终验之日止。</w:t>
      </w:r>
    </w:p>
    <w:p w14:paraId="1DCEB575">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2DF3806C">
      <w:pPr>
        <w:shd w:val="clear"/>
        <w:spacing w:line="360" w:lineRule="auto"/>
        <w:contextualSpacing/>
        <w:outlineLvl w:val="1"/>
        <w:rPr>
          <w:bCs/>
          <w:color w:val="auto"/>
          <w:sz w:val="24"/>
          <w:highlight w:val="none"/>
        </w:rPr>
      </w:pPr>
      <w:r>
        <w:rPr>
          <w:bCs/>
          <w:color w:val="auto"/>
          <w:sz w:val="24"/>
          <w:highlight w:val="none"/>
        </w:rPr>
        <w:t>2. 付款条件（进度和方式）</w:t>
      </w:r>
    </w:p>
    <w:p w14:paraId="1F10EE1E">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w:t>
      </w:r>
      <w:r>
        <w:rPr>
          <w:bCs/>
          <w:color w:val="auto"/>
          <w:sz w:val="24"/>
          <w:highlight w:val="none"/>
          <w:lang w:val="en"/>
        </w:rPr>
        <w:t>10个工作</w:t>
      </w:r>
      <w:r>
        <w:rPr>
          <w:bCs/>
          <w:color w:val="auto"/>
          <w:sz w:val="24"/>
          <w:highlight w:val="none"/>
        </w:rPr>
        <w:t>日内一次性支付成交供应商合同款总额。</w:t>
      </w:r>
    </w:p>
    <w:p w14:paraId="0BC84D4F">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314E938A">
      <w:pPr>
        <w:shd w:val="clear"/>
        <w:spacing w:line="360" w:lineRule="auto"/>
        <w:contextualSpacing/>
        <w:outlineLvl w:val="1"/>
        <w:rPr>
          <w:bCs/>
          <w:color w:val="auto"/>
          <w:sz w:val="24"/>
          <w:highlight w:val="none"/>
        </w:rPr>
      </w:pPr>
      <w:r>
        <w:rPr>
          <w:bCs/>
          <w:color w:val="auto"/>
          <w:sz w:val="24"/>
          <w:highlight w:val="none"/>
        </w:rPr>
        <w:t>3. 售后服务（质保期）</w:t>
      </w:r>
    </w:p>
    <w:p w14:paraId="483A9ECB">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应具备良好的售后服务体系，并为项目各项任务配备符合项目测试要求的测试团队，在规定时间内完成测试工作任务。在质保期内，应提供7×24小时响应服务。</w:t>
      </w:r>
      <w:r>
        <w:rPr>
          <w:rFonts w:hint="eastAsia"/>
          <w:bCs/>
          <w:color w:val="auto"/>
          <w:sz w:val="24"/>
          <w:highlight w:val="none"/>
        </w:rPr>
        <w:t>供应商</w:t>
      </w:r>
      <w:r>
        <w:rPr>
          <w:bCs/>
          <w:color w:val="auto"/>
          <w:sz w:val="24"/>
          <w:highlight w:val="none"/>
        </w:rPr>
        <w:t>应在</w:t>
      </w:r>
      <w:r>
        <w:rPr>
          <w:rFonts w:hint="eastAsia"/>
          <w:bCs/>
          <w:color w:val="auto"/>
          <w:sz w:val="24"/>
          <w:highlight w:val="none"/>
        </w:rPr>
        <w:t>响应文件</w:t>
      </w:r>
      <w:r>
        <w:rPr>
          <w:bCs/>
          <w:color w:val="auto"/>
          <w:sz w:val="24"/>
          <w:highlight w:val="none"/>
        </w:rPr>
        <w:t>中提供详细具体的售后服务承诺条款及保证。</w:t>
      </w:r>
    </w:p>
    <w:p w14:paraId="02E0B69A">
      <w:pPr>
        <w:shd w:val="clear"/>
        <w:spacing w:line="360" w:lineRule="auto"/>
        <w:contextualSpacing/>
        <w:outlineLvl w:val="1"/>
        <w:rPr>
          <w:bCs/>
          <w:color w:val="auto"/>
          <w:sz w:val="24"/>
          <w:highlight w:val="none"/>
        </w:rPr>
      </w:pPr>
      <w:r>
        <w:rPr>
          <w:bCs/>
          <w:color w:val="auto"/>
          <w:sz w:val="24"/>
          <w:highlight w:val="none"/>
        </w:rPr>
        <w:t>4. 保险</w:t>
      </w:r>
    </w:p>
    <w:p w14:paraId="32050E72">
      <w:pPr>
        <w:shd w:val="clear"/>
        <w:spacing w:after="0" w:line="360" w:lineRule="auto"/>
        <w:ind w:firstLine="482"/>
        <w:contextualSpacing/>
        <w:outlineLvl w:val="2"/>
        <w:rPr>
          <w:bCs/>
          <w:color w:val="auto"/>
          <w:sz w:val="24"/>
          <w:highlight w:val="none"/>
        </w:rPr>
      </w:pPr>
      <w:r>
        <w:rPr>
          <w:bCs/>
          <w:color w:val="auto"/>
          <w:sz w:val="24"/>
          <w:highlight w:val="none"/>
        </w:rPr>
        <w:t>本项目所涉及的运输、施工、安装、集成、测评、测试、调试、验收、培训、备品和工具、保险、售后服务、税款、质检、行政许可及相关证书等费用均包含在报价中。</w:t>
      </w:r>
    </w:p>
    <w:p w14:paraId="7C689C8B">
      <w:pPr>
        <w:shd w:val="clear"/>
        <w:spacing w:line="360" w:lineRule="auto"/>
        <w:contextualSpacing/>
        <w:outlineLvl w:val="0"/>
        <w:rPr>
          <w:b/>
          <w:color w:val="auto"/>
          <w:sz w:val="24"/>
          <w:highlight w:val="none"/>
        </w:rPr>
      </w:pPr>
      <w:r>
        <w:rPr>
          <w:b/>
          <w:color w:val="auto"/>
          <w:sz w:val="24"/>
          <w:highlight w:val="none"/>
        </w:rPr>
        <w:t>三、技术要求</w:t>
      </w:r>
    </w:p>
    <w:p w14:paraId="2CEA0AFE">
      <w:pPr>
        <w:shd w:val="clear"/>
        <w:spacing w:line="360" w:lineRule="auto"/>
        <w:contextualSpacing/>
        <w:outlineLvl w:val="1"/>
        <w:rPr>
          <w:bCs/>
          <w:color w:val="auto"/>
          <w:sz w:val="24"/>
          <w:highlight w:val="none"/>
        </w:rPr>
      </w:pPr>
      <w:r>
        <w:rPr>
          <w:bCs/>
          <w:color w:val="auto"/>
          <w:sz w:val="24"/>
          <w:highlight w:val="none"/>
        </w:rPr>
        <w:t>1. 基本要求</w:t>
      </w:r>
    </w:p>
    <w:p w14:paraId="7ABF7783">
      <w:pPr>
        <w:shd w:val="clear"/>
        <w:spacing w:after="0" w:line="360" w:lineRule="auto"/>
        <w:ind w:firstLine="482"/>
        <w:contextualSpacing/>
        <w:outlineLvl w:val="2"/>
        <w:rPr>
          <w:bCs/>
          <w:color w:val="auto"/>
          <w:sz w:val="24"/>
          <w:highlight w:val="none"/>
        </w:rPr>
      </w:pPr>
      <w:r>
        <w:rPr>
          <w:bCs/>
          <w:color w:val="auto"/>
          <w:sz w:val="24"/>
          <w:highlight w:val="none"/>
        </w:rPr>
        <w:t>1.1 采购标的需实现的功能或者目标</w:t>
      </w:r>
    </w:p>
    <w:p w14:paraId="53E3CFFA">
      <w:pPr>
        <w:shd w:val="clear"/>
        <w:spacing w:after="0" w:line="360" w:lineRule="auto"/>
        <w:ind w:firstLine="482"/>
        <w:contextualSpacing/>
        <w:outlineLvl w:val="2"/>
        <w:rPr>
          <w:bCs/>
          <w:color w:val="auto"/>
          <w:sz w:val="24"/>
          <w:highlight w:val="none"/>
        </w:rPr>
      </w:pPr>
      <w:r>
        <w:rPr>
          <w:bCs/>
          <w:color w:val="auto"/>
          <w:sz w:val="24"/>
          <w:highlight w:val="none"/>
        </w:rPr>
        <w:t>本次采购标的为北京市人力资源和社会保障局</w:t>
      </w:r>
      <w:bookmarkStart w:id="683" w:name="OLE_LINK5"/>
      <w:r>
        <w:rPr>
          <w:bCs/>
          <w:color w:val="auto"/>
          <w:sz w:val="24"/>
          <w:highlight w:val="none"/>
        </w:rPr>
        <w:t>积分落户管理信息系统</w:t>
      </w:r>
      <w:bookmarkEnd w:id="683"/>
      <w:r>
        <w:rPr>
          <w:bCs/>
          <w:color w:val="auto"/>
          <w:sz w:val="24"/>
          <w:highlight w:val="none"/>
        </w:rPr>
        <w:t>适配能力提升项目软件测评服务、安全测评服务。</w:t>
      </w:r>
    </w:p>
    <w:p w14:paraId="0D197A14">
      <w:pPr>
        <w:shd w:val="clear"/>
        <w:spacing w:after="0" w:line="360" w:lineRule="auto"/>
        <w:ind w:firstLine="482"/>
        <w:contextualSpacing/>
        <w:outlineLvl w:val="2"/>
        <w:rPr>
          <w:bCs/>
          <w:color w:val="auto"/>
          <w:sz w:val="24"/>
          <w:highlight w:val="none"/>
        </w:rPr>
      </w:pPr>
      <w:r>
        <w:rPr>
          <w:bCs/>
          <w:color w:val="auto"/>
          <w:sz w:val="24"/>
          <w:highlight w:val="none"/>
        </w:rPr>
        <w:t>1.2 需执行的国家相关标准、行业标准、地方标准或者其他标准、规范</w:t>
      </w:r>
    </w:p>
    <w:p w14:paraId="2FCCDACF">
      <w:pPr>
        <w:shd w:val="clear"/>
        <w:spacing w:after="0" w:line="360" w:lineRule="auto"/>
        <w:ind w:firstLine="482"/>
        <w:contextualSpacing/>
        <w:outlineLvl w:val="2"/>
        <w:rPr>
          <w:bCs/>
          <w:color w:val="auto"/>
          <w:sz w:val="24"/>
          <w:highlight w:val="none"/>
        </w:rPr>
      </w:pPr>
      <w:r>
        <w:rPr>
          <w:bCs/>
          <w:color w:val="auto"/>
          <w:sz w:val="24"/>
          <w:highlight w:val="none"/>
        </w:rPr>
        <w:t>GB/T 28827.1-2012信息技术服务 运行维护 第1部分：通用要求</w:t>
      </w:r>
    </w:p>
    <w:p w14:paraId="4B7A7FEB">
      <w:pPr>
        <w:shd w:val="clear"/>
        <w:spacing w:after="0" w:line="360" w:lineRule="auto"/>
        <w:ind w:firstLine="482"/>
        <w:contextualSpacing/>
        <w:outlineLvl w:val="2"/>
        <w:rPr>
          <w:bCs/>
          <w:color w:val="auto"/>
          <w:sz w:val="24"/>
          <w:highlight w:val="none"/>
        </w:rPr>
      </w:pPr>
      <w:r>
        <w:rPr>
          <w:bCs/>
          <w:color w:val="auto"/>
          <w:sz w:val="24"/>
          <w:highlight w:val="none"/>
        </w:rPr>
        <w:t>GB/T 28827.2-2012信息技术服务 运行维护 第2部分：交付规范</w:t>
      </w:r>
    </w:p>
    <w:p w14:paraId="02A2F4B9">
      <w:pPr>
        <w:shd w:val="clear"/>
        <w:spacing w:after="0" w:line="360" w:lineRule="auto"/>
        <w:ind w:firstLine="482"/>
        <w:contextualSpacing/>
        <w:outlineLvl w:val="2"/>
        <w:rPr>
          <w:bCs/>
          <w:color w:val="auto"/>
          <w:sz w:val="24"/>
          <w:highlight w:val="none"/>
        </w:rPr>
      </w:pPr>
      <w:r>
        <w:rPr>
          <w:bCs/>
          <w:color w:val="auto"/>
          <w:sz w:val="24"/>
          <w:highlight w:val="none"/>
        </w:rPr>
        <w:t>GB/T 28827.3-2012信息技术服务 运行维护 第3部分：应急响应规范</w:t>
      </w:r>
    </w:p>
    <w:p w14:paraId="398F8423">
      <w:pPr>
        <w:shd w:val="clear"/>
        <w:spacing w:after="0" w:line="360" w:lineRule="auto"/>
        <w:ind w:firstLine="482"/>
        <w:contextualSpacing/>
        <w:outlineLvl w:val="2"/>
        <w:rPr>
          <w:bCs/>
          <w:color w:val="auto"/>
          <w:sz w:val="24"/>
          <w:highlight w:val="none"/>
        </w:rPr>
      </w:pPr>
      <w:r>
        <w:rPr>
          <w:bCs/>
          <w:color w:val="auto"/>
          <w:sz w:val="24"/>
          <w:highlight w:val="none"/>
        </w:rPr>
        <w:t>SJ/T 11564.4-2015信息技术服务 运行维护 第4部分：数据中心规范</w:t>
      </w:r>
    </w:p>
    <w:p w14:paraId="49DDA105">
      <w:pPr>
        <w:shd w:val="clear"/>
        <w:spacing w:after="0" w:line="360" w:lineRule="auto"/>
        <w:ind w:firstLine="482"/>
        <w:contextualSpacing/>
        <w:outlineLvl w:val="2"/>
        <w:rPr>
          <w:bCs/>
          <w:color w:val="auto"/>
          <w:sz w:val="24"/>
          <w:highlight w:val="none"/>
        </w:rPr>
      </w:pPr>
      <w:r>
        <w:rPr>
          <w:bCs/>
          <w:color w:val="auto"/>
          <w:sz w:val="24"/>
          <w:highlight w:val="none"/>
        </w:rPr>
        <w:t>SJ/T 11564.5-2017信息技术服务 运行维护 第5部分：桌面及外围设备规范</w:t>
      </w:r>
    </w:p>
    <w:p w14:paraId="57CBC9A7">
      <w:pPr>
        <w:shd w:val="clear"/>
        <w:spacing w:after="0" w:line="360" w:lineRule="auto"/>
        <w:ind w:firstLine="482"/>
        <w:contextualSpacing/>
        <w:outlineLvl w:val="2"/>
        <w:rPr>
          <w:bCs/>
          <w:color w:val="auto"/>
          <w:sz w:val="24"/>
          <w:highlight w:val="none"/>
        </w:rPr>
      </w:pPr>
      <w:r>
        <w:rPr>
          <w:bCs/>
          <w:color w:val="auto"/>
          <w:sz w:val="24"/>
          <w:highlight w:val="none"/>
        </w:rPr>
        <w:t>ITSS.1-2015信息技术服务 运行维护服务能力成熟度模型</w:t>
      </w:r>
    </w:p>
    <w:p w14:paraId="5DA34FDC">
      <w:pPr>
        <w:shd w:val="clear"/>
        <w:spacing w:after="0" w:line="360" w:lineRule="auto"/>
        <w:ind w:firstLine="482"/>
        <w:contextualSpacing/>
        <w:outlineLvl w:val="2"/>
        <w:rPr>
          <w:bCs/>
          <w:color w:val="auto"/>
          <w:sz w:val="24"/>
          <w:highlight w:val="none"/>
        </w:rPr>
      </w:pPr>
      <w:r>
        <w:rPr>
          <w:bCs/>
          <w:color w:val="auto"/>
          <w:sz w:val="24"/>
          <w:highlight w:val="none"/>
        </w:rPr>
        <w:t>ISO/IEC 20000-1:2005 信息技术—服务管理－第1部分：规范</w:t>
      </w:r>
    </w:p>
    <w:p w14:paraId="5E910C18">
      <w:pPr>
        <w:shd w:val="clear"/>
        <w:spacing w:after="0" w:line="360" w:lineRule="auto"/>
        <w:ind w:firstLine="482"/>
        <w:contextualSpacing/>
        <w:outlineLvl w:val="2"/>
        <w:rPr>
          <w:bCs/>
          <w:color w:val="auto"/>
          <w:sz w:val="24"/>
          <w:highlight w:val="none"/>
        </w:rPr>
      </w:pPr>
      <w:r>
        <w:rPr>
          <w:bCs/>
          <w:color w:val="auto"/>
          <w:sz w:val="24"/>
          <w:highlight w:val="none"/>
        </w:rPr>
        <w:t>ISO/IEC 20000-2:2005 信息技术—服务管理－第2部分：实施指南</w:t>
      </w:r>
    </w:p>
    <w:p w14:paraId="7A862390">
      <w:pPr>
        <w:shd w:val="clear"/>
        <w:spacing w:after="0" w:line="360" w:lineRule="auto"/>
        <w:ind w:firstLine="482"/>
        <w:contextualSpacing/>
        <w:outlineLvl w:val="2"/>
        <w:rPr>
          <w:bCs/>
          <w:color w:val="auto"/>
          <w:sz w:val="24"/>
          <w:highlight w:val="none"/>
        </w:rPr>
      </w:pPr>
      <w:r>
        <w:rPr>
          <w:bCs/>
          <w:color w:val="auto"/>
          <w:sz w:val="24"/>
          <w:highlight w:val="none"/>
        </w:rPr>
        <w:t xml:space="preserve">ISO/IEC 27001:2005 信息技术 安全技术 信息安全管理体系要求 </w:t>
      </w:r>
    </w:p>
    <w:p w14:paraId="7183937A">
      <w:pPr>
        <w:shd w:val="clear"/>
        <w:spacing w:after="0" w:line="360" w:lineRule="auto"/>
        <w:ind w:firstLine="482"/>
        <w:contextualSpacing/>
        <w:outlineLvl w:val="2"/>
        <w:rPr>
          <w:bCs/>
          <w:color w:val="auto"/>
          <w:sz w:val="24"/>
          <w:highlight w:val="none"/>
        </w:rPr>
      </w:pPr>
      <w:r>
        <w:rPr>
          <w:bCs/>
          <w:color w:val="auto"/>
          <w:sz w:val="24"/>
          <w:highlight w:val="none"/>
        </w:rPr>
        <w:t>ISO/IEC 20000-1:2018 信息技术—服务管理－第1部分：规范</w:t>
      </w:r>
    </w:p>
    <w:p w14:paraId="5503ED7E">
      <w:pPr>
        <w:shd w:val="clear"/>
        <w:spacing w:after="0" w:line="360" w:lineRule="auto"/>
        <w:ind w:firstLine="482"/>
        <w:contextualSpacing/>
        <w:outlineLvl w:val="2"/>
        <w:rPr>
          <w:bCs/>
          <w:color w:val="auto"/>
          <w:sz w:val="24"/>
          <w:highlight w:val="none"/>
        </w:rPr>
      </w:pPr>
      <w:r>
        <w:rPr>
          <w:bCs/>
          <w:color w:val="auto"/>
          <w:sz w:val="24"/>
          <w:highlight w:val="none"/>
        </w:rPr>
        <w:t>ISO/IEC 20000-2:2018 信息技术—服务管理－第2部分：实施指南</w:t>
      </w:r>
    </w:p>
    <w:p w14:paraId="32CB98C0">
      <w:pPr>
        <w:shd w:val="clear"/>
        <w:spacing w:after="0" w:line="360" w:lineRule="auto"/>
        <w:ind w:firstLine="482"/>
        <w:contextualSpacing/>
        <w:outlineLvl w:val="2"/>
        <w:rPr>
          <w:bCs/>
          <w:color w:val="auto"/>
          <w:sz w:val="24"/>
          <w:highlight w:val="none"/>
        </w:rPr>
      </w:pPr>
      <w:r>
        <w:rPr>
          <w:bCs/>
          <w:color w:val="auto"/>
          <w:sz w:val="24"/>
          <w:highlight w:val="none"/>
        </w:rPr>
        <w:t>ISO/IEC 27001:2018 信息技术 安全技术 信息安全管理体系要求</w:t>
      </w:r>
    </w:p>
    <w:p w14:paraId="4E449D47">
      <w:pPr>
        <w:shd w:val="clear"/>
        <w:spacing w:after="0" w:line="360" w:lineRule="auto"/>
        <w:ind w:firstLine="482"/>
        <w:contextualSpacing/>
        <w:rPr>
          <w:color w:val="auto"/>
          <w:highlight w:val="none"/>
        </w:rPr>
      </w:pPr>
      <w:r>
        <w:rPr>
          <w:bCs/>
          <w:color w:val="auto"/>
          <w:sz w:val="24"/>
          <w:highlight w:val="none"/>
        </w:rPr>
        <w:t>项目采购需执行国家相关标准、行业标准、地方标准或者其他标准</w:t>
      </w:r>
      <w:r>
        <w:rPr>
          <w:rFonts w:hint="eastAsia"/>
          <w:bCs/>
          <w:color w:val="auto"/>
          <w:sz w:val="24"/>
          <w:highlight w:val="none"/>
        </w:rPr>
        <w:t>、规范</w:t>
      </w:r>
      <w:r>
        <w:rPr>
          <w:bCs/>
          <w:color w:val="auto"/>
          <w:sz w:val="24"/>
          <w:highlight w:val="none"/>
        </w:rPr>
        <w:t>。标准如有更新，以最新版为准。</w:t>
      </w:r>
    </w:p>
    <w:p w14:paraId="3CD20319">
      <w:pPr>
        <w:shd w:val="clear"/>
        <w:spacing w:line="360" w:lineRule="auto"/>
        <w:contextualSpacing/>
        <w:outlineLvl w:val="1"/>
        <w:rPr>
          <w:bCs/>
          <w:color w:val="auto"/>
          <w:sz w:val="24"/>
          <w:highlight w:val="none"/>
        </w:rPr>
      </w:pPr>
      <w:r>
        <w:rPr>
          <w:bCs/>
          <w:color w:val="auto"/>
          <w:sz w:val="24"/>
          <w:highlight w:val="none"/>
        </w:rPr>
        <w:t>2. 服务内容及要求</w:t>
      </w:r>
    </w:p>
    <w:p w14:paraId="61DF52F1">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2.1 </w:t>
      </w:r>
      <w:r>
        <w:rPr>
          <w:bCs/>
          <w:color w:val="auto"/>
          <w:sz w:val="24"/>
          <w:highlight w:val="none"/>
        </w:rPr>
        <w:t>软件测评服务部分</w:t>
      </w:r>
    </w:p>
    <w:p w14:paraId="4CA7DDF2">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软件测试是软件生命周期中不可缺少的重要环节，是系统质量保证的重要手段。科学合理的测试方案，严格高效的测试管理，是项目成功的有力保障。</w:t>
      </w:r>
    </w:p>
    <w:p w14:paraId="0910C63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针对项目的设计要求，对整个项目的系统功能、性能效率、可靠性、易用性和安全性等方面进行全方位的测试。为保证项目质量，必须进行严格的项目测试，严格控制工作产品质量。测试内容包括（不限于）：</w:t>
      </w:r>
    </w:p>
    <w:p w14:paraId="7CDC8741">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2.1.1 功能测试</w:t>
      </w:r>
    </w:p>
    <w:p w14:paraId="3DCD9DFF">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功能测试是系统测试最常用和必须的测试，测试是否满足开发要求，是否能够提供设计所描述的功能，是否用户的需求都得到满足，并以正式的软件需求说明书为测试标准。</w:t>
      </w:r>
    </w:p>
    <w:p w14:paraId="71513036">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2.1.2 性能（效率）测试</w:t>
      </w:r>
    </w:p>
    <w:p w14:paraId="768E6D7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测试系统的能力最高实际限度，即软件在一些超负荷的情况，功能实现情况。如要求软件某一行为的大量重复、输入大量的数据或大数值数据、对数据库大量复杂的查询等。同时依据被测软件的性能指标，进行性能测评，对如传输连接的最长时限、传输的错误率、计算的精度、记录的精度、响应的时限和恢复时限等。</w:t>
      </w:r>
    </w:p>
    <w:p w14:paraId="73CA75D7">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2.1.3 可靠性测试</w:t>
      </w:r>
    </w:p>
    <w:p w14:paraId="17F931F0">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采用人工的干扰使软件出错，中断使用，检测系统的恢复能力，特别是通讯系统。恢复测试时，应该参考性能测试的相关测试指标。</w:t>
      </w:r>
    </w:p>
    <w:p w14:paraId="18703ACA">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2.1.4 易用性测试</w:t>
      </w:r>
    </w:p>
    <w:p w14:paraId="17887231">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测试用户是否能够满意使用。具体体现为操作是否方便，用户界面是否友好等。</w:t>
      </w:r>
    </w:p>
    <w:p w14:paraId="1AB3307B">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2.1.5 其他测评</w:t>
      </w:r>
    </w:p>
    <w:p w14:paraId="64F22B73">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依据国家、行业标准及合同要求，完成其他测评工作。</w:t>
      </w:r>
    </w:p>
    <w:p w14:paraId="6EEA7065">
      <w:pPr>
        <w:pStyle w:val="256"/>
        <w:shd w:val="clear"/>
        <w:rPr>
          <w:bCs/>
          <w:color w:val="auto"/>
          <w:highlight w:val="none"/>
        </w:rPr>
      </w:pPr>
      <w:r>
        <w:rPr>
          <w:rFonts w:hint="eastAsia" w:ascii="Times New Roman" w:hAnsi="Times New Roman"/>
          <w:bCs/>
          <w:color w:val="auto"/>
          <w:kern w:val="2"/>
          <w:highlight w:val="none"/>
          <w:lang w:val="en-US" w:eastAsia="zh-CN"/>
        </w:rPr>
        <w:t>通过实施软件评测，发现和找出本系统未满足项目需求或设计要求并且影响上线使用的开发设计缺陷，对被评测系统进行评估，为总体验收使用提供质量保证。</w:t>
      </w:r>
    </w:p>
    <w:p w14:paraId="01AF142C">
      <w:pPr>
        <w:shd w:val="clear"/>
        <w:spacing w:after="0" w:line="360" w:lineRule="auto"/>
        <w:ind w:firstLine="482"/>
        <w:contextualSpacing/>
        <w:outlineLvl w:val="2"/>
        <w:rPr>
          <w:bCs/>
          <w:color w:val="auto"/>
          <w:sz w:val="24"/>
          <w:highlight w:val="none"/>
        </w:rPr>
      </w:pPr>
      <w:bookmarkStart w:id="684" w:name="OLE_LINK2"/>
      <w:r>
        <w:rPr>
          <w:bCs/>
          <w:color w:val="auto"/>
          <w:sz w:val="24"/>
          <w:highlight w:val="none"/>
        </w:rPr>
        <w:t>2.1.</w:t>
      </w:r>
      <w:r>
        <w:rPr>
          <w:rFonts w:hint="eastAsia"/>
          <w:bCs/>
          <w:color w:val="auto"/>
          <w:sz w:val="24"/>
          <w:highlight w:val="none"/>
        </w:rPr>
        <w:t xml:space="preserve">6 </w:t>
      </w:r>
      <w:r>
        <w:rPr>
          <w:bCs/>
          <w:color w:val="auto"/>
          <w:sz w:val="24"/>
          <w:highlight w:val="none"/>
        </w:rPr>
        <w:t>服务交付物要求</w:t>
      </w:r>
    </w:p>
    <w:p w14:paraId="1BECE5A1">
      <w:pPr>
        <w:shd w:val="clear"/>
        <w:spacing w:after="0" w:line="360" w:lineRule="auto"/>
        <w:ind w:firstLine="482"/>
        <w:contextualSpacing/>
        <w:outlineLvl w:val="2"/>
        <w:rPr>
          <w:rFonts w:hint="eastAsia" w:eastAsia="宋体"/>
          <w:bCs/>
          <w:color w:val="auto"/>
          <w:sz w:val="24"/>
          <w:highlight w:val="none"/>
          <w:lang w:eastAsia="zh-CN"/>
        </w:rPr>
      </w:pPr>
      <w:r>
        <w:rPr>
          <w:rFonts w:hint="eastAsia"/>
          <w:bCs/>
          <w:color w:val="auto"/>
          <w:sz w:val="24"/>
          <w:highlight w:val="none"/>
        </w:rPr>
        <w:t>经测评后，形成《</w:t>
      </w:r>
      <w:r>
        <w:rPr>
          <w:bCs/>
          <w:color w:val="auto"/>
          <w:sz w:val="24"/>
          <w:highlight w:val="none"/>
        </w:rPr>
        <w:t>积分落户管理信息</w:t>
      </w:r>
      <w:r>
        <w:rPr>
          <w:rFonts w:hint="eastAsia"/>
          <w:bCs/>
          <w:color w:val="auto"/>
          <w:sz w:val="24"/>
          <w:highlight w:val="none"/>
        </w:rPr>
        <w:t>系统软件测评报告》，对未达到技术需求的，提出切实可操作的改进措施</w:t>
      </w:r>
      <w:bookmarkEnd w:id="684"/>
      <w:r>
        <w:rPr>
          <w:rFonts w:hint="eastAsia"/>
          <w:bCs/>
          <w:color w:val="auto"/>
          <w:sz w:val="24"/>
          <w:highlight w:val="none"/>
          <w:lang w:eastAsia="zh-CN"/>
        </w:rPr>
        <w:t>。</w:t>
      </w:r>
      <w:bookmarkStart w:id="807" w:name="_GoBack"/>
      <w:bookmarkEnd w:id="807"/>
    </w:p>
    <w:p w14:paraId="165A1A22">
      <w:pPr>
        <w:shd w:val="clear"/>
        <w:spacing w:line="360" w:lineRule="auto"/>
        <w:ind w:firstLine="482"/>
        <w:contextualSpacing/>
        <w:outlineLvl w:val="2"/>
        <w:rPr>
          <w:bCs/>
          <w:color w:val="auto"/>
          <w:sz w:val="24"/>
          <w:highlight w:val="none"/>
        </w:rPr>
      </w:pPr>
      <w:r>
        <w:rPr>
          <w:bCs/>
          <w:color w:val="auto"/>
          <w:sz w:val="24"/>
          <w:highlight w:val="none"/>
        </w:rPr>
        <w:t>2.2</w:t>
      </w:r>
      <w:r>
        <w:rPr>
          <w:rFonts w:hint="eastAsia"/>
          <w:bCs/>
          <w:color w:val="auto"/>
          <w:sz w:val="24"/>
          <w:highlight w:val="none"/>
        </w:rPr>
        <w:t xml:space="preserve"> 安全测评服务部分</w:t>
      </w:r>
    </w:p>
    <w:p w14:paraId="58AE14A2">
      <w:pPr>
        <w:shd w:val="clear"/>
        <w:spacing w:after="0" w:line="360" w:lineRule="auto"/>
        <w:ind w:firstLine="482"/>
        <w:contextualSpacing/>
        <w:outlineLvl w:val="2"/>
        <w:rPr>
          <w:bCs/>
          <w:color w:val="auto"/>
          <w:sz w:val="24"/>
          <w:highlight w:val="none"/>
        </w:rPr>
      </w:pPr>
      <w:r>
        <w:rPr>
          <w:bCs/>
          <w:color w:val="auto"/>
          <w:sz w:val="24"/>
          <w:highlight w:val="none"/>
        </w:rPr>
        <w:t>2.2.1</w:t>
      </w:r>
      <w:r>
        <w:rPr>
          <w:rFonts w:hint="eastAsia"/>
          <w:bCs/>
          <w:color w:val="auto"/>
          <w:sz w:val="24"/>
          <w:highlight w:val="none"/>
        </w:rPr>
        <w:t xml:space="preserve"> 体系结构分析</w:t>
      </w:r>
    </w:p>
    <w:p w14:paraId="2F3FC222">
      <w:pPr>
        <w:pStyle w:val="256"/>
        <w:shd w:val="clear"/>
        <w:rPr>
          <w:rFonts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通过对信息系统设计方案和安全解决方案进行静态分析，对该系统达到安全要求的可能性给出结论。根据用户提供的安全体系相关的设计和建设方案历史数据，结合系统现状，对方案涉及的系统安全方针、安全体系结构、安全设计实现、产品选型、工程实施等内容进行分析。</w:t>
      </w:r>
    </w:p>
    <w:p w14:paraId="17779DB6">
      <w:pPr>
        <w:shd w:val="clear"/>
        <w:spacing w:after="0" w:line="360" w:lineRule="auto"/>
        <w:ind w:firstLine="482"/>
        <w:contextualSpacing/>
        <w:outlineLvl w:val="2"/>
        <w:rPr>
          <w:rFonts w:hint="eastAsia"/>
          <w:bCs/>
          <w:color w:val="auto"/>
          <w:sz w:val="24"/>
          <w:highlight w:val="none"/>
        </w:rPr>
      </w:pPr>
      <w:r>
        <w:rPr>
          <w:bCs/>
          <w:color w:val="auto"/>
          <w:sz w:val="24"/>
          <w:highlight w:val="none"/>
        </w:rPr>
        <w:t xml:space="preserve">2.2.2 </w:t>
      </w:r>
      <w:r>
        <w:rPr>
          <w:rFonts w:hint="eastAsia"/>
          <w:bCs/>
          <w:color w:val="auto"/>
          <w:sz w:val="24"/>
          <w:highlight w:val="none"/>
        </w:rPr>
        <w:t>脆弱性分析</w:t>
      </w:r>
    </w:p>
    <w:p w14:paraId="5902EA9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脆弱性（弱点）是指可能为许多目的而利用的系统某些方面，包括系统弱点、安全漏洞和实现的缺陷等，对象包括主机系统、网络系统、数据库和应用软件等。将从网络安全、主机安全、应用安全、数据安全等方面鉴别和理解系统当前技术安全状况与验收目标的符合程度，分析当前存在的脆弱性，并提供整个系统的脆弱性列表。</w:t>
      </w:r>
    </w:p>
    <w:p w14:paraId="4A01153D">
      <w:pPr>
        <w:shd w:val="clear"/>
        <w:spacing w:after="0" w:line="360" w:lineRule="auto"/>
        <w:ind w:firstLine="482"/>
        <w:contextualSpacing/>
        <w:outlineLvl w:val="2"/>
        <w:rPr>
          <w:rFonts w:hint="eastAsia"/>
          <w:bCs/>
          <w:color w:val="auto"/>
          <w:sz w:val="24"/>
          <w:highlight w:val="none"/>
        </w:rPr>
      </w:pPr>
      <w:r>
        <w:rPr>
          <w:rFonts w:hint="eastAsia"/>
          <w:bCs/>
          <w:color w:val="auto"/>
          <w:sz w:val="24"/>
          <w:highlight w:val="none"/>
        </w:rPr>
        <w:t>2.2.3 源代码安全审查</w:t>
      </w:r>
    </w:p>
    <w:p w14:paraId="2503FDB6">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通过对应用系统源代码逐行扫描和分析，对源代码的安全性进行审查，发现其潜在的安全漏洞。</w:t>
      </w:r>
    </w:p>
    <w:p w14:paraId="46516586">
      <w:pPr>
        <w:pStyle w:val="256"/>
        <w:shd w:val="clear"/>
        <w:rPr>
          <w:rFonts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根据上述测评结果，针对该信息系统提出安全建议，以便于进行系统安全的整改和加固。</w:t>
      </w:r>
    </w:p>
    <w:p w14:paraId="5031B803">
      <w:pPr>
        <w:shd w:val="clear"/>
        <w:spacing w:after="0"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2</w:t>
      </w:r>
      <w:r>
        <w:rPr>
          <w:bCs/>
          <w:color w:val="auto"/>
          <w:sz w:val="24"/>
          <w:highlight w:val="none"/>
        </w:rPr>
        <w:t>.</w:t>
      </w:r>
      <w:r>
        <w:rPr>
          <w:rFonts w:hint="eastAsia"/>
          <w:bCs/>
          <w:color w:val="auto"/>
          <w:sz w:val="24"/>
          <w:highlight w:val="none"/>
        </w:rPr>
        <w:t xml:space="preserve">4 </w:t>
      </w:r>
      <w:r>
        <w:rPr>
          <w:bCs/>
          <w:color w:val="auto"/>
          <w:sz w:val="24"/>
          <w:highlight w:val="none"/>
        </w:rPr>
        <w:t>服务交付物要求</w:t>
      </w:r>
    </w:p>
    <w:p w14:paraId="466DD1EE">
      <w:pPr>
        <w:pStyle w:val="256"/>
        <w:shd w:val="clear"/>
        <w:rPr>
          <w:bCs/>
          <w:color w:val="auto"/>
          <w:highlight w:val="none"/>
        </w:rPr>
      </w:pPr>
      <w:r>
        <w:rPr>
          <w:rFonts w:hint="eastAsia"/>
          <w:bCs/>
          <w:color w:val="auto"/>
          <w:highlight w:val="none"/>
        </w:rPr>
        <w:t>经</w:t>
      </w:r>
      <w:r>
        <w:rPr>
          <w:rFonts w:hint="eastAsia"/>
          <w:bCs/>
          <w:color w:val="auto"/>
          <w:highlight w:val="none"/>
          <w:lang w:eastAsia="zh-CN"/>
        </w:rPr>
        <w:t>测评</w:t>
      </w:r>
      <w:r>
        <w:rPr>
          <w:rFonts w:hint="eastAsia"/>
          <w:bCs/>
          <w:color w:val="auto"/>
          <w:highlight w:val="none"/>
        </w:rPr>
        <w:t>后，形成《</w:t>
      </w:r>
      <w:r>
        <w:rPr>
          <w:bCs/>
          <w:color w:val="auto"/>
          <w:highlight w:val="none"/>
          <w:lang w:eastAsia="zh-CN"/>
        </w:rPr>
        <w:t>积分落户管理信息系统</w:t>
      </w:r>
      <w:r>
        <w:rPr>
          <w:rFonts w:hint="eastAsia"/>
          <w:bCs/>
          <w:color w:val="auto"/>
          <w:highlight w:val="none"/>
          <w:lang w:eastAsia="zh-CN"/>
        </w:rPr>
        <w:t>安全</w:t>
      </w:r>
      <w:r>
        <w:rPr>
          <w:rFonts w:hint="eastAsia"/>
          <w:bCs/>
          <w:color w:val="auto"/>
          <w:highlight w:val="none"/>
        </w:rPr>
        <w:t>测评报告》，对未达到技术需求的，提出切实可操作的改进措施。</w:t>
      </w:r>
    </w:p>
    <w:p w14:paraId="3066EC3D">
      <w:pPr>
        <w:shd w:val="clear"/>
        <w:spacing w:line="360" w:lineRule="auto"/>
        <w:ind w:firstLine="482"/>
        <w:contextualSpacing/>
        <w:outlineLvl w:val="2"/>
        <w:rPr>
          <w:bCs/>
          <w:color w:val="auto"/>
          <w:sz w:val="24"/>
          <w:highlight w:val="none"/>
          <w:lang w:val="en"/>
        </w:rPr>
      </w:pPr>
      <w:r>
        <w:rPr>
          <w:rFonts w:hint="eastAsia"/>
          <w:bCs/>
          <w:color w:val="auto"/>
          <w:sz w:val="24"/>
          <w:highlight w:val="none"/>
        </w:rPr>
        <w:t>2.3 为落实政府采购政策需满足的要求</w:t>
      </w:r>
    </w:p>
    <w:p w14:paraId="1A4461C3">
      <w:pPr>
        <w:shd w:val="clear"/>
        <w:spacing w:after="0" w:line="360" w:lineRule="auto"/>
        <w:ind w:firstLine="482"/>
        <w:contextualSpacing/>
        <w:outlineLvl w:val="2"/>
        <w:rPr>
          <w:bCs/>
          <w:color w:val="auto"/>
          <w:sz w:val="24"/>
          <w:highlight w:val="none"/>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p>
    <w:p w14:paraId="0F1DEC8E">
      <w:pPr>
        <w:shd w:val="clear"/>
        <w:spacing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4</w:t>
      </w:r>
      <w:r>
        <w:rPr>
          <w:bCs/>
          <w:color w:val="auto"/>
          <w:sz w:val="24"/>
          <w:highlight w:val="none"/>
        </w:rPr>
        <w:t xml:space="preserve"> 技术团队要求</w:t>
      </w:r>
    </w:p>
    <w:p w14:paraId="4EAE7B2D">
      <w:pPr>
        <w:shd w:val="clear"/>
        <w:spacing w:after="0" w:line="360" w:lineRule="auto"/>
        <w:ind w:firstLine="482"/>
        <w:contextualSpacing/>
        <w:outlineLvl w:val="2"/>
        <w:rPr>
          <w:bCs/>
          <w:color w:val="auto"/>
          <w:sz w:val="24"/>
          <w:highlight w:val="none"/>
        </w:rPr>
      </w:pPr>
      <w:r>
        <w:rPr>
          <w:bCs/>
          <w:color w:val="auto"/>
          <w:sz w:val="24"/>
          <w:highlight w:val="none"/>
        </w:rPr>
        <w:t>供应商应提供专项的测试技术服务团队，具备系统</w:t>
      </w:r>
      <w:r>
        <w:rPr>
          <w:rFonts w:hint="eastAsia"/>
          <w:bCs/>
          <w:color w:val="auto"/>
          <w:sz w:val="24"/>
          <w:highlight w:val="none"/>
        </w:rPr>
        <w:t>软件</w:t>
      </w:r>
      <w:r>
        <w:rPr>
          <w:bCs/>
          <w:color w:val="auto"/>
          <w:sz w:val="24"/>
          <w:highlight w:val="none"/>
        </w:rPr>
        <w:t>测试、</w:t>
      </w:r>
      <w:r>
        <w:rPr>
          <w:rFonts w:hint="eastAsia"/>
          <w:bCs/>
          <w:color w:val="auto"/>
          <w:sz w:val="24"/>
          <w:highlight w:val="none"/>
        </w:rPr>
        <w:t>安全测评</w:t>
      </w:r>
      <w:r>
        <w:rPr>
          <w:bCs/>
          <w:color w:val="auto"/>
          <w:sz w:val="24"/>
          <w:highlight w:val="none"/>
        </w:rPr>
        <w:t>等相关安全技术服务经验，配备至少1名</w:t>
      </w:r>
      <w:r>
        <w:rPr>
          <w:rFonts w:hint="eastAsia"/>
          <w:bCs/>
          <w:color w:val="auto"/>
          <w:sz w:val="24"/>
          <w:highlight w:val="none"/>
        </w:rPr>
        <w:t>项目负责人</w:t>
      </w:r>
      <w:r>
        <w:rPr>
          <w:bCs/>
          <w:color w:val="auto"/>
          <w:sz w:val="24"/>
          <w:highlight w:val="none"/>
        </w:rPr>
        <w:t>，</w:t>
      </w:r>
      <w:r>
        <w:rPr>
          <w:rFonts w:hint="eastAsia"/>
          <w:bCs/>
          <w:color w:val="auto"/>
          <w:sz w:val="24"/>
          <w:highlight w:val="none"/>
          <w:lang w:val="en-US" w:eastAsia="zh-CN"/>
        </w:rPr>
        <w:t>具有信息系统项目管理师（高级）证书和</w:t>
      </w:r>
      <w:r>
        <w:rPr>
          <w:rFonts w:hint="eastAsia"/>
          <w:bCs/>
          <w:color w:val="auto"/>
          <w:sz w:val="24"/>
          <w:highlight w:val="none"/>
        </w:rPr>
        <w:t>CISAW（或CISP或计算机技术与软件专业技术资格的信息安全工程师）</w:t>
      </w:r>
      <w:r>
        <w:rPr>
          <w:rFonts w:hint="eastAsia"/>
          <w:bCs/>
          <w:color w:val="auto"/>
          <w:sz w:val="24"/>
          <w:highlight w:val="none"/>
          <w:lang w:val="en-US" w:eastAsia="zh-CN"/>
        </w:rPr>
        <w:t>，</w:t>
      </w:r>
      <w:r>
        <w:rPr>
          <w:bCs/>
          <w:color w:val="auto"/>
          <w:sz w:val="24"/>
          <w:highlight w:val="none"/>
        </w:rPr>
        <w:t>负责监督服务期内的测试服务实施。并提供符合项目测试任务要求、具备相关职业资格的技术人员，包括技术负责人、系统测试评测师、网络安全评测师等</w:t>
      </w:r>
      <w:r>
        <w:rPr>
          <w:rFonts w:hint="eastAsia"/>
          <w:bCs/>
          <w:color w:val="auto"/>
          <w:sz w:val="24"/>
          <w:highlight w:val="none"/>
          <w:lang w:eastAsia="zh-CN"/>
        </w:rPr>
        <w:t>，</w:t>
      </w:r>
      <w:r>
        <w:rPr>
          <w:rFonts w:hint="eastAsia"/>
          <w:bCs/>
          <w:color w:val="auto"/>
          <w:sz w:val="24"/>
          <w:highlight w:val="none"/>
          <w:lang w:val="en-US" w:eastAsia="zh-CN"/>
        </w:rPr>
        <w:t>并具有相应资质</w:t>
      </w:r>
      <w:r>
        <w:rPr>
          <w:bCs/>
          <w:color w:val="auto"/>
          <w:sz w:val="24"/>
          <w:highlight w:val="none"/>
        </w:rPr>
        <w:t>。</w:t>
      </w:r>
    </w:p>
    <w:p w14:paraId="503D13B1">
      <w:pPr>
        <w:shd w:val="clear"/>
        <w:spacing w:after="0" w:line="360" w:lineRule="auto"/>
        <w:ind w:firstLine="482"/>
        <w:contextualSpacing/>
        <w:outlineLvl w:val="2"/>
        <w:rPr>
          <w:bCs/>
          <w:color w:val="auto"/>
          <w:sz w:val="24"/>
          <w:highlight w:val="none"/>
        </w:rPr>
      </w:pPr>
      <w:r>
        <w:rPr>
          <w:bCs/>
          <w:color w:val="auto"/>
          <w:sz w:val="24"/>
          <w:highlight w:val="none"/>
        </w:rPr>
        <w:t>在服务期间，团队成员如无特殊原因（如离职、生病不能长期工作）不得进行更换。如得到同意进行更换的人员的职称（资格）等级不低于原人员。项目实施团队成员需备案，所有人员未经同意不得更换。</w:t>
      </w:r>
    </w:p>
    <w:p w14:paraId="7ADDE5FA">
      <w:pPr>
        <w:shd w:val="clear"/>
        <w:spacing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5</w:t>
      </w:r>
      <w:r>
        <w:rPr>
          <w:bCs/>
          <w:color w:val="auto"/>
          <w:sz w:val="24"/>
          <w:highlight w:val="none"/>
        </w:rPr>
        <w:t xml:space="preserve"> 售后服务要求</w:t>
      </w:r>
    </w:p>
    <w:p w14:paraId="5A388636">
      <w:pPr>
        <w:shd w:val="clear"/>
        <w:spacing w:after="0" w:line="360" w:lineRule="auto"/>
        <w:ind w:firstLine="482"/>
        <w:contextualSpacing/>
        <w:outlineLvl w:val="2"/>
        <w:rPr>
          <w:bCs/>
          <w:color w:val="auto"/>
          <w:sz w:val="24"/>
          <w:highlight w:val="none"/>
        </w:rPr>
      </w:pPr>
      <w:r>
        <w:rPr>
          <w:bCs/>
          <w:color w:val="auto"/>
          <w:sz w:val="24"/>
          <w:highlight w:val="none"/>
        </w:rPr>
        <w:t>供应商应具备良好的售后服务体系，并为项目各项任务配备符合项目测试要求的测试团队，在规定时间内完成测试工作任务。在质保期内，应提供7×24小时响应服务。供应商应在</w:t>
      </w:r>
      <w:r>
        <w:rPr>
          <w:rFonts w:hint="eastAsia"/>
          <w:bCs/>
          <w:color w:val="auto"/>
          <w:sz w:val="24"/>
          <w:highlight w:val="none"/>
        </w:rPr>
        <w:t>响应</w:t>
      </w:r>
      <w:r>
        <w:rPr>
          <w:bCs/>
          <w:color w:val="auto"/>
          <w:sz w:val="24"/>
          <w:highlight w:val="none"/>
        </w:rPr>
        <w:t>文件中提供详细具体的售后服务承诺条款及保证。</w:t>
      </w:r>
    </w:p>
    <w:p w14:paraId="1CD2580D">
      <w:pPr>
        <w:shd w:val="clear"/>
        <w:spacing w:line="360" w:lineRule="auto"/>
        <w:contextualSpacing/>
        <w:outlineLvl w:val="1"/>
        <w:rPr>
          <w:bCs/>
          <w:color w:val="auto"/>
          <w:sz w:val="24"/>
          <w:highlight w:val="none"/>
        </w:rPr>
      </w:pPr>
      <w:r>
        <w:rPr>
          <w:bCs/>
          <w:color w:val="auto"/>
          <w:sz w:val="24"/>
          <w:highlight w:val="none"/>
        </w:rPr>
        <w:t>3.</w:t>
      </w:r>
      <w:bookmarkStart w:id="685" w:name="OLE_LINK231"/>
      <w:r>
        <w:rPr>
          <w:bCs/>
          <w:color w:val="auto"/>
          <w:sz w:val="24"/>
          <w:highlight w:val="none"/>
        </w:rPr>
        <w:t xml:space="preserve"> 验收方案</w:t>
      </w:r>
    </w:p>
    <w:bookmarkEnd w:id="685"/>
    <w:p w14:paraId="45D8653A">
      <w:pPr>
        <w:shd w:val="clear"/>
        <w:spacing w:after="0" w:line="360" w:lineRule="auto"/>
        <w:ind w:firstLine="482"/>
        <w:contextualSpacing/>
        <w:outlineLvl w:val="2"/>
        <w:rPr>
          <w:bCs/>
          <w:color w:val="auto"/>
          <w:sz w:val="24"/>
          <w:highlight w:val="none"/>
        </w:rPr>
      </w:pPr>
      <w:r>
        <w:rPr>
          <w:bCs/>
          <w:color w:val="auto"/>
          <w:sz w:val="24"/>
          <w:highlight w:val="none"/>
        </w:rPr>
        <w:t>3.1 履约验收主体</w:t>
      </w:r>
    </w:p>
    <w:p w14:paraId="15200C8B">
      <w:pPr>
        <w:shd w:val="clear"/>
        <w:spacing w:after="0" w:line="360" w:lineRule="auto"/>
        <w:ind w:firstLine="482"/>
        <w:contextualSpacing/>
        <w:outlineLvl w:val="2"/>
        <w:rPr>
          <w:bCs/>
          <w:color w:val="auto"/>
          <w:sz w:val="24"/>
          <w:highlight w:val="none"/>
        </w:rPr>
      </w:pPr>
      <w:r>
        <w:rPr>
          <w:bCs/>
          <w:color w:val="auto"/>
          <w:sz w:val="24"/>
          <w:highlight w:val="none"/>
        </w:rPr>
        <w:t>采购人、专家。</w:t>
      </w:r>
    </w:p>
    <w:p w14:paraId="13655C02">
      <w:pPr>
        <w:shd w:val="clear"/>
        <w:spacing w:after="0" w:line="360" w:lineRule="auto"/>
        <w:ind w:firstLine="482"/>
        <w:contextualSpacing/>
        <w:outlineLvl w:val="2"/>
        <w:rPr>
          <w:bCs/>
          <w:color w:val="auto"/>
          <w:sz w:val="24"/>
          <w:highlight w:val="none"/>
        </w:rPr>
      </w:pPr>
      <w:r>
        <w:rPr>
          <w:bCs/>
          <w:color w:val="auto"/>
          <w:sz w:val="24"/>
          <w:highlight w:val="none"/>
        </w:rPr>
        <w:t>3.2 履约验收时间</w:t>
      </w:r>
    </w:p>
    <w:p w14:paraId="2430D150">
      <w:pPr>
        <w:shd w:val="clear"/>
        <w:spacing w:after="0" w:line="360" w:lineRule="auto"/>
        <w:ind w:firstLine="482"/>
        <w:contextualSpacing/>
        <w:outlineLvl w:val="2"/>
        <w:rPr>
          <w:bCs/>
          <w:color w:val="auto"/>
          <w:sz w:val="24"/>
          <w:highlight w:val="none"/>
        </w:rPr>
      </w:pPr>
      <w:r>
        <w:rPr>
          <w:bCs/>
          <w:color w:val="auto"/>
          <w:sz w:val="24"/>
          <w:highlight w:val="none"/>
        </w:rPr>
        <w:t>全部测试、测评工作结束后。</w:t>
      </w:r>
    </w:p>
    <w:p w14:paraId="4FAF9043">
      <w:pPr>
        <w:shd w:val="clear"/>
        <w:spacing w:after="0" w:line="360" w:lineRule="auto"/>
        <w:ind w:firstLine="482"/>
        <w:contextualSpacing/>
        <w:outlineLvl w:val="2"/>
        <w:rPr>
          <w:bCs/>
          <w:color w:val="auto"/>
          <w:sz w:val="24"/>
          <w:highlight w:val="none"/>
        </w:rPr>
      </w:pPr>
      <w:r>
        <w:rPr>
          <w:bCs/>
          <w:color w:val="auto"/>
          <w:sz w:val="24"/>
          <w:highlight w:val="none"/>
        </w:rPr>
        <w:t>3.3 履约验收方式</w:t>
      </w:r>
    </w:p>
    <w:p w14:paraId="1DBEEE56">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rPr>
        <w:t>专家评审</w:t>
      </w:r>
      <w:r>
        <w:rPr>
          <w:bCs/>
          <w:color w:val="auto"/>
          <w:sz w:val="24"/>
          <w:highlight w:val="none"/>
        </w:rPr>
        <w:t>会。</w:t>
      </w:r>
    </w:p>
    <w:p w14:paraId="3247E53C">
      <w:pPr>
        <w:shd w:val="clear"/>
        <w:spacing w:after="0" w:line="360" w:lineRule="auto"/>
        <w:ind w:firstLine="482"/>
        <w:contextualSpacing/>
        <w:outlineLvl w:val="2"/>
        <w:rPr>
          <w:bCs/>
          <w:color w:val="auto"/>
          <w:sz w:val="24"/>
          <w:highlight w:val="none"/>
        </w:rPr>
      </w:pPr>
      <w:r>
        <w:rPr>
          <w:bCs/>
          <w:color w:val="auto"/>
          <w:sz w:val="24"/>
          <w:highlight w:val="none"/>
        </w:rPr>
        <w:t>3.4 履约验收程序</w:t>
      </w:r>
    </w:p>
    <w:p w14:paraId="610BFAE4">
      <w:pPr>
        <w:shd w:val="clear"/>
        <w:spacing w:after="0" w:line="360" w:lineRule="auto"/>
        <w:ind w:firstLine="482"/>
        <w:contextualSpacing/>
        <w:outlineLvl w:val="2"/>
        <w:rPr>
          <w:bCs/>
          <w:color w:val="auto"/>
          <w:sz w:val="24"/>
          <w:highlight w:val="none"/>
        </w:rPr>
      </w:pPr>
      <w:r>
        <w:rPr>
          <w:bCs/>
          <w:color w:val="auto"/>
          <w:sz w:val="24"/>
          <w:highlight w:val="none"/>
        </w:rPr>
        <w:t>成交供应商应在全部测试、测评工作结束后，向采购人提交验收材料，并在验收材料审核通过后，书面向采购人及监理单位提出验收申请，由采购人组织开展项目验收工作。</w:t>
      </w:r>
    </w:p>
    <w:p w14:paraId="07B1268E">
      <w:pPr>
        <w:shd w:val="clear"/>
        <w:spacing w:after="0" w:line="360" w:lineRule="auto"/>
        <w:ind w:firstLine="482"/>
        <w:contextualSpacing/>
        <w:outlineLvl w:val="2"/>
        <w:rPr>
          <w:bCs/>
          <w:color w:val="auto"/>
          <w:sz w:val="24"/>
          <w:highlight w:val="none"/>
        </w:rPr>
      </w:pPr>
      <w:r>
        <w:rPr>
          <w:bCs/>
          <w:color w:val="auto"/>
          <w:sz w:val="24"/>
          <w:highlight w:val="none"/>
        </w:rPr>
        <w:t>3.5 履约验收内容</w:t>
      </w:r>
    </w:p>
    <w:p w14:paraId="1E20DA84">
      <w:pPr>
        <w:shd w:val="clear"/>
        <w:spacing w:after="0" w:line="360" w:lineRule="auto"/>
        <w:ind w:firstLine="482"/>
        <w:contextualSpacing/>
        <w:outlineLvl w:val="2"/>
        <w:rPr>
          <w:bCs/>
          <w:color w:val="auto"/>
          <w:sz w:val="24"/>
          <w:highlight w:val="none"/>
        </w:rPr>
      </w:pPr>
      <w:r>
        <w:rPr>
          <w:bCs/>
          <w:color w:val="auto"/>
          <w:sz w:val="24"/>
          <w:highlight w:val="none"/>
        </w:rPr>
        <w:t>合同</w:t>
      </w:r>
      <w:r>
        <w:rPr>
          <w:rFonts w:hint="eastAsia"/>
          <w:bCs/>
          <w:color w:val="auto"/>
          <w:sz w:val="24"/>
          <w:highlight w:val="none"/>
        </w:rPr>
        <w:t>和采购人要求完成</w:t>
      </w:r>
      <w:r>
        <w:rPr>
          <w:bCs/>
          <w:color w:val="auto"/>
          <w:sz w:val="24"/>
          <w:highlight w:val="none"/>
        </w:rPr>
        <w:t>的服务内容。</w:t>
      </w:r>
    </w:p>
    <w:p w14:paraId="5A6DA039">
      <w:pPr>
        <w:shd w:val="clear"/>
        <w:spacing w:after="0" w:line="360" w:lineRule="auto"/>
        <w:ind w:firstLine="482"/>
        <w:contextualSpacing/>
        <w:outlineLvl w:val="2"/>
        <w:rPr>
          <w:bCs/>
          <w:color w:val="auto"/>
          <w:sz w:val="24"/>
          <w:highlight w:val="none"/>
        </w:rPr>
      </w:pPr>
      <w:r>
        <w:rPr>
          <w:bCs/>
          <w:color w:val="auto"/>
          <w:sz w:val="24"/>
          <w:highlight w:val="none"/>
        </w:rPr>
        <w:t>3.6 验收标准</w:t>
      </w:r>
    </w:p>
    <w:p w14:paraId="5330E336">
      <w:pPr>
        <w:shd w:val="clear"/>
        <w:spacing w:after="0" w:line="360" w:lineRule="auto"/>
        <w:ind w:firstLine="482"/>
        <w:contextualSpacing/>
        <w:outlineLvl w:val="2"/>
        <w:rPr>
          <w:bCs/>
          <w:color w:val="auto"/>
          <w:sz w:val="24"/>
          <w:highlight w:val="none"/>
        </w:rPr>
      </w:pPr>
      <w:r>
        <w:rPr>
          <w:bCs/>
          <w:color w:val="auto"/>
          <w:sz w:val="24"/>
          <w:highlight w:val="none"/>
        </w:rPr>
        <w:t>项目通过由采购人组织的专家评审会验收，且交付成果完全满足采购人</w:t>
      </w:r>
      <w:r>
        <w:rPr>
          <w:rFonts w:hint="eastAsia"/>
          <w:bCs/>
          <w:color w:val="auto"/>
          <w:sz w:val="24"/>
          <w:highlight w:val="none"/>
        </w:rPr>
        <w:t>和</w:t>
      </w:r>
      <w:r>
        <w:rPr>
          <w:bCs/>
          <w:color w:val="auto"/>
          <w:sz w:val="24"/>
          <w:highlight w:val="none"/>
        </w:rPr>
        <w:t>合同规定的全部要求。</w:t>
      </w:r>
    </w:p>
    <w:p w14:paraId="1A8EBA40">
      <w:pPr>
        <w:shd w:val="clear"/>
        <w:spacing w:line="360" w:lineRule="auto"/>
        <w:contextualSpacing/>
        <w:outlineLvl w:val="1"/>
        <w:rPr>
          <w:bCs/>
          <w:color w:val="auto"/>
          <w:sz w:val="24"/>
          <w:highlight w:val="none"/>
        </w:rPr>
      </w:pPr>
      <w:r>
        <w:rPr>
          <w:rFonts w:hint="eastAsia"/>
          <w:bCs/>
          <w:color w:val="auto"/>
          <w:sz w:val="24"/>
          <w:highlight w:val="none"/>
        </w:rPr>
        <w:t>4</w:t>
      </w:r>
      <w:r>
        <w:rPr>
          <w:bCs/>
          <w:color w:val="auto"/>
          <w:sz w:val="24"/>
          <w:highlight w:val="none"/>
        </w:rPr>
        <w:t>. 其他要求</w:t>
      </w:r>
    </w:p>
    <w:p w14:paraId="381AC341">
      <w:pPr>
        <w:shd w:val="clear"/>
        <w:spacing w:after="0" w:line="360" w:lineRule="auto"/>
        <w:ind w:firstLine="482"/>
        <w:contextualSpacing/>
        <w:outlineLvl w:val="2"/>
        <w:rPr>
          <w:bCs/>
          <w:color w:val="auto"/>
          <w:sz w:val="24"/>
          <w:highlight w:val="none"/>
        </w:rPr>
      </w:pPr>
      <w:r>
        <w:rPr>
          <w:rFonts w:hint="eastAsia"/>
          <w:bCs/>
          <w:color w:val="auto"/>
          <w:sz w:val="24"/>
          <w:highlight w:val="none"/>
        </w:rPr>
        <w:t>4.1</w:t>
      </w:r>
      <w:r>
        <w:rPr>
          <w:bCs/>
          <w:color w:val="auto"/>
          <w:sz w:val="24"/>
          <w:highlight w:val="none"/>
        </w:rPr>
        <w:t>严格遵守相关保密规定，做好数据保密工作，不得私自查看、下载、拍摄或其他方式私自留存项目数据。</w:t>
      </w:r>
    </w:p>
    <w:p w14:paraId="47B8C0FF">
      <w:pPr>
        <w:shd w:val="clear"/>
        <w:spacing w:after="0" w:line="360" w:lineRule="auto"/>
        <w:ind w:firstLine="482"/>
        <w:contextualSpacing/>
        <w:outlineLvl w:val="2"/>
        <w:rPr>
          <w:bCs/>
          <w:color w:val="auto"/>
          <w:sz w:val="24"/>
          <w:highlight w:val="none"/>
        </w:rPr>
      </w:pPr>
      <w:r>
        <w:rPr>
          <w:rFonts w:hint="eastAsia"/>
          <w:bCs/>
          <w:color w:val="auto"/>
          <w:sz w:val="24"/>
          <w:highlight w:val="none"/>
        </w:rPr>
        <w:t>4.2</w:t>
      </w:r>
      <w:r>
        <w:rPr>
          <w:bCs/>
          <w:color w:val="auto"/>
          <w:sz w:val="24"/>
          <w:highlight w:val="none"/>
        </w:rPr>
        <w:t>合同到期后60日内严格按照采购人管理相关要求做好项目安全服务人员的保密管理。</w:t>
      </w:r>
    </w:p>
    <w:p w14:paraId="1514B8E4">
      <w:pPr>
        <w:shd w:val="clear"/>
        <w:spacing w:after="0" w:line="360" w:lineRule="auto"/>
        <w:ind w:firstLine="482"/>
        <w:contextualSpacing/>
        <w:outlineLvl w:val="2"/>
        <w:rPr>
          <w:bCs/>
          <w:color w:val="auto"/>
          <w:sz w:val="24"/>
          <w:highlight w:val="none"/>
        </w:rPr>
      </w:pPr>
      <w:r>
        <w:rPr>
          <w:rFonts w:hint="eastAsia"/>
          <w:bCs/>
          <w:color w:val="auto"/>
          <w:sz w:val="24"/>
          <w:highlight w:val="none"/>
        </w:rPr>
        <w:t>4.3</w:t>
      </w:r>
      <w:r>
        <w:rPr>
          <w:bCs/>
          <w:color w:val="auto"/>
          <w:sz w:val="24"/>
          <w:highlight w:val="none"/>
        </w:rPr>
        <w:t>提供项目保密方案，方案应包人员保密管理、文档保密管理等方面内容。</w:t>
      </w:r>
    </w:p>
    <w:p w14:paraId="166F26D1">
      <w:pPr>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07D30722">
      <w:pPr>
        <w:pStyle w:val="6"/>
        <w:shd w:val="clear"/>
        <w:rPr>
          <w:rFonts w:hint="eastAsia"/>
          <w:color w:val="auto"/>
          <w:highlight w:val="none"/>
          <w:u w:val="none"/>
          <w:lang w:val="en-US" w:eastAsia="zh-CN"/>
        </w:rPr>
      </w:pPr>
      <w:r>
        <w:rPr>
          <w:rFonts w:hint="eastAsia"/>
          <w:color w:val="auto"/>
          <w:highlight w:val="none"/>
          <w:u w:val="none"/>
          <w:lang w:val="en-US" w:eastAsia="zh-CN"/>
        </w:rPr>
        <w:t>第3包：</w:t>
      </w:r>
    </w:p>
    <w:p w14:paraId="7465D834">
      <w:pPr>
        <w:shd w:val="clear"/>
        <w:rPr>
          <w:rFonts w:hint="eastAsia"/>
          <w:color w:val="auto"/>
          <w:highlight w:val="none"/>
          <w:u w:val="none"/>
          <w:lang w:val="en-US" w:eastAsia="zh-CN"/>
        </w:rPr>
      </w:pPr>
    </w:p>
    <w:p w14:paraId="2DDB2E70">
      <w:pPr>
        <w:shd w:val="clear"/>
        <w:spacing w:line="360" w:lineRule="auto"/>
        <w:contextualSpacing/>
        <w:outlineLvl w:val="0"/>
        <w:rPr>
          <w:b/>
          <w:color w:val="auto"/>
          <w:sz w:val="24"/>
          <w:highlight w:val="none"/>
        </w:rPr>
      </w:pPr>
      <w:r>
        <w:rPr>
          <w:b/>
          <w:color w:val="auto"/>
          <w:sz w:val="24"/>
          <w:highlight w:val="none"/>
        </w:rPr>
        <w:t>一、采购标的</w:t>
      </w:r>
    </w:p>
    <w:p w14:paraId="47114429">
      <w:pPr>
        <w:shd w:val="clear"/>
        <w:spacing w:line="360" w:lineRule="auto"/>
        <w:contextualSpacing/>
        <w:outlineLvl w:val="1"/>
        <w:rPr>
          <w:bCs/>
          <w:color w:val="auto"/>
          <w:sz w:val="24"/>
          <w:highlight w:val="none"/>
        </w:rPr>
      </w:pPr>
      <w:r>
        <w:rPr>
          <w:bCs/>
          <w:color w:val="auto"/>
          <w:sz w:val="24"/>
          <w:highlight w:val="none"/>
        </w:rPr>
        <w:t>1. 采购标的</w:t>
      </w:r>
    </w:p>
    <w:p w14:paraId="53CD2CBB">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北京市人力资源和社会保障局积分落户管理信息系统适配能力提升项目（第3包：监理服务）</w:t>
      </w:r>
    </w:p>
    <w:p w14:paraId="7E8B85CB">
      <w:pPr>
        <w:shd w:val="clear"/>
        <w:spacing w:line="360" w:lineRule="auto"/>
        <w:contextualSpacing/>
        <w:outlineLvl w:val="1"/>
        <w:rPr>
          <w:bCs/>
          <w:color w:val="auto"/>
          <w:sz w:val="24"/>
          <w:highlight w:val="none"/>
        </w:rPr>
      </w:pPr>
      <w:r>
        <w:rPr>
          <w:bCs/>
          <w:color w:val="auto"/>
          <w:sz w:val="24"/>
          <w:highlight w:val="none"/>
        </w:rPr>
        <w:t>2. 项目概述</w:t>
      </w:r>
    </w:p>
    <w:p w14:paraId="033114FC">
      <w:pPr>
        <w:shd w:val="clear"/>
        <w:spacing w:after="0" w:line="360" w:lineRule="auto"/>
        <w:ind w:firstLine="482"/>
        <w:contextualSpacing/>
        <w:outlineLvl w:val="2"/>
        <w:rPr>
          <w:bCs/>
          <w:color w:val="auto"/>
          <w:sz w:val="24"/>
          <w:highlight w:val="none"/>
        </w:rPr>
      </w:pPr>
      <w:r>
        <w:rPr>
          <w:bCs/>
          <w:color w:val="auto"/>
          <w:sz w:val="24"/>
          <w:highlight w:val="none"/>
        </w:rPr>
        <w:t>系统有效支撑了2018年-2025年度积分落户业务的申报、核查、复查、公示和落户办理全流程，系统良好运行辅助落实了市</w:t>
      </w:r>
      <w:r>
        <w:rPr>
          <w:rFonts w:hint="eastAsia"/>
          <w:bCs/>
          <w:color w:val="auto"/>
          <w:sz w:val="24"/>
          <w:highlight w:val="none"/>
          <w:lang w:eastAsia="zh-CN"/>
        </w:rPr>
        <w:t>人力资源和社会保障局</w:t>
      </w:r>
      <w:r>
        <w:rPr>
          <w:bCs/>
          <w:color w:val="auto"/>
          <w:sz w:val="24"/>
          <w:highlight w:val="none"/>
        </w:rPr>
        <w:t xml:space="preserve">积分落户实施工作的组织管理职责、市发展改革委积分落户工作统筹协调职责，有效支撑了市委宣传部、首都文明委、市总工会、市教委、市科委、市公安局、市民政局、市规划国土委、市住房城乡建设委、市税务局积分落户指标审核、手续办理等工作的开展，也为各区政府、经济技术开发区指定相关部门负责部分积分指标的现场审核及政策咨询等工作提供平台服务。积分落户系统每年约有126万人符合资格申报条件，涉及10万家用人单位。系统当前采用的是Oracle数据库，部署在北京联通政务云平台，尚未进行替代，因此需要全盘进行适配替代。  </w:t>
      </w:r>
    </w:p>
    <w:p w14:paraId="7376D56D">
      <w:pPr>
        <w:shd w:val="clear"/>
        <w:spacing w:line="360" w:lineRule="auto"/>
        <w:contextualSpacing/>
        <w:outlineLvl w:val="0"/>
        <w:rPr>
          <w:b/>
          <w:color w:val="auto"/>
          <w:sz w:val="24"/>
          <w:highlight w:val="none"/>
        </w:rPr>
      </w:pPr>
      <w:r>
        <w:rPr>
          <w:b/>
          <w:color w:val="auto"/>
          <w:sz w:val="24"/>
          <w:highlight w:val="none"/>
        </w:rPr>
        <w:t>二、商务要求</w:t>
      </w:r>
    </w:p>
    <w:p w14:paraId="201087C7">
      <w:pPr>
        <w:shd w:val="clear"/>
        <w:spacing w:after="0" w:line="360" w:lineRule="auto"/>
        <w:contextualSpacing/>
        <w:outlineLvl w:val="0"/>
        <w:rPr>
          <w:bCs/>
          <w:color w:val="auto"/>
          <w:sz w:val="24"/>
          <w:highlight w:val="none"/>
        </w:rPr>
      </w:pPr>
      <w:r>
        <w:rPr>
          <w:bCs/>
          <w:color w:val="auto"/>
          <w:sz w:val="24"/>
          <w:highlight w:val="none"/>
        </w:rPr>
        <w:t>1. 交付（实施）的时间（期限）和地点（范围）</w:t>
      </w:r>
    </w:p>
    <w:p w14:paraId="6EE5AA38">
      <w:pPr>
        <w:shd w:val="clear"/>
        <w:spacing w:after="0" w:line="360" w:lineRule="auto"/>
        <w:ind w:firstLine="482"/>
        <w:contextualSpacing/>
        <w:outlineLvl w:val="2"/>
        <w:rPr>
          <w:bCs/>
          <w:color w:val="auto"/>
          <w:sz w:val="24"/>
          <w:highlight w:val="none"/>
        </w:rPr>
      </w:pPr>
      <w:r>
        <w:rPr>
          <w:bCs/>
          <w:color w:val="auto"/>
          <w:sz w:val="24"/>
          <w:highlight w:val="none"/>
        </w:rPr>
        <w:t>服务期限：自合同签订之日起至</w:t>
      </w:r>
      <w:r>
        <w:rPr>
          <w:rFonts w:hint="eastAsia"/>
          <w:bCs/>
          <w:color w:val="auto"/>
          <w:sz w:val="24"/>
          <w:highlight w:val="none"/>
        </w:rPr>
        <w:t>北京市人力资源和社会保障局积分落户管理信息系统适配能力提升项目</w:t>
      </w:r>
      <w:r>
        <w:rPr>
          <w:rFonts w:hint="eastAsia"/>
          <w:bCs/>
          <w:color w:val="auto"/>
          <w:sz w:val="24"/>
          <w:highlight w:val="none"/>
          <w:lang w:eastAsia="zh-CN"/>
        </w:rPr>
        <w:t>全部竣工并</w:t>
      </w:r>
      <w:r>
        <w:rPr>
          <w:bCs/>
          <w:color w:val="auto"/>
          <w:sz w:val="24"/>
          <w:highlight w:val="none"/>
        </w:rPr>
        <w:t>通过终验之日止。</w:t>
      </w:r>
    </w:p>
    <w:p w14:paraId="7527513A">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379370BA">
      <w:pPr>
        <w:shd w:val="clear"/>
        <w:spacing w:line="360" w:lineRule="auto"/>
        <w:contextualSpacing/>
        <w:outlineLvl w:val="1"/>
        <w:rPr>
          <w:bCs/>
          <w:color w:val="auto"/>
          <w:sz w:val="24"/>
          <w:highlight w:val="none"/>
        </w:rPr>
      </w:pPr>
      <w:r>
        <w:rPr>
          <w:bCs/>
          <w:color w:val="auto"/>
          <w:sz w:val="24"/>
          <w:highlight w:val="none"/>
        </w:rPr>
        <w:t>2. 付款条件（进度和方式）</w:t>
      </w:r>
    </w:p>
    <w:p w14:paraId="552934A9">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发票及合同款总额10%的履约保函后，于10个工作日内一次性支付成交供应商合同款总额。</w:t>
      </w:r>
    </w:p>
    <w:p w14:paraId="3AF0FEA2">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59072C82">
      <w:pPr>
        <w:shd w:val="clear"/>
        <w:spacing w:line="360" w:lineRule="auto"/>
        <w:contextualSpacing/>
        <w:outlineLvl w:val="0"/>
        <w:rPr>
          <w:b/>
          <w:color w:val="auto"/>
          <w:sz w:val="24"/>
          <w:highlight w:val="none"/>
        </w:rPr>
      </w:pPr>
      <w:r>
        <w:rPr>
          <w:b/>
          <w:color w:val="auto"/>
          <w:sz w:val="24"/>
          <w:highlight w:val="none"/>
        </w:rPr>
        <w:t>三、监理服务要求</w:t>
      </w:r>
    </w:p>
    <w:p w14:paraId="4E9E84BC">
      <w:pPr>
        <w:shd w:val="clear"/>
        <w:spacing w:after="0" w:line="360" w:lineRule="auto"/>
        <w:contextualSpacing/>
        <w:outlineLvl w:val="1"/>
        <w:rPr>
          <w:bCs/>
          <w:color w:val="auto"/>
          <w:sz w:val="24"/>
          <w:highlight w:val="none"/>
        </w:rPr>
      </w:pPr>
      <w:bookmarkStart w:id="686" w:name="_Toc11717"/>
      <w:r>
        <w:rPr>
          <w:bCs/>
          <w:color w:val="auto"/>
          <w:sz w:val="24"/>
          <w:highlight w:val="none"/>
        </w:rPr>
        <w:t>1. 总体要求</w:t>
      </w:r>
      <w:bookmarkEnd w:id="686"/>
    </w:p>
    <w:p w14:paraId="1CC96997">
      <w:pPr>
        <w:shd w:val="clear"/>
        <w:spacing w:after="0" w:line="360" w:lineRule="auto"/>
        <w:ind w:firstLine="482"/>
        <w:contextualSpacing/>
        <w:outlineLvl w:val="2"/>
        <w:rPr>
          <w:bCs/>
          <w:color w:val="auto"/>
          <w:sz w:val="24"/>
          <w:highlight w:val="none"/>
        </w:rPr>
      </w:pPr>
      <w:r>
        <w:rPr>
          <w:bCs/>
          <w:color w:val="auto"/>
          <w:sz w:val="24"/>
          <w:highlight w:val="none"/>
        </w:rPr>
        <w:t>供应商要按照本项目建设目标和要求，遵循国家、北京市信息系统工程建设和监理的标准和规范，依据项目建设合同和用户需求，应用现代的项目管理技巧及手段，对项目的各个层面进行管理和控制协调。供应商应重点对项目的质量、进度、投资等进行控制，同时，还要对</w:t>
      </w:r>
      <w:r>
        <w:rPr>
          <w:rFonts w:hint="eastAsia"/>
          <w:bCs/>
          <w:color w:val="auto"/>
          <w:sz w:val="24"/>
          <w:highlight w:val="none"/>
        </w:rPr>
        <w:t>项目建设</w:t>
      </w:r>
      <w:r>
        <w:rPr>
          <w:bCs/>
          <w:color w:val="auto"/>
          <w:sz w:val="24"/>
          <w:highlight w:val="none"/>
        </w:rPr>
        <w:t>合同的执行、信息文档、</w:t>
      </w:r>
      <w:r>
        <w:rPr>
          <w:rFonts w:hint="eastAsia"/>
          <w:bCs/>
          <w:color w:val="auto"/>
          <w:sz w:val="24"/>
          <w:highlight w:val="none"/>
        </w:rPr>
        <w:t>安全保密</w:t>
      </w:r>
      <w:r>
        <w:rPr>
          <w:bCs/>
          <w:color w:val="auto"/>
          <w:sz w:val="24"/>
          <w:highlight w:val="none"/>
        </w:rPr>
        <w:t>等进行管理，要用先进的、适合于信息工程行业特点的项目管理手段进行升级改造的监理，使本项目“按期保质、高效节约”地完成。</w:t>
      </w:r>
    </w:p>
    <w:p w14:paraId="52AD6BAC">
      <w:pPr>
        <w:shd w:val="clear"/>
        <w:spacing w:after="0" w:line="360" w:lineRule="auto"/>
        <w:contextualSpacing/>
        <w:outlineLvl w:val="1"/>
        <w:rPr>
          <w:bCs/>
          <w:color w:val="auto"/>
          <w:sz w:val="24"/>
          <w:highlight w:val="none"/>
        </w:rPr>
      </w:pPr>
      <w:bookmarkStart w:id="687" w:name="_Toc32438"/>
      <w:r>
        <w:rPr>
          <w:bCs/>
          <w:color w:val="auto"/>
          <w:sz w:val="24"/>
          <w:highlight w:val="none"/>
        </w:rPr>
        <w:t>2. 服务范围和内容</w:t>
      </w:r>
      <w:bookmarkEnd w:id="687"/>
    </w:p>
    <w:p w14:paraId="609B3807">
      <w:pPr>
        <w:shd w:val="clear"/>
        <w:spacing w:after="0" w:line="360" w:lineRule="auto"/>
        <w:ind w:firstLine="482"/>
        <w:contextualSpacing/>
        <w:outlineLvl w:val="2"/>
        <w:rPr>
          <w:bCs/>
          <w:color w:val="auto"/>
          <w:sz w:val="24"/>
          <w:highlight w:val="none"/>
        </w:rPr>
      </w:pPr>
      <w:r>
        <w:rPr>
          <w:rFonts w:hint="eastAsia"/>
          <w:bCs/>
          <w:color w:val="auto"/>
          <w:sz w:val="24"/>
          <w:highlight w:val="none"/>
        </w:rPr>
        <w:t>北京市人力资源和社会保障局积分落户管理信息系统适配能力提升项目</w:t>
      </w:r>
      <w:r>
        <w:rPr>
          <w:bCs/>
          <w:color w:val="auto"/>
          <w:sz w:val="24"/>
          <w:highlight w:val="none"/>
        </w:rPr>
        <w:t>全过程监理。</w:t>
      </w:r>
    </w:p>
    <w:p w14:paraId="66026DE3">
      <w:pPr>
        <w:shd w:val="clear"/>
        <w:spacing w:after="0" w:line="360" w:lineRule="auto"/>
        <w:contextualSpacing/>
        <w:outlineLvl w:val="1"/>
        <w:rPr>
          <w:bCs/>
          <w:color w:val="auto"/>
          <w:sz w:val="24"/>
          <w:highlight w:val="none"/>
        </w:rPr>
      </w:pPr>
      <w:bookmarkStart w:id="688" w:name="_Toc13494"/>
      <w:r>
        <w:rPr>
          <w:bCs/>
          <w:color w:val="auto"/>
          <w:sz w:val="24"/>
          <w:highlight w:val="none"/>
        </w:rPr>
        <w:t>3. 监理服务准则</w:t>
      </w:r>
      <w:bookmarkEnd w:id="688"/>
    </w:p>
    <w:p w14:paraId="759F9C83">
      <w:pPr>
        <w:shd w:val="clear"/>
        <w:spacing w:after="0" w:line="360" w:lineRule="auto"/>
        <w:ind w:firstLine="482"/>
        <w:contextualSpacing/>
        <w:outlineLvl w:val="2"/>
        <w:rPr>
          <w:bCs/>
          <w:color w:val="auto"/>
          <w:sz w:val="24"/>
          <w:highlight w:val="none"/>
        </w:rPr>
      </w:pPr>
      <w:r>
        <w:rPr>
          <w:bCs/>
          <w:color w:val="auto"/>
          <w:sz w:val="24"/>
          <w:highlight w:val="none"/>
        </w:rPr>
        <w:t>3.1 维护国家的荣誉和利益，按照“守法、诚信、公正、科学”的准则执业。</w:t>
      </w:r>
    </w:p>
    <w:p w14:paraId="559EC6AE">
      <w:pPr>
        <w:shd w:val="clear"/>
        <w:spacing w:after="0" w:line="360" w:lineRule="auto"/>
        <w:ind w:firstLine="482"/>
        <w:contextualSpacing/>
        <w:outlineLvl w:val="2"/>
        <w:rPr>
          <w:bCs/>
          <w:color w:val="auto"/>
          <w:sz w:val="24"/>
          <w:highlight w:val="none"/>
        </w:rPr>
      </w:pPr>
      <w:r>
        <w:rPr>
          <w:bCs/>
          <w:color w:val="auto"/>
          <w:sz w:val="24"/>
          <w:highlight w:val="none"/>
        </w:rPr>
        <w:t>3.2 执行有关工程建设的法律、法规、规范、标准和制度，履行合同规定的义务和职责。</w:t>
      </w:r>
    </w:p>
    <w:p w14:paraId="706AEF5E">
      <w:pPr>
        <w:shd w:val="clear"/>
        <w:spacing w:after="0" w:line="360" w:lineRule="auto"/>
        <w:ind w:firstLine="482"/>
        <w:contextualSpacing/>
        <w:outlineLvl w:val="2"/>
        <w:rPr>
          <w:bCs/>
          <w:color w:val="auto"/>
          <w:sz w:val="24"/>
          <w:highlight w:val="none"/>
        </w:rPr>
      </w:pPr>
      <w:r>
        <w:rPr>
          <w:bCs/>
          <w:color w:val="auto"/>
          <w:sz w:val="24"/>
          <w:highlight w:val="none"/>
        </w:rPr>
        <w:t>3.3 不收受被监理</w:t>
      </w:r>
      <w:r>
        <w:rPr>
          <w:rFonts w:hint="eastAsia"/>
          <w:bCs/>
          <w:color w:val="auto"/>
          <w:sz w:val="24"/>
          <w:highlight w:val="none"/>
        </w:rPr>
        <w:t>的承建</w:t>
      </w:r>
      <w:r>
        <w:rPr>
          <w:bCs/>
          <w:color w:val="auto"/>
          <w:sz w:val="24"/>
          <w:highlight w:val="none"/>
        </w:rPr>
        <w:t>单位的任何礼金。</w:t>
      </w:r>
    </w:p>
    <w:p w14:paraId="648226FD">
      <w:pPr>
        <w:shd w:val="clear"/>
        <w:spacing w:after="0" w:line="360" w:lineRule="auto"/>
        <w:ind w:firstLine="482"/>
        <w:contextualSpacing/>
        <w:outlineLvl w:val="2"/>
        <w:rPr>
          <w:bCs/>
          <w:color w:val="auto"/>
          <w:sz w:val="24"/>
          <w:highlight w:val="none"/>
        </w:rPr>
      </w:pPr>
      <w:r>
        <w:rPr>
          <w:bCs/>
          <w:color w:val="auto"/>
          <w:sz w:val="24"/>
          <w:highlight w:val="none"/>
        </w:rPr>
        <w:t>3.4 不泄漏所监理</w:t>
      </w:r>
      <w:r>
        <w:rPr>
          <w:rFonts w:hint="eastAsia"/>
          <w:bCs/>
          <w:color w:val="auto"/>
          <w:sz w:val="24"/>
          <w:highlight w:val="none"/>
          <w:lang w:eastAsia="zh-CN"/>
        </w:rPr>
        <w:t>项目</w:t>
      </w:r>
      <w:r>
        <w:rPr>
          <w:bCs/>
          <w:color w:val="auto"/>
          <w:sz w:val="24"/>
          <w:highlight w:val="none"/>
        </w:rPr>
        <w:t>各方认为需要保密的事项。</w:t>
      </w:r>
    </w:p>
    <w:p w14:paraId="509132ED">
      <w:pPr>
        <w:shd w:val="clear"/>
        <w:spacing w:after="0" w:line="360" w:lineRule="auto"/>
        <w:ind w:firstLine="482"/>
        <w:contextualSpacing/>
        <w:outlineLvl w:val="2"/>
        <w:rPr>
          <w:bCs/>
          <w:color w:val="auto"/>
          <w:sz w:val="24"/>
          <w:highlight w:val="none"/>
        </w:rPr>
      </w:pPr>
      <w:r>
        <w:rPr>
          <w:bCs/>
          <w:color w:val="auto"/>
          <w:sz w:val="24"/>
          <w:highlight w:val="none"/>
        </w:rPr>
        <w:t>3.5 遵守国家的法律和政府的有关条例、规定和办法等。</w:t>
      </w:r>
    </w:p>
    <w:p w14:paraId="561E267D">
      <w:pPr>
        <w:shd w:val="clear"/>
        <w:spacing w:after="0" w:line="360" w:lineRule="auto"/>
        <w:ind w:firstLine="482"/>
        <w:contextualSpacing/>
        <w:outlineLvl w:val="2"/>
        <w:rPr>
          <w:bCs/>
          <w:color w:val="auto"/>
          <w:sz w:val="24"/>
          <w:highlight w:val="none"/>
        </w:rPr>
      </w:pPr>
      <w:r>
        <w:rPr>
          <w:bCs/>
          <w:color w:val="auto"/>
          <w:sz w:val="24"/>
          <w:highlight w:val="none"/>
        </w:rPr>
        <w:t>3.6 认真履行合同所承诺的义务和承担约定的责任。</w:t>
      </w:r>
    </w:p>
    <w:p w14:paraId="230B26CB">
      <w:pPr>
        <w:shd w:val="clear"/>
        <w:spacing w:after="0" w:line="360" w:lineRule="auto"/>
        <w:ind w:firstLine="482"/>
        <w:contextualSpacing/>
        <w:outlineLvl w:val="2"/>
        <w:rPr>
          <w:bCs/>
          <w:color w:val="auto"/>
          <w:sz w:val="24"/>
          <w:highlight w:val="none"/>
        </w:rPr>
      </w:pPr>
      <w:r>
        <w:rPr>
          <w:bCs/>
          <w:color w:val="auto"/>
          <w:sz w:val="24"/>
          <w:highlight w:val="none"/>
        </w:rPr>
        <w:t>3.7 坚持公正的立场，公平地处理有关各方的争议。</w:t>
      </w:r>
    </w:p>
    <w:p w14:paraId="0165F703">
      <w:pPr>
        <w:shd w:val="clear"/>
        <w:spacing w:after="0" w:line="360" w:lineRule="auto"/>
        <w:ind w:firstLine="482"/>
        <w:contextualSpacing/>
        <w:outlineLvl w:val="2"/>
        <w:rPr>
          <w:bCs/>
          <w:color w:val="auto"/>
          <w:sz w:val="24"/>
          <w:highlight w:val="none"/>
        </w:rPr>
      </w:pPr>
      <w:r>
        <w:rPr>
          <w:bCs/>
          <w:color w:val="auto"/>
          <w:sz w:val="24"/>
          <w:highlight w:val="none"/>
        </w:rPr>
        <w:t>3.8 坚持科学的态度和实事求是的原则。</w:t>
      </w:r>
    </w:p>
    <w:p w14:paraId="3770685A">
      <w:pPr>
        <w:shd w:val="clear"/>
        <w:spacing w:after="0" w:line="360" w:lineRule="auto"/>
        <w:contextualSpacing/>
        <w:outlineLvl w:val="1"/>
        <w:rPr>
          <w:bCs/>
          <w:color w:val="auto"/>
          <w:sz w:val="24"/>
          <w:highlight w:val="none"/>
        </w:rPr>
      </w:pPr>
      <w:bookmarkStart w:id="689" w:name="_Toc23283"/>
      <w:r>
        <w:rPr>
          <w:bCs/>
          <w:color w:val="auto"/>
          <w:sz w:val="24"/>
          <w:highlight w:val="none"/>
        </w:rPr>
        <w:t>4. 监理服务依据</w:t>
      </w:r>
      <w:bookmarkEnd w:id="689"/>
    </w:p>
    <w:p w14:paraId="751F712F">
      <w:pPr>
        <w:shd w:val="clear"/>
        <w:spacing w:after="0" w:line="360" w:lineRule="auto"/>
        <w:ind w:firstLine="482"/>
        <w:contextualSpacing/>
        <w:outlineLvl w:val="2"/>
        <w:rPr>
          <w:bCs/>
          <w:color w:val="auto"/>
          <w:sz w:val="24"/>
          <w:highlight w:val="none"/>
        </w:rPr>
      </w:pPr>
      <w:r>
        <w:rPr>
          <w:bCs/>
          <w:color w:val="auto"/>
          <w:sz w:val="24"/>
          <w:highlight w:val="none"/>
        </w:rPr>
        <w:t>4.1 国家、北京市信息系统工程监理规范</w:t>
      </w:r>
      <w:r>
        <w:rPr>
          <w:rFonts w:hint="eastAsia"/>
          <w:bCs/>
          <w:color w:val="auto"/>
          <w:sz w:val="24"/>
          <w:highlight w:val="none"/>
        </w:rPr>
        <w:t>。</w:t>
      </w:r>
    </w:p>
    <w:p w14:paraId="7575D41B">
      <w:pPr>
        <w:shd w:val="clear"/>
        <w:spacing w:after="0" w:line="360" w:lineRule="auto"/>
        <w:ind w:firstLine="482"/>
        <w:contextualSpacing/>
        <w:outlineLvl w:val="2"/>
        <w:rPr>
          <w:bCs/>
          <w:color w:val="auto"/>
          <w:sz w:val="24"/>
          <w:highlight w:val="none"/>
        </w:rPr>
      </w:pPr>
      <w:r>
        <w:rPr>
          <w:bCs/>
          <w:color w:val="auto"/>
          <w:sz w:val="24"/>
          <w:highlight w:val="none"/>
        </w:rPr>
        <w:t xml:space="preserve">4.2 </w:t>
      </w:r>
      <w:r>
        <w:rPr>
          <w:rFonts w:hint="eastAsia"/>
          <w:bCs/>
          <w:color w:val="auto"/>
          <w:sz w:val="24"/>
          <w:highlight w:val="none"/>
        </w:rPr>
        <w:t>采购人</w:t>
      </w:r>
      <w:r>
        <w:rPr>
          <w:bCs/>
          <w:color w:val="auto"/>
          <w:sz w:val="24"/>
          <w:highlight w:val="none"/>
        </w:rPr>
        <w:t>与</w:t>
      </w:r>
      <w:r>
        <w:rPr>
          <w:rFonts w:hint="eastAsia"/>
          <w:bCs/>
          <w:color w:val="auto"/>
          <w:sz w:val="24"/>
          <w:highlight w:val="none"/>
        </w:rPr>
        <w:t>承建单位</w:t>
      </w:r>
      <w:r>
        <w:rPr>
          <w:bCs/>
          <w:color w:val="auto"/>
          <w:sz w:val="24"/>
          <w:highlight w:val="none"/>
        </w:rPr>
        <w:t>签订的</w:t>
      </w:r>
      <w:r>
        <w:rPr>
          <w:rFonts w:hint="eastAsia"/>
          <w:bCs/>
          <w:color w:val="auto"/>
          <w:sz w:val="24"/>
          <w:highlight w:val="none"/>
        </w:rPr>
        <w:t>项目建设</w:t>
      </w:r>
      <w:r>
        <w:rPr>
          <w:bCs/>
          <w:color w:val="auto"/>
          <w:sz w:val="24"/>
          <w:highlight w:val="none"/>
        </w:rPr>
        <w:t>合同</w:t>
      </w:r>
      <w:r>
        <w:rPr>
          <w:rFonts w:hint="eastAsia"/>
          <w:bCs/>
          <w:color w:val="auto"/>
          <w:sz w:val="24"/>
          <w:highlight w:val="none"/>
        </w:rPr>
        <w:t>。</w:t>
      </w:r>
    </w:p>
    <w:p w14:paraId="5582207A">
      <w:pPr>
        <w:shd w:val="clear"/>
        <w:spacing w:after="0" w:line="360" w:lineRule="auto"/>
        <w:ind w:firstLine="482"/>
        <w:contextualSpacing/>
        <w:outlineLvl w:val="2"/>
        <w:rPr>
          <w:bCs/>
          <w:color w:val="auto"/>
          <w:sz w:val="24"/>
          <w:highlight w:val="none"/>
        </w:rPr>
      </w:pPr>
      <w:r>
        <w:rPr>
          <w:bCs/>
          <w:color w:val="auto"/>
          <w:sz w:val="24"/>
          <w:highlight w:val="none"/>
        </w:rPr>
        <w:t xml:space="preserve">4.3 </w:t>
      </w:r>
      <w:r>
        <w:rPr>
          <w:rFonts w:hint="eastAsia"/>
          <w:bCs/>
          <w:color w:val="auto"/>
          <w:sz w:val="24"/>
          <w:highlight w:val="none"/>
        </w:rPr>
        <w:t>采购人</w:t>
      </w:r>
      <w:r>
        <w:rPr>
          <w:bCs/>
          <w:color w:val="auto"/>
          <w:sz w:val="24"/>
          <w:highlight w:val="none"/>
        </w:rPr>
        <w:t>与供应商签订的合同</w:t>
      </w:r>
      <w:r>
        <w:rPr>
          <w:rFonts w:hint="eastAsia"/>
          <w:bCs/>
          <w:color w:val="auto"/>
          <w:sz w:val="24"/>
          <w:highlight w:val="none"/>
        </w:rPr>
        <w:t>。</w:t>
      </w:r>
    </w:p>
    <w:p w14:paraId="711D773A">
      <w:pPr>
        <w:shd w:val="clear"/>
        <w:spacing w:after="0" w:line="360" w:lineRule="auto"/>
        <w:ind w:firstLine="482"/>
        <w:contextualSpacing/>
        <w:outlineLvl w:val="2"/>
        <w:rPr>
          <w:bCs/>
          <w:color w:val="auto"/>
          <w:sz w:val="24"/>
          <w:highlight w:val="none"/>
        </w:rPr>
      </w:pPr>
      <w:r>
        <w:rPr>
          <w:bCs/>
          <w:color w:val="auto"/>
          <w:sz w:val="24"/>
          <w:highlight w:val="none"/>
        </w:rPr>
        <w:t>4.4 有关国家和行业的技术标准。</w:t>
      </w:r>
    </w:p>
    <w:p w14:paraId="766FE571">
      <w:pPr>
        <w:shd w:val="clear"/>
        <w:spacing w:after="0" w:line="360" w:lineRule="auto"/>
        <w:ind w:firstLine="482"/>
        <w:contextualSpacing/>
        <w:outlineLvl w:val="2"/>
        <w:rPr>
          <w:bCs/>
          <w:color w:val="auto"/>
          <w:sz w:val="24"/>
          <w:highlight w:val="none"/>
        </w:rPr>
      </w:pPr>
      <w:r>
        <w:rPr>
          <w:bCs/>
          <w:color w:val="auto"/>
          <w:sz w:val="24"/>
          <w:highlight w:val="none"/>
        </w:rPr>
        <w:t>4.5 根据合同执行的具体情况，</w:t>
      </w:r>
      <w:r>
        <w:rPr>
          <w:rFonts w:hint="eastAsia"/>
          <w:bCs/>
          <w:color w:val="auto"/>
          <w:sz w:val="24"/>
          <w:highlight w:val="none"/>
        </w:rPr>
        <w:t>供应商</w:t>
      </w:r>
      <w:r>
        <w:rPr>
          <w:bCs/>
          <w:color w:val="auto"/>
          <w:sz w:val="24"/>
          <w:highlight w:val="none"/>
        </w:rPr>
        <w:t>应选择应用现行的有关规范、规程和技术标准进行监理工作。</w:t>
      </w:r>
    </w:p>
    <w:p w14:paraId="24191992">
      <w:pPr>
        <w:shd w:val="clear"/>
        <w:spacing w:after="0" w:line="360" w:lineRule="auto"/>
        <w:contextualSpacing/>
        <w:outlineLvl w:val="1"/>
        <w:rPr>
          <w:bCs/>
          <w:color w:val="auto"/>
          <w:sz w:val="24"/>
          <w:highlight w:val="none"/>
        </w:rPr>
      </w:pPr>
      <w:bookmarkStart w:id="690" w:name="_Toc1908"/>
      <w:r>
        <w:rPr>
          <w:bCs/>
          <w:color w:val="auto"/>
          <w:sz w:val="24"/>
          <w:highlight w:val="none"/>
        </w:rPr>
        <w:t>5. 监理工作内容</w:t>
      </w:r>
      <w:bookmarkEnd w:id="690"/>
    </w:p>
    <w:p w14:paraId="6A0C8226">
      <w:pPr>
        <w:shd w:val="clear"/>
        <w:spacing w:after="0" w:line="360" w:lineRule="auto"/>
        <w:ind w:firstLine="482"/>
        <w:contextualSpacing/>
        <w:outlineLvl w:val="2"/>
        <w:rPr>
          <w:bCs/>
          <w:color w:val="auto"/>
          <w:sz w:val="24"/>
          <w:highlight w:val="none"/>
        </w:rPr>
      </w:pPr>
      <w:r>
        <w:rPr>
          <w:bCs/>
          <w:color w:val="auto"/>
          <w:sz w:val="24"/>
          <w:highlight w:val="none"/>
        </w:rPr>
        <w:t>供应商要对项目实施时的关键点进行监理，而且要全方位地开展监理工作。监理范围如下表所示：</w:t>
      </w:r>
    </w:p>
    <w:p w14:paraId="3D755765">
      <w:pPr>
        <w:shd w:val="clear"/>
        <w:spacing w:after="0" w:line="360" w:lineRule="auto"/>
        <w:ind w:firstLine="482"/>
        <w:contextualSpacing/>
        <w:jc w:val="center"/>
        <w:rPr>
          <w:rFonts w:ascii="楷体_GB2312" w:hAnsi="宋体"/>
          <w:bCs/>
          <w:color w:val="auto"/>
          <w:highlight w:val="none"/>
        </w:rPr>
      </w:pPr>
      <w:r>
        <w:rPr>
          <w:bCs/>
          <w:color w:val="auto"/>
          <w:sz w:val="24"/>
          <w:highlight w:val="none"/>
        </w:rPr>
        <w:t>监理工作范围表</w:t>
      </w:r>
    </w:p>
    <w:tbl>
      <w:tblPr>
        <w:tblStyle w:val="44"/>
        <w:tblpPr w:leftFromText="180" w:rightFromText="180" w:vertAnchor="text" w:horzAnchor="page" w:tblpX="2031" w:tblpY="21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850"/>
        <w:gridCol w:w="708"/>
        <w:gridCol w:w="803"/>
        <w:gridCol w:w="921"/>
        <w:gridCol w:w="956"/>
        <w:gridCol w:w="743"/>
        <w:gridCol w:w="743"/>
        <w:gridCol w:w="743"/>
      </w:tblGrid>
      <w:tr w14:paraId="742782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1487" w:type="dxa"/>
            <w:vAlign w:val="center"/>
          </w:tcPr>
          <w:p w14:paraId="6C771A25">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任务时间段</w:t>
            </w:r>
          </w:p>
        </w:tc>
        <w:tc>
          <w:tcPr>
            <w:tcW w:w="850" w:type="dxa"/>
            <w:vAlign w:val="center"/>
          </w:tcPr>
          <w:p w14:paraId="3A7B7320">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w:t>
            </w:r>
          </w:p>
          <w:p w14:paraId="60D6DEBD">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708" w:type="dxa"/>
            <w:vAlign w:val="center"/>
          </w:tcPr>
          <w:p w14:paraId="3FE9423F">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进度</w:t>
            </w:r>
          </w:p>
          <w:p w14:paraId="6AF202F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803" w:type="dxa"/>
            <w:vAlign w:val="center"/>
          </w:tcPr>
          <w:p w14:paraId="3188C6EA">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投资</w:t>
            </w:r>
          </w:p>
          <w:p w14:paraId="2FBA607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921" w:type="dxa"/>
            <w:vAlign w:val="center"/>
          </w:tcPr>
          <w:p w14:paraId="043E9B7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w:t>
            </w:r>
          </w:p>
          <w:p w14:paraId="3B03A70B">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管理</w:t>
            </w:r>
          </w:p>
        </w:tc>
        <w:tc>
          <w:tcPr>
            <w:tcW w:w="956" w:type="dxa"/>
            <w:vAlign w:val="center"/>
          </w:tcPr>
          <w:p w14:paraId="4280E124">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信息文档管理</w:t>
            </w:r>
          </w:p>
        </w:tc>
        <w:tc>
          <w:tcPr>
            <w:tcW w:w="743" w:type="dxa"/>
            <w:vAlign w:val="center"/>
          </w:tcPr>
          <w:p w14:paraId="3CC56B6A">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安全保密管理</w:t>
            </w:r>
          </w:p>
        </w:tc>
        <w:tc>
          <w:tcPr>
            <w:tcW w:w="743" w:type="dxa"/>
            <w:vAlign w:val="center"/>
          </w:tcPr>
          <w:p w14:paraId="204FB3A0">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组织</w:t>
            </w:r>
          </w:p>
          <w:p w14:paraId="12916542">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协调</w:t>
            </w:r>
          </w:p>
        </w:tc>
        <w:tc>
          <w:tcPr>
            <w:tcW w:w="743" w:type="dxa"/>
            <w:vAlign w:val="center"/>
          </w:tcPr>
          <w:p w14:paraId="01FFF81F">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其它</w:t>
            </w:r>
          </w:p>
          <w:p w14:paraId="5BA3270D">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咨询</w:t>
            </w:r>
          </w:p>
        </w:tc>
      </w:tr>
      <w:tr w14:paraId="3AA0BD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center"/>
          </w:tcPr>
          <w:p w14:paraId="2F3F2DE8">
            <w:pPr>
              <w:pStyle w:val="19"/>
              <w:shd w:val="clear"/>
              <w:snapToGrid w:val="0"/>
              <w:spacing w:after="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系统设计、实施方案及实施规范的监理</w:t>
            </w:r>
          </w:p>
        </w:tc>
        <w:tc>
          <w:tcPr>
            <w:tcW w:w="850" w:type="dxa"/>
            <w:vAlign w:val="center"/>
          </w:tcPr>
          <w:p w14:paraId="1B9D2762">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08" w:type="dxa"/>
            <w:vAlign w:val="center"/>
          </w:tcPr>
          <w:p w14:paraId="458D6D10">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803" w:type="dxa"/>
            <w:vAlign w:val="center"/>
          </w:tcPr>
          <w:p w14:paraId="6F6646D0">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21" w:type="dxa"/>
            <w:vAlign w:val="center"/>
          </w:tcPr>
          <w:p w14:paraId="69D39B07">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56" w:type="dxa"/>
            <w:vAlign w:val="center"/>
          </w:tcPr>
          <w:p w14:paraId="59323C9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00D55362">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32CF3B7">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482C808E">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r>
      <w:tr w14:paraId="594627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487" w:type="dxa"/>
            <w:vAlign w:val="center"/>
          </w:tcPr>
          <w:p w14:paraId="50FD7E7B">
            <w:pPr>
              <w:pStyle w:val="19"/>
              <w:shd w:val="clear"/>
              <w:snapToGrid w:val="0"/>
              <w:spacing w:after="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项目</w:t>
            </w:r>
            <w:r>
              <w:rPr>
                <w:rFonts w:hint="eastAsia" w:cs="宋体" w:asciiTheme="minorEastAsia" w:hAnsiTheme="minorEastAsia" w:eastAsiaTheme="minorEastAsia"/>
                <w:color w:val="auto"/>
                <w:sz w:val="24"/>
                <w:highlight w:val="none"/>
              </w:rPr>
              <w:t>系统验收</w:t>
            </w:r>
          </w:p>
        </w:tc>
        <w:tc>
          <w:tcPr>
            <w:tcW w:w="850" w:type="dxa"/>
            <w:vAlign w:val="center"/>
          </w:tcPr>
          <w:p w14:paraId="33316A6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08" w:type="dxa"/>
            <w:vAlign w:val="center"/>
          </w:tcPr>
          <w:p w14:paraId="19EF7943">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803" w:type="dxa"/>
            <w:vAlign w:val="center"/>
          </w:tcPr>
          <w:p w14:paraId="1A793751">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21" w:type="dxa"/>
            <w:vAlign w:val="center"/>
          </w:tcPr>
          <w:p w14:paraId="38705899">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56" w:type="dxa"/>
            <w:vAlign w:val="center"/>
          </w:tcPr>
          <w:p w14:paraId="6BEB049F">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2B2094E">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AE766C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7AB93C33">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r>
    </w:tbl>
    <w:p w14:paraId="326A5003">
      <w:pPr>
        <w:shd w:val="clear"/>
        <w:spacing w:after="0" w:line="360" w:lineRule="auto"/>
        <w:ind w:firstLine="482"/>
        <w:contextualSpacing/>
        <w:outlineLvl w:val="2"/>
        <w:rPr>
          <w:bCs/>
          <w:color w:val="auto"/>
          <w:sz w:val="24"/>
          <w:highlight w:val="none"/>
        </w:rPr>
      </w:pPr>
      <w:bookmarkStart w:id="691" w:name="_Toc195436308"/>
      <w:bookmarkStart w:id="692" w:name="_Toc195690754"/>
      <w:bookmarkStart w:id="693" w:name="_Toc21606"/>
      <w:bookmarkStart w:id="694" w:name="_Toc229363706"/>
      <w:bookmarkStart w:id="695" w:name="_Toc195690848"/>
      <w:bookmarkStart w:id="696" w:name="_Toc31863"/>
      <w:bookmarkStart w:id="697" w:name="_Toc196385207"/>
      <w:r>
        <w:rPr>
          <w:bCs/>
          <w:color w:val="auto"/>
          <w:sz w:val="24"/>
          <w:highlight w:val="none"/>
        </w:rPr>
        <w:t>5.1</w:t>
      </w:r>
      <w:r>
        <w:rPr>
          <w:rFonts w:hint="eastAsia"/>
          <w:bCs/>
          <w:color w:val="auto"/>
          <w:sz w:val="24"/>
          <w:highlight w:val="none"/>
        </w:rPr>
        <w:t>项目质量控制</w:t>
      </w:r>
    </w:p>
    <w:p w14:paraId="7179EF52">
      <w:pPr>
        <w:shd w:val="clear"/>
        <w:spacing w:after="0" w:line="360" w:lineRule="auto"/>
        <w:ind w:firstLine="482"/>
        <w:contextualSpacing/>
        <w:outlineLvl w:val="2"/>
        <w:rPr>
          <w:bCs/>
          <w:color w:val="auto"/>
          <w:sz w:val="24"/>
          <w:highlight w:val="none"/>
        </w:rPr>
      </w:pPr>
      <w:r>
        <w:rPr>
          <w:rFonts w:hint="eastAsia"/>
          <w:bCs/>
          <w:color w:val="auto"/>
          <w:sz w:val="24"/>
          <w:highlight w:val="none"/>
        </w:rPr>
        <w:t>软件设计方案、需求分析报告的审核，配合组织必要的专家评审；软件适配计划的审核确认；对软件适配的系统架构设计、概要设计、详细设计、编码测试、应用测试等每个阶段进行把关，把控软件适配进度，督促阶段性成果物提交；对软件代码实现进行质量控制，及时协调解决软件适配过程中出现的问题，督促承建单位完善软件系统；参与并督导编码测试、应用测试和第三方测试工作，对承建单位的软件适配质量记录进行审核；组织源代码及应用系统的验收和移交等。</w:t>
      </w:r>
    </w:p>
    <w:p w14:paraId="71F1623D">
      <w:pPr>
        <w:shd w:val="clear"/>
        <w:spacing w:line="360" w:lineRule="auto"/>
        <w:ind w:firstLine="420"/>
        <w:rPr>
          <w:bCs/>
          <w:color w:val="auto"/>
          <w:sz w:val="24"/>
          <w:highlight w:val="none"/>
        </w:rPr>
      </w:pPr>
      <w:r>
        <w:rPr>
          <w:rFonts w:hint="eastAsia"/>
          <w:bCs/>
          <w:color w:val="auto"/>
          <w:sz w:val="24"/>
          <w:highlight w:val="none"/>
        </w:rPr>
        <w:t>5.</w:t>
      </w:r>
      <w:r>
        <w:rPr>
          <w:bCs/>
          <w:color w:val="auto"/>
          <w:sz w:val="24"/>
          <w:highlight w:val="none"/>
        </w:rPr>
        <w:t>2</w:t>
      </w:r>
      <w:r>
        <w:rPr>
          <w:rFonts w:hint="eastAsia"/>
          <w:bCs/>
          <w:color w:val="auto"/>
          <w:sz w:val="24"/>
          <w:highlight w:val="none"/>
        </w:rPr>
        <w:t xml:space="preserve"> 项目进度控制</w:t>
      </w:r>
    </w:p>
    <w:p w14:paraId="372CEBDF">
      <w:pPr>
        <w:shd w:val="clear"/>
        <w:spacing w:after="0" w:line="360" w:lineRule="auto"/>
        <w:ind w:firstLine="482"/>
        <w:contextualSpacing/>
        <w:outlineLvl w:val="2"/>
        <w:rPr>
          <w:bCs/>
          <w:color w:val="auto"/>
          <w:sz w:val="24"/>
          <w:highlight w:val="none"/>
        </w:rPr>
      </w:pPr>
      <w:r>
        <w:rPr>
          <w:rFonts w:hint="eastAsia"/>
          <w:bCs/>
          <w:color w:val="auto"/>
          <w:sz w:val="24"/>
          <w:highlight w:val="none"/>
        </w:rPr>
        <w:t>进度控制目标是确保在计划工期内完成项目实施，通过各种有效措施保障项目在计划规定的时间内完成，即项目达到初验、试运行、竣工验收及投入使用的计划时间。</w:t>
      </w:r>
    </w:p>
    <w:p w14:paraId="5F34C6A2">
      <w:pPr>
        <w:shd w:val="clear"/>
        <w:spacing w:after="0" w:line="360" w:lineRule="auto"/>
        <w:ind w:firstLine="482"/>
        <w:contextualSpacing/>
        <w:outlineLvl w:val="2"/>
        <w:rPr>
          <w:bCs/>
          <w:color w:val="auto"/>
          <w:sz w:val="24"/>
          <w:highlight w:val="none"/>
        </w:rPr>
      </w:pPr>
      <w:r>
        <w:rPr>
          <w:rFonts w:hint="eastAsia"/>
          <w:bCs/>
          <w:color w:val="auto"/>
          <w:sz w:val="24"/>
          <w:highlight w:val="none"/>
        </w:rPr>
        <w:t>（1）审核进度计划</w:t>
      </w:r>
    </w:p>
    <w:p w14:paraId="6854BD8D">
      <w:pPr>
        <w:shd w:val="clear"/>
        <w:spacing w:after="0" w:line="360" w:lineRule="auto"/>
        <w:ind w:firstLine="482"/>
        <w:contextualSpacing/>
        <w:outlineLvl w:val="2"/>
        <w:rPr>
          <w:bCs/>
          <w:color w:val="auto"/>
          <w:sz w:val="24"/>
          <w:highlight w:val="none"/>
        </w:rPr>
      </w:pPr>
      <w:r>
        <w:rPr>
          <w:rFonts w:hint="eastAsia"/>
          <w:bCs/>
          <w:color w:val="auto"/>
          <w:sz w:val="24"/>
          <w:highlight w:val="none"/>
        </w:rPr>
        <w:t>督促承建单位做好项目实施计划，主要审查项目总体进度计划和分阶段进度计划，包括：项目子任务的划分是否合理、完整；项目里程碑和各阶段检查点设置是否合理；预定的进度监控措施是否得当等。</w:t>
      </w:r>
    </w:p>
    <w:p w14:paraId="5FF6F58B">
      <w:pPr>
        <w:shd w:val="clear"/>
        <w:spacing w:after="0" w:line="360" w:lineRule="auto"/>
        <w:ind w:firstLine="482"/>
        <w:contextualSpacing/>
        <w:outlineLvl w:val="2"/>
        <w:rPr>
          <w:bCs/>
          <w:color w:val="auto"/>
          <w:sz w:val="24"/>
          <w:highlight w:val="none"/>
        </w:rPr>
      </w:pPr>
      <w:r>
        <w:rPr>
          <w:rFonts w:hint="eastAsia"/>
          <w:bCs/>
          <w:color w:val="auto"/>
          <w:sz w:val="24"/>
          <w:highlight w:val="none"/>
        </w:rPr>
        <w:t>（2）全过程监督</w:t>
      </w:r>
    </w:p>
    <w:p w14:paraId="5D36D520">
      <w:pPr>
        <w:shd w:val="clear"/>
        <w:spacing w:after="0" w:line="360" w:lineRule="auto"/>
        <w:ind w:firstLine="482"/>
        <w:contextualSpacing/>
        <w:outlineLvl w:val="2"/>
        <w:rPr>
          <w:bCs/>
          <w:color w:val="auto"/>
          <w:sz w:val="24"/>
          <w:highlight w:val="none"/>
        </w:rPr>
      </w:pPr>
      <w:r>
        <w:rPr>
          <w:rFonts w:hint="eastAsia"/>
          <w:bCs/>
          <w:color w:val="auto"/>
          <w:sz w:val="24"/>
          <w:highlight w:val="none"/>
        </w:rPr>
        <w:t>根据承建单位进度计划以及对项目关键路径和关键进度风险的判断，确定项目进度关键控制点；采用必要跟踪手段，对项目进度情况进行适时跟踪。</w:t>
      </w:r>
    </w:p>
    <w:p w14:paraId="2AB0A9CB">
      <w:pPr>
        <w:shd w:val="clear"/>
        <w:spacing w:after="0" w:line="360" w:lineRule="auto"/>
        <w:ind w:firstLine="482"/>
        <w:contextualSpacing/>
        <w:outlineLvl w:val="2"/>
        <w:rPr>
          <w:bCs/>
          <w:color w:val="auto"/>
          <w:sz w:val="24"/>
          <w:highlight w:val="none"/>
        </w:rPr>
      </w:pPr>
      <w:r>
        <w:rPr>
          <w:rFonts w:hint="eastAsia"/>
          <w:bCs/>
          <w:color w:val="auto"/>
          <w:sz w:val="24"/>
          <w:highlight w:val="none"/>
        </w:rPr>
        <w:t>（3）工期目标偏离时，提出对策建议，督促采取措施</w:t>
      </w:r>
    </w:p>
    <w:p w14:paraId="036C41B1">
      <w:pPr>
        <w:shd w:val="clear"/>
        <w:spacing w:after="0" w:line="360" w:lineRule="auto"/>
        <w:ind w:firstLine="482"/>
        <w:contextualSpacing/>
        <w:outlineLvl w:val="2"/>
        <w:rPr>
          <w:bCs/>
          <w:color w:val="auto"/>
          <w:sz w:val="24"/>
          <w:highlight w:val="none"/>
        </w:rPr>
      </w:pPr>
      <w:r>
        <w:rPr>
          <w:rFonts w:hint="eastAsia"/>
          <w:bCs/>
          <w:color w:val="auto"/>
          <w:sz w:val="24"/>
          <w:highlight w:val="none"/>
        </w:rPr>
        <w:t>跟踪项目计划执行情况，工期目标偏离时，根据项目进展的实际情况，进一步完善项目控制性进度计划，采取有效措施保障项目进度目标；审查承建单位的进度控制报告，向采购人定期汇报项目进度执行情况及相关建议；及时处理承建单位提出的</w:t>
      </w:r>
      <w:r>
        <w:rPr>
          <w:rFonts w:hint="eastAsia"/>
          <w:bCs/>
          <w:color w:val="auto"/>
          <w:sz w:val="24"/>
          <w:highlight w:val="none"/>
          <w:lang w:eastAsia="zh-CN"/>
        </w:rPr>
        <w:t>项目</w:t>
      </w:r>
      <w:r>
        <w:rPr>
          <w:rFonts w:hint="eastAsia"/>
          <w:bCs/>
          <w:color w:val="auto"/>
          <w:sz w:val="24"/>
          <w:highlight w:val="none"/>
        </w:rPr>
        <w:t>延期申请。</w:t>
      </w:r>
    </w:p>
    <w:p w14:paraId="0003E89F">
      <w:pPr>
        <w:shd w:val="clear"/>
        <w:spacing w:after="0" w:line="360" w:lineRule="auto"/>
        <w:ind w:firstLine="482"/>
        <w:contextualSpacing/>
        <w:outlineLvl w:val="2"/>
        <w:rPr>
          <w:bCs/>
          <w:color w:val="auto"/>
          <w:sz w:val="24"/>
          <w:highlight w:val="none"/>
        </w:rPr>
      </w:pPr>
      <w:r>
        <w:rPr>
          <w:bCs/>
          <w:color w:val="auto"/>
          <w:sz w:val="24"/>
          <w:highlight w:val="none"/>
        </w:rPr>
        <w:t xml:space="preserve">5.3 </w:t>
      </w:r>
      <w:r>
        <w:rPr>
          <w:rFonts w:hint="eastAsia"/>
          <w:bCs/>
          <w:color w:val="auto"/>
          <w:sz w:val="24"/>
          <w:highlight w:val="none"/>
        </w:rPr>
        <w:t>项目投资控制</w:t>
      </w:r>
    </w:p>
    <w:p w14:paraId="042F8D2F">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供应商应依照法律法规、有关技术标准、经批准设计文件和建设内容、建设规模、建设标准，履行投资控制责任。主要重点工作包括：</w:t>
      </w:r>
    </w:p>
    <w:p w14:paraId="1DE3E8F7">
      <w:pPr>
        <w:shd w:val="clear"/>
        <w:spacing w:after="0" w:line="360" w:lineRule="auto"/>
        <w:ind w:firstLine="482"/>
        <w:contextualSpacing/>
        <w:outlineLvl w:val="2"/>
        <w:rPr>
          <w:bCs/>
          <w:color w:val="auto"/>
          <w:sz w:val="24"/>
          <w:highlight w:val="none"/>
        </w:rPr>
      </w:pPr>
      <w:r>
        <w:rPr>
          <w:rFonts w:hint="eastAsia"/>
          <w:bCs/>
          <w:color w:val="auto"/>
          <w:sz w:val="24"/>
          <w:highlight w:val="none"/>
        </w:rPr>
        <w:t>（1）依据竞争性磋商文件、项目建设合同，审核项目计划、设计方案中所说明的</w:t>
      </w:r>
      <w:r>
        <w:rPr>
          <w:rFonts w:hint="eastAsia"/>
          <w:bCs/>
          <w:color w:val="auto"/>
          <w:sz w:val="24"/>
          <w:highlight w:val="none"/>
          <w:lang w:eastAsia="zh-CN"/>
        </w:rPr>
        <w:t>项目</w:t>
      </w:r>
      <w:r>
        <w:rPr>
          <w:rFonts w:hint="eastAsia"/>
          <w:bCs/>
          <w:color w:val="auto"/>
          <w:sz w:val="24"/>
          <w:highlight w:val="none"/>
        </w:rPr>
        <w:t>目标、范围、内容、产品和服务，对可能的投资变化提出监理咨询意见；控制设计变更，对必要的变更应由三方达成共识，并记录变更的结果。</w:t>
      </w:r>
    </w:p>
    <w:p w14:paraId="24C25AE9">
      <w:pPr>
        <w:shd w:val="clear"/>
        <w:spacing w:after="0" w:line="360" w:lineRule="auto"/>
        <w:ind w:firstLine="482"/>
        <w:contextualSpacing/>
        <w:outlineLvl w:val="2"/>
        <w:rPr>
          <w:bCs/>
          <w:color w:val="auto"/>
          <w:sz w:val="24"/>
          <w:highlight w:val="none"/>
        </w:rPr>
      </w:pPr>
      <w:r>
        <w:rPr>
          <w:rFonts w:hint="eastAsia"/>
          <w:bCs/>
          <w:color w:val="auto"/>
          <w:sz w:val="24"/>
          <w:highlight w:val="none"/>
        </w:rPr>
        <w:t>（</w:t>
      </w:r>
      <w:r>
        <w:rPr>
          <w:rFonts w:hint="eastAsia"/>
          <w:bCs/>
          <w:color w:val="auto"/>
          <w:sz w:val="24"/>
          <w:highlight w:val="none"/>
          <w:lang w:val="en-US" w:eastAsia="zh-CN"/>
        </w:rPr>
        <w:t>2</w:t>
      </w:r>
      <w:r>
        <w:rPr>
          <w:rFonts w:hint="eastAsia"/>
          <w:bCs/>
          <w:color w:val="auto"/>
          <w:sz w:val="24"/>
          <w:highlight w:val="none"/>
        </w:rPr>
        <w:t>）从造价、项目的功能要求、质量和工期等方面审查</w:t>
      </w:r>
      <w:r>
        <w:rPr>
          <w:rFonts w:hint="eastAsia"/>
          <w:bCs/>
          <w:color w:val="auto"/>
          <w:sz w:val="24"/>
          <w:highlight w:val="none"/>
          <w:lang w:eastAsia="zh-CN"/>
        </w:rPr>
        <w:t>项目</w:t>
      </w:r>
      <w:r>
        <w:rPr>
          <w:rFonts w:hint="eastAsia"/>
          <w:bCs/>
          <w:color w:val="auto"/>
          <w:sz w:val="24"/>
          <w:highlight w:val="none"/>
        </w:rPr>
        <w:t>变更，由于变更引起投资的改变按照项目建设合同相关条款执行。项目建设合同中没有规定的，在变更实施前与采购人、承建单位协商确定变更导致的费用变化额度。调查承建单位索赔申请的事由，审核申请的合理性，提出监理咨询意见。</w:t>
      </w:r>
    </w:p>
    <w:p w14:paraId="6E5BE070">
      <w:pPr>
        <w:shd w:val="clear"/>
        <w:spacing w:after="0" w:line="360" w:lineRule="auto"/>
        <w:ind w:firstLine="482"/>
        <w:contextualSpacing/>
        <w:outlineLvl w:val="2"/>
        <w:rPr>
          <w:bCs/>
          <w:color w:val="auto"/>
          <w:sz w:val="24"/>
          <w:highlight w:val="none"/>
        </w:rPr>
      </w:pPr>
      <w:r>
        <w:rPr>
          <w:bCs/>
          <w:color w:val="auto"/>
          <w:sz w:val="24"/>
          <w:highlight w:val="none"/>
        </w:rPr>
        <w:t xml:space="preserve">5.4 </w:t>
      </w:r>
      <w:r>
        <w:rPr>
          <w:rFonts w:hint="eastAsia"/>
          <w:bCs/>
          <w:color w:val="auto"/>
          <w:sz w:val="24"/>
          <w:highlight w:val="none"/>
        </w:rPr>
        <w:t>项目合同管理</w:t>
      </w:r>
    </w:p>
    <w:p w14:paraId="24171BA5">
      <w:pPr>
        <w:shd w:val="clear"/>
        <w:spacing w:line="360" w:lineRule="auto"/>
        <w:ind w:firstLine="420"/>
        <w:rPr>
          <w:bCs/>
          <w:color w:val="auto"/>
          <w:sz w:val="24"/>
          <w:highlight w:val="none"/>
        </w:rPr>
      </w:pPr>
      <w:r>
        <w:rPr>
          <w:rFonts w:hint="eastAsia"/>
          <w:bCs/>
          <w:color w:val="auto"/>
          <w:sz w:val="24"/>
          <w:highlight w:val="none"/>
        </w:rPr>
        <w:t>供应商做好项目建设合同的签订管理、项目建设合同的档案管理、跟踪检查项目建设合同的执行情况、对项目建设合同工期的延误和延期进行审核确认，对项目建设合同变更、索赔、违约等事宜进行处置等。</w:t>
      </w:r>
    </w:p>
    <w:p w14:paraId="0110EA6E">
      <w:pPr>
        <w:shd w:val="clear"/>
        <w:spacing w:after="0" w:line="360" w:lineRule="auto"/>
        <w:ind w:firstLine="482"/>
        <w:contextualSpacing/>
        <w:outlineLvl w:val="2"/>
        <w:rPr>
          <w:bCs/>
          <w:color w:val="auto"/>
          <w:sz w:val="24"/>
          <w:highlight w:val="none"/>
        </w:rPr>
      </w:pPr>
      <w:r>
        <w:rPr>
          <w:rFonts w:hint="eastAsia"/>
          <w:bCs/>
          <w:color w:val="auto"/>
          <w:sz w:val="24"/>
          <w:highlight w:val="none"/>
        </w:rPr>
        <w:t>（1）对项目建设合同进行评审，提出审核意见；</w:t>
      </w:r>
    </w:p>
    <w:p w14:paraId="7AC2BFFD">
      <w:pPr>
        <w:shd w:val="clear"/>
        <w:spacing w:after="0" w:line="360" w:lineRule="auto"/>
        <w:ind w:firstLine="482"/>
        <w:contextualSpacing/>
        <w:outlineLvl w:val="2"/>
        <w:rPr>
          <w:bCs/>
          <w:color w:val="auto"/>
          <w:sz w:val="24"/>
          <w:highlight w:val="none"/>
        </w:rPr>
      </w:pPr>
      <w:r>
        <w:rPr>
          <w:rFonts w:hint="eastAsia"/>
          <w:bCs/>
          <w:color w:val="auto"/>
          <w:sz w:val="24"/>
          <w:highlight w:val="none"/>
        </w:rPr>
        <w:t>（2）建立项目建设合同管理制度，各方对项目的所有指令、批复、报告均以书面形式进行，并全部归档；</w:t>
      </w:r>
    </w:p>
    <w:p w14:paraId="0D50229E">
      <w:pPr>
        <w:shd w:val="clear"/>
        <w:spacing w:after="0" w:line="360" w:lineRule="auto"/>
        <w:ind w:firstLine="482"/>
        <w:contextualSpacing/>
        <w:outlineLvl w:val="2"/>
        <w:rPr>
          <w:bCs/>
          <w:color w:val="auto"/>
          <w:sz w:val="24"/>
          <w:highlight w:val="none"/>
        </w:rPr>
      </w:pPr>
      <w:r>
        <w:rPr>
          <w:rFonts w:hint="eastAsia"/>
          <w:bCs/>
          <w:color w:val="auto"/>
          <w:sz w:val="24"/>
          <w:highlight w:val="none"/>
        </w:rPr>
        <w:t>（3）跟踪检查项目建设合同执行情况，确保承建单位按时履约；</w:t>
      </w:r>
    </w:p>
    <w:p w14:paraId="686656A2">
      <w:pPr>
        <w:shd w:val="clear"/>
        <w:spacing w:after="0" w:line="360" w:lineRule="auto"/>
        <w:ind w:firstLine="482"/>
        <w:contextualSpacing/>
        <w:outlineLvl w:val="2"/>
        <w:rPr>
          <w:bCs/>
          <w:color w:val="auto"/>
          <w:sz w:val="24"/>
          <w:highlight w:val="none"/>
        </w:rPr>
      </w:pPr>
      <w:r>
        <w:rPr>
          <w:rFonts w:hint="eastAsia"/>
          <w:bCs/>
          <w:color w:val="auto"/>
          <w:sz w:val="24"/>
          <w:highlight w:val="none"/>
        </w:rPr>
        <w:t>（4）对项目建设合同工期的延误和延期进行审核确认；</w:t>
      </w:r>
    </w:p>
    <w:p w14:paraId="2C637279">
      <w:pPr>
        <w:shd w:val="clear"/>
        <w:spacing w:after="0" w:line="360" w:lineRule="auto"/>
        <w:ind w:firstLine="482"/>
        <w:contextualSpacing/>
        <w:outlineLvl w:val="2"/>
        <w:rPr>
          <w:bCs/>
          <w:color w:val="auto"/>
          <w:sz w:val="24"/>
          <w:highlight w:val="none"/>
        </w:rPr>
      </w:pPr>
      <w:r>
        <w:rPr>
          <w:rFonts w:hint="eastAsia"/>
          <w:bCs/>
          <w:color w:val="auto"/>
          <w:sz w:val="24"/>
          <w:highlight w:val="none"/>
        </w:rPr>
        <w:t>（5）对项目建设合同变更、索赔等事宜进行处置；</w:t>
      </w:r>
    </w:p>
    <w:p w14:paraId="6177FB60">
      <w:pPr>
        <w:shd w:val="clear"/>
        <w:spacing w:after="0" w:line="360" w:lineRule="auto"/>
        <w:ind w:firstLine="482"/>
        <w:contextualSpacing/>
        <w:outlineLvl w:val="2"/>
        <w:rPr>
          <w:bCs/>
          <w:color w:val="auto"/>
          <w:sz w:val="24"/>
          <w:highlight w:val="none"/>
        </w:rPr>
      </w:pPr>
      <w:r>
        <w:rPr>
          <w:rFonts w:hint="eastAsia"/>
          <w:bCs/>
          <w:color w:val="auto"/>
          <w:sz w:val="24"/>
          <w:highlight w:val="none"/>
        </w:rPr>
        <w:t>（6）协调、处理项目建设合同争端，及时记录和纠正承建单位的违约行为。</w:t>
      </w:r>
    </w:p>
    <w:p w14:paraId="419924A3">
      <w:pPr>
        <w:shd w:val="clear"/>
        <w:spacing w:after="0" w:line="360" w:lineRule="auto"/>
        <w:ind w:firstLine="482"/>
        <w:contextualSpacing/>
        <w:outlineLvl w:val="2"/>
        <w:rPr>
          <w:bCs/>
          <w:color w:val="auto"/>
          <w:sz w:val="24"/>
          <w:highlight w:val="none"/>
        </w:rPr>
      </w:pPr>
      <w:r>
        <w:rPr>
          <w:bCs/>
          <w:color w:val="auto"/>
          <w:sz w:val="24"/>
          <w:highlight w:val="none"/>
        </w:rPr>
        <w:t>5.5</w:t>
      </w:r>
      <w:r>
        <w:rPr>
          <w:rFonts w:hint="eastAsia"/>
          <w:bCs/>
          <w:color w:val="auto"/>
          <w:sz w:val="24"/>
          <w:highlight w:val="none"/>
        </w:rPr>
        <w:t>项目信息文档管理</w:t>
      </w:r>
    </w:p>
    <w:p w14:paraId="6451485C">
      <w:pPr>
        <w:shd w:val="clear"/>
        <w:spacing w:after="0" w:line="360" w:lineRule="auto"/>
        <w:ind w:firstLine="420"/>
        <w:rPr>
          <w:bCs/>
          <w:color w:val="auto"/>
          <w:sz w:val="24"/>
          <w:highlight w:val="none"/>
        </w:rPr>
      </w:pPr>
      <w:r>
        <w:rPr>
          <w:rFonts w:hint="eastAsia"/>
          <w:bCs/>
          <w:color w:val="auto"/>
          <w:sz w:val="24"/>
          <w:highlight w:val="none"/>
        </w:rPr>
        <w:t>协助采购人指导和监督项目的信息文档管理工作，监管好实施期间各类过程信息文档，做好分类管理和信息处理；对技术文档资料的完整性和质量进行审核；做好项目例会、协调会、专题讨论会等各类会议纪要，完成信息文档相关工作；督导各承建单位在项目完成竣工验收后向采购人进行档案移交等工作。</w:t>
      </w:r>
    </w:p>
    <w:p w14:paraId="430AE56E">
      <w:pPr>
        <w:shd w:val="clear"/>
        <w:spacing w:after="0" w:line="360" w:lineRule="auto"/>
        <w:ind w:firstLine="482"/>
        <w:contextualSpacing/>
        <w:outlineLvl w:val="2"/>
        <w:rPr>
          <w:bCs/>
          <w:color w:val="auto"/>
          <w:sz w:val="24"/>
          <w:highlight w:val="none"/>
        </w:rPr>
      </w:pPr>
      <w:r>
        <w:rPr>
          <w:bCs/>
          <w:color w:val="auto"/>
          <w:sz w:val="24"/>
          <w:highlight w:val="none"/>
        </w:rPr>
        <w:t>5.6</w:t>
      </w:r>
      <w:r>
        <w:rPr>
          <w:rFonts w:hint="eastAsia"/>
          <w:bCs/>
          <w:color w:val="auto"/>
          <w:sz w:val="24"/>
          <w:highlight w:val="none"/>
        </w:rPr>
        <w:t>项目安全保密管理</w:t>
      </w:r>
    </w:p>
    <w:p w14:paraId="293FFC38">
      <w:pPr>
        <w:shd w:val="clear"/>
        <w:spacing w:after="0" w:line="360" w:lineRule="auto"/>
        <w:ind w:firstLine="482"/>
        <w:contextualSpacing/>
        <w:outlineLvl w:val="2"/>
        <w:rPr>
          <w:bCs/>
          <w:color w:val="auto"/>
          <w:sz w:val="24"/>
          <w:highlight w:val="none"/>
        </w:rPr>
      </w:pPr>
      <w:r>
        <w:rPr>
          <w:rFonts w:hint="eastAsia"/>
          <w:bCs/>
          <w:color w:val="auto"/>
          <w:sz w:val="24"/>
          <w:highlight w:val="none"/>
        </w:rPr>
        <w:t>严格按照规程、规范组织</w:t>
      </w:r>
      <w:r>
        <w:rPr>
          <w:rFonts w:hint="eastAsia"/>
          <w:bCs/>
          <w:color w:val="auto"/>
          <w:sz w:val="24"/>
          <w:highlight w:val="none"/>
          <w:lang w:eastAsia="zh-CN"/>
        </w:rPr>
        <w:t>实施</w:t>
      </w:r>
      <w:r>
        <w:rPr>
          <w:rFonts w:hint="eastAsia"/>
          <w:bCs/>
          <w:color w:val="auto"/>
          <w:sz w:val="24"/>
          <w:highlight w:val="none"/>
        </w:rPr>
        <w:t>，做到文明施工。做好信息安全管理，包括项目资料的传递、借阅和保存，对</w:t>
      </w:r>
      <w:r>
        <w:rPr>
          <w:rFonts w:hint="eastAsia"/>
          <w:bCs/>
          <w:color w:val="auto"/>
          <w:sz w:val="24"/>
          <w:highlight w:val="none"/>
          <w:lang w:eastAsia="zh-CN"/>
        </w:rPr>
        <w:t>项目</w:t>
      </w:r>
      <w:r>
        <w:rPr>
          <w:rFonts w:hint="eastAsia"/>
          <w:bCs/>
          <w:color w:val="auto"/>
          <w:sz w:val="24"/>
          <w:highlight w:val="none"/>
        </w:rPr>
        <w:t>技术文件以及由采购人提供的所有内部资料、技术文档和信息予以保密，不得以任何形式向第三方透露项目的任何内容。</w:t>
      </w:r>
    </w:p>
    <w:p w14:paraId="03F9118C">
      <w:pPr>
        <w:shd w:val="clear"/>
        <w:spacing w:after="0" w:line="360" w:lineRule="auto"/>
        <w:ind w:firstLine="482"/>
        <w:contextualSpacing/>
        <w:outlineLvl w:val="2"/>
        <w:rPr>
          <w:bCs/>
          <w:color w:val="auto"/>
          <w:sz w:val="24"/>
          <w:highlight w:val="none"/>
        </w:rPr>
      </w:pPr>
      <w:r>
        <w:rPr>
          <w:bCs/>
          <w:color w:val="auto"/>
          <w:sz w:val="24"/>
          <w:highlight w:val="none"/>
        </w:rPr>
        <w:t>5.7</w:t>
      </w:r>
      <w:r>
        <w:rPr>
          <w:rFonts w:hint="eastAsia"/>
          <w:bCs/>
          <w:color w:val="auto"/>
          <w:sz w:val="24"/>
          <w:highlight w:val="none"/>
        </w:rPr>
        <w:t>项目组织协调</w:t>
      </w:r>
    </w:p>
    <w:p w14:paraId="04A7A60A">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供应商应根据实际情况，协调项目各方工作关系，配合采购人明确各方接口人，落实沟通协调机制。</w:t>
      </w:r>
    </w:p>
    <w:p w14:paraId="4ACBB9A3">
      <w:pPr>
        <w:shd w:val="clear"/>
        <w:spacing w:after="0" w:line="360" w:lineRule="auto"/>
        <w:ind w:firstLine="482"/>
        <w:contextualSpacing/>
        <w:outlineLvl w:val="2"/>
        <w:rPr>
          <w:bCs/>
          <w:color w:val="auto"/>
          <w:sz w:val="24"/>
          <w:highlight w:val="none"/>
        </w:rPr>
      </w:pPr>
      <w:r>
        <w:rPr>
          <w:rFonts w:hint="eastAsia"/>
          <w:bCs/>
          <w:color w:val="auto"/>
          <w:sz w:val="24"/>
          <w:highlight w:val="none"/>
        </w:rPr>
        <w:t>会同采购人建立会议制度，组织开展项目例会、项目阶段工作总结会等，协助组织项目协调会、项目专题研讨会、专家论证评审会、项目问题通报会、项目初步验收和最终验收会等。相关会议纪要需及时提交采购人和承建单位以遵照执行。</w:t>
      </w:r>
    </w:p>
    <w:p w14:paraId="0F3662BA">
      <w:pPr>
        <w:shd w:val="clear"/>
        <w:spacing w:after="0" w:line="360" w:lineRule="auto"/>
        <w:ind w:firstLine="482"/>
        <w:contextualSpacing/>
        <w:outlineLvl w:val="2"/>
        <w:rPr>
          <w:bCs/>
          <w:color w:val="auto"/>
          <w:sz w:val="24"/>
          <w:highlight w:val="none"/>
        </w:rPr>
      </w:pPr>
      <w:r>
        <w:rPr>
          <w:bCs/>
          <w:color w:val="auto"/>
          <w:sz w:val="24"/>
          <w:highlight w:val="none"/>
        </w:rPr>
        <w:t>5.8</w:t>
      </w:r>
      <w:r>
        <w:rPr>
          <w:rFonts w:hint="eastAsia"/>
          <w:bCs/>
          <w:color w:val="auto"/>
          <w:sz w:val="24"/>
          <w:highlight w:val="none"/>
        </w:rPr>
        <w:t>项目其它咨询服务</w:t>
      </w:r>
    </w:p>
    <w:p w14:paraId="37698479">
      <w:pPr>
        <w:shd w:val="clear"/>
        <w:spacing w:after="0" w:line="360" w:lineRule="auto"/>
        <w:ind w:firstLine="482"/>
        <w:contextualSpacing/>
        <w:outlineLvl w:val="2"/>
        <w:rPr>
          <w:bCs/>
          <w:color w:val="auto"/>
          <w:sz w:val="24"/>
          <w:highlight w:val="none"/>
        </w:rPr>
      </w:pPr>
      <w:r>
        <w:rPr>
          <w:rFonts w:hint="eastAsia"/>
          <w:bCs/>
          <w:color w:val="auto"/>
          <w:sz w:val="24"/>
          <w:highlight w:val="none"/>
        </w:rPr>
        <w:t>开展信息化政策咨询、项目管理咨询等咨询服务；针对信息化建设后期的运营维护管理，提出有益的咨询建议。</w:t>
      </w:r>
    </w:p>
    <w:bookmarkEnd w:id="691"/>
    <w:bookmarkEnd w:id="692"/>
    <w:bookmarkEnd w:id="693"/>
    <w:bookmarkEnd w:id="694"/>
    <w:bookmarkEnd w:id="695"/>
    <w:bookmarkEnd w:id="696"/>
    <w:bookmarkEnd w:id="697"/>
    <w:p w14:paraId="1DD77288">
      <w:pPr>
        <w:shd w:val="clear"/>
        <w:spacing w:after="0" w:line="360" w:lineRule="auto"/>
        <w:contextualSpacing/>
        <w:outlineLvl w:val="1"/>
        <w:rPr>
          <w:bCs/>
          <w:color w:val="auto"/>
          <w:sz w:val="24"/>
          <w:highlight w:val="none"/>
        </w:rPr>
      </w:pPr>
      <w:bookmarkStart w:id="698" w:name="_Toc16497"/>
      <w:r>
        <w:rPr>
          <w:bCs/>
          <w:color w:val="auto"/>
          <w:sz w:val="24"/>
          <w:highlight w:val="none"/>
        </w:rPr>
        <w:t>6. 项目服务团队</w:t>
      </w:r>
      <w:bookmarkEnd w:id="698"/>
    </w:p>
    <w:p w14:paraId="0B2E509B">
      <w:pPr>
        <w:shd w:val="clear"/>
        <w:spacing w:after="0" w:line="360" w:lineRule="auto"/>
        <w:ind w:firstLine="482"/>
        <w:contextualSpacing/>
        <w:outlineLvl w:val="2"/>
        <w:rPr>
          <w:bCs/>
          <w:color w:val="auto"/>
          <w:sz w:val="24"/>
          <w:highlight w:val="none"/>
        </w:rPr>
      </w:pPr>
      <w:bookmarkStart w:id="699" w:name="_Toc15938"/>
      <w:r>
        <w:rPr>
          <w:bCs/>
          <w:color w:val="auto"/>
          <w:sz w:val="24"/>
          <w:highlight w:val="none"/>
        </w:rPr>
        <w:t>6.1 团队配置</w:t>
      </w:r>
      <w:bookmarkEnd w:id="699"/>
    </w:p>
    <w:p w14:paraId="3B8FA76B">
      <w:pPr>
        <w:shd w:val="clear"/>
        <w:spacing w:after="0" w:line="360" w:lineRule="auto"/>
        <w:ind w:firstLine="482"/>
        <w:contextualSpacing/>
        <w:outlineLvl w:val="2"/>
        <w:rPr>
          <w:bCs/>
          <w:color w:val="auto"/>
          <w:sz w:val="24"/>
          <w:highlight w:val="none"/>
        </w:rPr>
      </w:pPr>
      <w:r>
        <w:rPr>
          <w:bCs/>
          <w:color w:val="auto"/>
          <w:sz w:val="24"/>
          <w:highlight w:val="none"/>
        </w:rPr>
        <w:t>项目服务团队人员总数不少于5人，配备如下几类人员：总监理工程师、总监理工程师代表、</w:t>
      </w:r>
      <w:r>
        <w:rPr>
          <w:rFonts w:hint="eastAsia"/>
          <w:bCs/>
          <w:color w:val="auto"/>
          <w:sz w:val="24"/>
          <w:highlight w:val="none"/>
        </w:rPr>
        <w:t>专业监理工程师</w:t>
      </w:r>
      <w:r>
        <w:rPr>
          <w:bCs/>
          <w:color w:val="auto"/>
          <w:sz w:val="24"/>
          <w:highlight w:val="none"/>
        </w:rPr>
        <w:t>。</w:t>
      </w:r>
      <w:r>
        <w:rPr>
          <w:rFonts w:hint="eastAsia"/>
          <w:bCs/>
          <w:color w:val="auto"/>
          <w:sz w:val="24"/>
          <w:highlight w:val="none"/>
        </w:rPr>
        <w:t>团队成员满足以下各项条件，否则评分标准中项目团队对应部分不予得分。</w:t>
      </w:r>
    </w:p>
    <w:p w14:paraId="18302A35">
      <w:pPr>
        <w:shd w:val="clear"/>
        <w:spacing w:after="0" w:line="360" w:lineRule="auto"/>
        <w:ind w:firstLine="482"/>
        <w:contextualSpacing/>
        <w:outlineLvl w:val="2"/>
        <w:rPr>
          <w:bCs/>
          <w:color w:val="auto"/>
          <w:sz w:val="24"/>
          <w:highlight w:val="none"/>
        </w:rPr>
      </w:pPr>
      <w:bookmarkStart w:id="700" w:name="_Toc12948"/>
      <w:r>
        <w:rPr>
          <w:bCs/>
          <w:color w:val="auto"/>
          <w:sz w:val="24"/>
          <w:highlight w:val="none"/>
        </w:rPr>
        <w:t>6.2 总监理工程师</w:t>
      </w:r>
      <w:bookmarkEnd w:id="700"/>
    </w:p>
    <w:p w14:paraId="6B033AF1">
      <w:pPr>
        <w:shd w:val="clear"/>
        <w:spacing w:after="0" w:line="360" w:lineRule="auto"/>
        <w:ind w:firstLine="420"/>
        <w:rPr>
          <w:bCs/>
          <w:color w:val="auto"/>
          <w:sz w:val="24"/>
          <w:highlight w:val="none"/>
        </w:rPr>
      </w:pPr>
      <w:r>
        <w:rPr>
          <w:bCs/>
          <w:color w:val="auto"/>
          <w:sz w:val="24"/>
          <w:highlight w:val="none"/>
        </w:rPr>
        <w:t>供应商提供1名总监理工程师，</w:t>
      </w:r>
      <w:r>
        <w:rPr>
          <w:rFonts w:hint="eastAsia"/>
          <w:bCs/>
          <w:color w:val="auto"/>
          <w:sz w:val="24"/>
          <w:highlight w:val="none"/>
        </w:rPr>
        <w:t>具有计算机技术与软件专业技术资格信息系统监理师证书。在此基础上，具有注册咨询工程师（注册在供应商单位）证书、信息工程专业高级专业技术职务任职资格证书。</w:t>
      </w:r>
    </w:p>
    <w:p w14:paraId="737D581E">
      <w:pPr>
        <w:shd w:val="clear"/>
        <w:spacing w:after="0" w:line="360" w:lineRule="auto"/>
        <w:ind w:firstLine="482"/>
        <w:contextualSpacing/>
        <w:outlineLvl w:val="2"/>
        <w:rPr>
          <w:bCs/>
          <w:color w:val="auto"/>
          <w:sz w:val="24"/>
          <w:highlight w:val="none"/>
        </w:rPr>
      </w:pPr>
      <w:bookmarkStart w:id="701" w:name="_Toc575"/>
      <w:r>
        <w:rPr>
          <w:bCs/>
          <w:color w:val="auto"/>
          <w:sz w:val="24"/>
          <w:highlight w:val="none"/>
        </w:rPr>
        <w:t>6.3 总监理工程师代表</w:t>
      </w:r>
      <w:bookmarkEnd w:id="701"/>
    </w:p>
    <w:p w14:paraId="2A146E42">
      <w:pPr>
        <w:shd w:val="clear"/>
        <w:spacing w:after="0" w:line="360" w:lineRule="auto"/>
        <w:ind w:firstLine="420"/>
        <w:rPr>
          <w:bCs/>
          <w:color w:val="auto"/>
          <w:sz w:val="24"/>
          <w:highlight w:val="none"/>
        </w:rPr>
      </w:pPr>
      <w:r>
        <w:rPr>
          <w:bCs/>
          <w:color w:val="auto"/>
          <w:sz w:val="24"/>
          <w:highlight w:val="none"/>
        </w:rPr>
        <w:t>供应商提供1名总监理工程师代表，</w:t>
      </w:r>
      <w:r>
        <w:rPr>
          <w:rFonts w:hint="eastAsia"/>
          <w:bCs/>
          <w:color w:val="auto"/>
          <w:sz w:val="24"/>
          <w:highlight w:val="none"/>
        </w:rPr>
        <w:t>具有计算机技术与软件专业技术资格信息系统监理师证书和信息系统项目管理师证书。在此基础上，具有注册咨询工程师（注册在供应商单位）证书、计算机技术与软件专业技术资格系统架构设计师证书、计算机技术与软件专业技术资格信息安全工程师证书。</w:t>
      </w:r>
    </w:p>
    <w:p w14:paraId="58FE0BF4">
      <w:pPr>
        <w:shd w:val="clear"/>
        <w:spacing w:after="0" w:line="360" w:lineRule="auto"/>
        <w:ind w:firstLine="482"/>
        <w:contextualSpacing/>
        <w:outlineLvl w:val="2"/>
        <w:rPr>
          <w:bCs/>
          <w:color w:val="auto"/>
          <w:sz w:val="24"/>
          <w:highlight w:val="none"/>
        </w:rPr>
      </w:pPr>
      <w:bookmarkStart w:id="702" w:name="_Toc27529"/>
      <w:r>
        <w:rPr>
          <w:bCs/>
          <w:color w:val="auto"/>
          <w:sz w:val="24"/>
          <w:highlight w:val="none"/>
        </w:rPr>
        <w:t xml:space="preserve">6.4 </w:t>
      </w:r>
      <w:bookmarkEnd w:id="702"/>
      <w:r>
        <w:rPr>
          <w:rFonts w:hint="eastAsia"/>
          <w:bCs/>
          <w:color w:val="auto"/>
          <w:sz w:val="24"/>
          <w:highlight w:val="none"/>
        </w:rPr>
        <w:t>专业监理工程师</w:t>
      </w:r>
    </w:p>
    <w:p w14:paraId="290D2CC4">
      <w:pPr>
        <w:shd w:val="clear"/>
        <w:spacing w:after="0" w:line="360" w:lineRule="auto"/>
        <w:ind w:firstLine="420"/>
        <w:rPr>
          <w:bCs/>
          <w:color w:val="auto"/>
          <w:sz w:val="24"/>
          <w:highlight w:val="none"/>
        </w:rPr>
      </w:pPr>
      <w:r>
        <w:rPr>
          <w:rFonts w:hint="eastAsia"/>
          <w:bCs/>
          <w:color w:val="auto"/>
          <w:sz w:val="24"/>
          <w:highlight w:val="none"/>
        </w:rPr>
        <w:t>专业监理工程师</w:t>
      </w:r>
      <w:r>
        <w:rPr>
          <w:bCs/>
          <w:color w:val="auto"/>
          <w:sz w:val="24"/>
          <w:highlight w:val="none"/>
        </w:rPr>
        <w:t>不少于3人，</w:t>
      </w:r>
      <w:r>
        <w:rPr>
          <w:rFonts w:hint="eastAsia"/>
          <w:bCs/>
          <w:color w:val="auto"/>
          <w:sz w:val="24"/>
          <w:highlight w:val="none"/>
        </w:rPr>
        <w:t>全部具有计算机技术与软件专业技术资格信息系统监理师证书。在此基础上，专业监理工程师中持有以下证书：（1）计算机技术与软件专业技术资格信息处理技术员证书；（2）信息安全工程师。</w:t>
      </w:r>
    </w:p>
    <w:p w14:paraId="59A38C92">
      <w:pPr>
        <w:shd w:val="clear"/>
        <w:spacing w:after="0" w:line="360" w:lineRule="auto"/>
        <w:ind w:firstLine="482"/>
        <w:contextualSpacing/>
        <w:outlineLvl w:val="2"/>
        <w:rPr>
          <w:bCs/>
          <w:color w:val="auto"/>
          <w:sz w:val="24"/>
          <w:highlight w:val="none"/>
        </w:rPr>
      </w:pPr>
      <w:bookmarkStart w:id="703" w:name="_Toc19516"/>
      <w:r>
        <w:rPr>
          <w:bCs/>
          <w:color w:val="auto"/>
          <w:sz w:val="24"/>
          <w:highlight w:val="none"/>
        </w:rPr>
        <w:t>6.5 其它要求</w:t>
      </w:r>
      <w:bookmarkEnd w:id="703"/>
    </w:p>
    <w:p w14:paraId="7AC59520">
      <w:pPr>
        <w:shd w:val="clear"/>
        <w:spacing w:after="0" w:line="360" w:lineRule="auto"/>
        <w:ind w:firstLine="482"/>
        <w:contextualSpacing/>
        <w:outlineLvl w:val="2"/>
        <w:rPr>
          <w:bCs/>
          <w:color w:val="auto"/>
          <w:sz w:val="24"/>
          <w:highlight w:val="none"/>
        </w:rPr>
      </w:pPr>
      <w:r>
        <w:rPr>
          <w:bCs/>
          <w:color w:val="auto"/>
          <w:sz w:val="24"/>
          <w:highlight w:val="none"/>
        </w:rPr>
        <w:t>1）供应商必须向北京市人力资源和社会保障局保证</w:t>
      </w:r>
      <w:r>
        <w:rPr>
          <w:rFonts w:hint="eastAsia"/>
          <w:bCs/>
          <w:color w:val="auto"/>
          <w:sz w:val="24"/>
          <w:highlight w:val="none"/>
        </w:rPr>
        <w:t>成交</w:t>
      </w:r>
      <w:r>
        <w:rPr>
          <w:bCs/>
          <w:color w:val="auto"/>
          <w:sz w:val="24"/>
          <w:highlight w:val="none"/>
        </w:rPr>
        <w:t>后服务人员的稳定性，在本项目结束前，参加本项目的人员变动必须取得北京市人力资源和社会保障局同意。</w:t>
      </w:r>
    </w:p>
    <w:p w14:paraId="35D92AF0">
      <w:pPr>
        <w:shd w:val="clear"/>
        <w:spacing w:after="0" w:line="360" w:lineRule="auto"/>
        <w:ind w:firstLine="482"/>
        <w:contextualSpacing/>
        <w:outlineLvl w:val="2"/>
        <w:rPr>
          <w:bCs/>
          <w:color w:val="auto"/>
          <w:sz w:val="24"/>
          <w:highlight w:val="none"/>
        </w:rPr>
      </w:pPr>
      <w:r>
        <w:rPr>
          <w:bCs/>
          <w:color w:val="auto"/>
          <w:sz w:val="24"/>
          <w:highlight w:val="none"/>
        </w:rPr>
        <w:t>2）供应商必须在项目实施过程中遵守北京市人力资源和社会保障局的相关规章制度。</w:t>
      </w:r>
    </w:p>
    <w:p w14:paraId="477680AE">
      <w:pPr>
        <w:shd w:val="clear"/>
        <w:spacing w:after="0" w:line="360" w:lineRule="auto"/>
        <w:ind w:firstLine="482"/>
        <w:contextualSpacing/>
        <w:outlineLvl w:val="2"/>
        <w:rPr>
          <w:bCs/>
          <w:color w:val="auto"/>
          <w:sz w:val="24"/>
          <w:highlight w:val="none"/>
        </w:rPr>
      </w:pPr>
      <w:bookmarkStart w:id="704" w:name="_Toc32609"/>
      <w:r>
        <w:rPr>
          <w:rFonts w:hint="eastAsia"/>
          <w:bCs/>
          <w:color w:val="auto"/>
          <w:sz w:val="24"/>
          <w:highlight w:val="none"/>
        </w:rPr>
        <w:t xml:space="preserve">6.6 </w:t>
      </w:r>
      <w:r>
        <w:rPr>
          <w:bCs/>
          <w:color w:val="auto"/>
          <w:sz w:val="24"/>
          <w:highlight w:val="none"/>
        </w:rPr>
        <w:t>为落实政府采购政策需满足的要求</w:t>
      </w:r>
    </w:p>
    <w:p w14:paraId="1016FBFB">
      <w:pPr>
        <w:shd w:val="clear"/>
        <w:spacing w:after="0" w:line="360" w:lineRule="auto"/>
        <w:ind w:firstLine="482"/>
        <w:contextualSpacing/>
        <w:outlineLvl w:val="2"/>
        <w:rPr>
          <w:bCs/>
          <w:color w:val="auto"/>
          <w:sz w:val="24"/>
          <w:highlight w:val="none"/>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p>
    <w:p w14:paraId="554CFD22">
      <w:pPr>
        <w:shd w:val="clear"/>
        <w:spacing w:after="0" w:line="360" w:lineRule="auto"/>
        <w:contextualSpacing/>
        <w:outlineLvl w:val="1"/>
        <w:rPr>
          <w:bCs/>
          <w:color w:val="auto"/>
          <w:sz w:val="24"/>
          <w:highlight w:val="none"/>
        </w:rPr>
      </w:pPr>
      <w:r>
        <w:rPr>
          <w:bCs/>
          <w:color w:val="auto"/>
          <w:sz w:val="24"/>
          <w:highlight w:val="none"/>
        </w:rPr>
        <w:t>7. 验收</w:t>
      </w:r>
      <w:bookmarkEnd w:id="704"/>
    </w:p>
    <w:p w14:paraId="0E9036A7">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.1 履约验收主体</w:t>
      </w:r>
    </w:p>
    <w:p w14:paraId="5930FA10">
      <w:pPr>
        <w:shd w:val="clear"/>
        <w:spacing w:after="0" w:line="360" w:lineRule="auto"/>
        <w:ind w:firstLine="482"/>
        <w:contextualSpacing/>
        <w:outlineLvl w:val="2"/>
        <w:rPr>
          <w:bCs/>
          <w:color w:val="auto"/>
          <w:sz w:val="24"/>
          <w:highlight w:val="none"/>
        </w:rPr>
      </w:pPr>
      <w:r>
        <w:rPr>
          <w:bCs/>
          <w:color w:val="auto"/>
          <w:sz w:val="24"/>
          <w:highlight w:val="none"/>
        </w:rPr>
        <w:t>采购人、专家。</w:t>
      </w:r>
    </w:p>
    <w:p w14:paraId="7DC7D041">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.2 履约验收时间</w:t>
      </w:r>
    </w:p>
    <w:p w14:paraId="22A7973A">
      <w:pPr>
        <w:shd w:val="clear"/>
        <w:spacing w:after="0" w:line="360" w:lineRule="auto"/>
        <w:ind w:firstLine="482"/>
        <w:contextualSpacing/>
        <w:outlineLvl w:val="2"/>
        <w:rPr>
          <w:bCs/>
          <w:color w:val="auto"/>
          <w:sz w:val="24"/>
          <w:highlight w:val="none"/>
        </w:rPr>
      </w:pPr>
      <w:r>
        <w:rPr>
          <w:bCs/>
          <w:color w:val="auto"/>
          <w:sz w:val="24"/>
          <w:highlight w:val="none"/>
        </w:rPr>
        <w:t>系统</w:t>
      </w:r>
      <w:r>
        <w:rPr>
          <w:rFonts w:hint="eastAsia"/>
          <w:bCs/>
          <w:color w:val="auto"/>
          <w:sz w:val="24"/>
          <w:highlight w:val="none"/>
        </w:rPr>
        <w:t>连续</w:t>
      </w:r>
      <w:r>
        <w:rPr>
          <w:bCs/>
          <w:color w:val="auto"/>
          <w:sz w:val="24"/>
          <w:highlight w:val="none"/>
        </w:rPr>
        <w:t>稳定试运行3个月后。</w:t>
      </w:r>
    </w:p>
    <w:p w14:paraId="26DDE189">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.3 履约验收方式</w:t>
      </w:r>
    </w:p>
    <w:p w14:paraId="047AE5FB">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rPr>
        <w:t>专家评审</w:t>
      </w:r>
      <w:r>
        <w:rPr>
          <w:bCs/>
          <w:color w:val="auto"/>
          <w:sz w:val="24"/>
          <w:highlight w:val="none"/>
        </w:rPr>
        <w:t>会。</w:t>
      </w:r>
    </w:p>
    <w:p w14:paraId="6174D5EF">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.4 履约验收程序</w:t>
      </w:r>
    </w:p>
    <w:p w14:paraId="042D4B3B">
      <w:pPr>
        <w:shd w:val="clear"/>
        <w:spacing w:after="0" w:line="360" w:lineRule="auto"/>
        <w:ind w:firstLine="482"/>
        <w:contextualSpacing/>
        <w:outlineLvl w:val="2"/>
        <w:rPr>
          <w:bCs/>
          <w:color w:val="auto"/>
          <w:sz w:val="24"/>
          <w:highlight w:val="none"/>
        </w:rPr>
      </w:pPr>
      <w:r>
        <w:rPr>
          <w:bCs/>
          <w:color w:val="auto"/>
          <w:sz w:val="24"/>
          <w:highlight w:val="none"/>
        </w:rPr>
        <w:t>成交供应商应在</w:t>
      </w:r>
      <w:r>
        <w:rPr>
          <w:rFonts w:hint="eastAsia"/>
          <w:bCs/>
          <w:color w:val="auto"/>
          <w:sz w:val="24"/>
          <w:highlight w:val="none"/>
        </w:rPr>
        <w:t>系统连续</w:t>
      </w:r>
      <w:r>
        <w:rPr>
          <w:bCs/>
          <w:color w:val="auto"/>
          <w:sz w:val="24"/>
          <w:highlight w:val="none"/>
        </w:rPr>
        <w:t>稳定试运行3个月后，向采购人提交验收材料，并在验收材料审核通过后，书面向采购人提出验收申请，由采购人组织开展项目验收工作。</w:t>
      </w:r>
    </w:p>
    <w:p w14:paraId="1F08E5AC">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.5 履约验收内容</w:t>
      </w:r>
    </w:p>
    <w:p w14:paraId="2F5B9528">
      <w:pPr>
        <w:shd w:val="clear"/>
        <w:spacing w:after="0" w:line="360" w:lineRule="auto"/>
        <w:ind w:firstLine="482"/>
        <w:contextualSpacing/>
        <w:outlineLvl w:val="2"/>
        <w:rPr>
          <w:bCs/>
          <w:color w:val="auto"/>
          <w:sz w:val="24"/>
          <w:highlight w:val="none"/>
        </w:rPr>
      </w:pPr>
      <w:r>
        <w:rPr>
          <w:bCs/>
          <w:color w:val="auto"/>
          <w:sz w:val="24"/>
          <w:highlight w:val="none"/>
        </w:rPr>
        <w:t>合同</w:t>
      </w:r>
      <w:r>
        <w:rPr>
          <w:rFonts w:hint="eastAsia"/>
          <w:bCs/>
          <w:color w:val="auto"/>
          <w:sz w:val="24"/>
          <w:highlight w:val="none"/>
        </w:rPr>
        <w:t>和采购人要求完成</w:t>
      </w:r>
      <w:r>
        <w:rPr>
          <w:bCs/>
          <w:color w:val="auto"/>
          <w:sz w:val="24"/>
          <w:highlight w:val="none"/>
        </w:rPr>
        <w:t>的服务内容。</w:t>
      </w:r>
    </w:p>
    <w:p w14:paraId="7923026B">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.6 验收标准</w:t>
      </w:r>
    </w:p>
    <w:p w14:paraId="602DA487">
      <w:pPr>
        <w:shd w:val="clear"/>
        <w:spacing w:after="0" w:line="360" w:lineRule="auto"/>
        <w:ind w:firstLine="482"/>
        <w:contextualSpacing/>
        <w:outlineLvl w:val="2"/>
        <w:rPr>
          <w:bCs/>
          <w:color w:val="auto"/>
          <w:sz w:val="24"/>
          <w:highlight w:val="none"/>
        </w:rPr>
      </w:pPr>
      <w:r>
        <w:rPr>
          <w:bCs/>
          <w:color w:val="auto"/>
          <w:sz w:val="24"/>
          <w:highlight w:val="none"/>
        </w:rPr>
        <w:t>项目通过由采购人组织的专家评审会验收，且交付成果完全满足采购人</w:t>
      </w:r>
      <w:r>
        <w:rPr>
          <w:rFonts w:hint="eastAsia"/>
          <w:bCs/>
          <w:color w:val="auto"/>
          <w:sz w:val="24"/>
          <w:highlight w:val="none"/>
          <w:lang w:eastAsia="zh-CN"/>
        </w:rPr>
        <w:t>和</w:t>
      </w:r>
      <w:r>
        <w:rPr>
          <w:bCs/>
          <w:color w:val="auto"/>
          <w:sz w:val="24"/>
          <w:highlight w:val="none"/>
        </w:rPr>
        <w:t>合同规定的全部要求。</w:t>
      </w:r>
    </w:p>
    <w:p w14:paraId="12F3548B">
      <w:pPr>
        <w:shd w:val="clear"/>
        <w:spacing w:after="0" w:line="360" w:lineRule="auto"/>
        <w:contextualSpacing/>
        <w:outlineLvl w:val="1"/>
        <w:rPr>
          <w:bCs/>
          <w:color w:val="auto"/>
          <w:sz w:val="24"/>
          <w:highlight w:val="none"/>
        </w:rPr>
      </w:pPr>
      <w:r>
        <w:rPr>
          <w:bCs/>
          <w:color w:val="auto"/>
          <w:sz w:val="24"/>
          <w:highlight w:val="none"/>
        </w:rPr>
        <w:t>8. 其他要求</w:t>
      </w:r>
    </w:p>
    <w:p w14:paraId="7614CFB5">
      <w:pPr>
        <w:shd w:val="clear"/>
        <w:spacing w:after="0" w:line="360" w:lineRule="auto"/>
        <w:ind w:firstLine="482"/>
        <w:contextualSpacing/>
        <w:outlineLvl w:val="2"/>
        <w:rPr>
          <w:bCs/>
          <w:color w:val="auto"/>
          <w:sz w:val="24"/>
          <w:highlight w:val="none"/>
        </w:rPr>
      </w:pPr>
      <w:r>
        <w:rPr>
          <w:bCs/>
          <w:color w:val="auto"/>
          <w:sz w:val="24"/>
          <w:highlight w:val="none"/>
        </w:rPr>
        <w:t>8.1 提交的成果和知识产权</w:t>
      </w:r>
    </w:p>
    <w:p w14:paraId="15EF4F73">
      <w:pPr>
        <w:shd w:val="clear"/>
        <w:spacing w:after="0" w:line="360" w:lineRule="auto"/>
        <w:ind w:firstLine="482"/>
        <w:contextualSpacing/>
        <w:outlineLvl w:val="2"/>
        <w:rPr>
          <w:bCs/>
          <w:color w:val="auto"/>
          <w:sz w:val="24"/>
          <w:highlight w:val="none"/>
        </w:rPr>
      </w:pPr>
      <w:r>
        <w:rPr>
          <w:bCs/>
          <w:color w:val="auto"/>
          <w:sz w:val="24"/>
          <w:highlight w:val="none"/>
        </w:rPr>
        <w:t>1）提交的成果</w:t>
      </w:r>
    </w:p>
    <w:p w14:paraId="51BA6F6E">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在整个监理服务过程中，应及时形成文档资料，并向项目工作组分阶段按时提交，包括但不限于以下内容：</w:t>
      </w:r>
    </w:p>
    <w:tbl>
      <w:tblPr>
        <w:tblStyle w:val="44"/>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975"/>
        <w:gridCol w:w="6218"/>
      </w:tblGrid>
      <w:tr w14:paraId="230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jc w:val="center"/>
        </w:trPr>
        <w:tc>
          <w:tcPr>
            <w:tcW w:w="1975" w:type="dxa"/>
            <w:shd w:val="clear" w:color="auto" w:fill="FFFFFF" w:themeFill="background1"/>
            <w:vAlign w:val="center"/>
          </w:tcPr>
          <w:p w14:paraId="355E0F18">
            <w:pPr>
              <w:shd w:val="clear"/>
              <w:adjustRightInd w:val="0"/>
              <w:spacing w:after="0" w:line="240" w:lineRule="auto"/>
              <w:jc w:val="center"/>
              <w:rPr>
                <w:rFonts w:ascii="宋体" w:hAnsi="宋体"/>
                <w:b/>
                <w:color w:val="auto"/>
                <w:sz w:val="24"/>
                <w:highlight w:val="none"/>
                <w:lang w:val="zh-CN"/>
              </w:rPr>
            </w:pPr>
            <w:r>
              <w:rPr>
                <w:rFonts w:hint="eastAsia" w:ascii="宋体" w:hAnsi="宋体"/>
                <w:b/>
                <w:color w:val="auto"/>
                <w:sz w:val="24"/>
                <w:highlight w:val="none"/>
                <w:lang w:val="zh-CN"/>
              </w:rPr>
              <w:t>文档类别</w:t>
            </w:r>
          </w:p>
        </w:tc>
        <w:tc>
          <w:tcPr>
            <w:tcW w:w="6218" w:type="dxa"/>
            <w:shd w:val="clear" w:color="auto" w:fill="FFFFFF" w:themeFill="background1"/>
            <w:vAlign w:val="center"/>
          </w:tcPr>
          <w:p w14:paraId="3925D7E5">
            <w:pPr>
              <w:shd w:val="clear"/>
              <w:adjustRightInd w:val="0"/>
              <w:spacing w:after="0" w:line="240" w:lineRule="auto"/>
              <w:ind w:firstLine="482" w:firstLineChars="200"/>
              <w:jc w:val="center"/>
              <w:rPr>
                <w:rFonts w:ascii="宋体" w:hAnsi="宋体"/>
                <w:b/>
                <w:color w:val="auto"/>
                <w:sz w:val="24"/>
                <w:highlight w:val="none"/>
                <w:lang w:val="zh-CN"/>
              </w:rPr>
            </w:pPr>
            <w:r>
              <w:rPr>
                <w:rFonts w:hint="eastAsia" w:ascii="宋体" w:hAnsi="宋体"/>
                <w:b/>
                <w:color w:val="auto"/>
                <w:sz w:val="24"/>
                <w:highlight w:val="none"/>
                <w:lang w:val="zh-CN"/>
              </w:rPr>
              <w:t>主要的提交成果</w:t>
            </w:r>
          </w:p>
        </w:tc>
      </w:tr>
      <w:tr w14:paraId="0C9B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22D7232C">
            <w:pPr>
              <w:shd w:val="clear"/>
              <w:adjustRightInd w:val="0"/>
              <w:spacing w:after="0" w:line="240" w:lineRule="auto"/>
              <w:jc w:val="center"/>
              <w:rPr>
                <w:rFonts w:ascii="宋体" w:hAnsi="宋体"/>
                <w:color w:val="auto"/>
                <w:sz w:val="24"/>
                <w:highlight w:val="none"/>
                <w:lang w:val="zh-CN"/>
              </w:rPr>
            </w:pPr>
            <w:r>
              <w:rPr>
                <w:rFonts w:hint="eastAsia" w:ascii="宋体" w:hAnsi="宋体"/>
                <w:color w:val="auto"/>
                <w:sz w:val="24"/>
                <w:highlight w:val="none"/>
              </w:rPr>
              <w:t>监理工作方案</w:t>
            </w:r>
          </w:p>
        </w:tc>
        <w:tc>
          <w:tcPr>
            <w:tcW w:w="6218" w:type="dxa"/>
            <w:shd w:val="clear" w:color="auto" w:fill="FFFFFF" w:themeFill="background1"/>
            <w:vAlign w:val="center"/>
          </w:tcPr>
          <w:p w14:paraId="100E5E86">
            <w:pPr>
              <w:shd w:val="clear"/>
              <w:adjustRightInd w:val="0"/>
              <w:spacing w:after="0" w:line="240" w:lineRule="auto"/>
              <w:jc w:val="left"/>
              <w:rPr>
                <w:rFonts w:ascii="宋体" w:hAnsi="宋体"/>
                <w:color w:val="auto"/>
                <w:sz w:val="24"/>
                <w:highlight w:val="none"/>
                <w:lang w:val="zh-CN"/>
              </w:rPr>
            </w:pPr>
            <w:r>
              <w:rPr>
                <w:rFonts w:hint="eastAsia" w:ascii="宋体" w:hAnsi="宋体" w:cs="宋体"/>
                <w:color w:val="auto"/>
                <w:sz w:val="24"/>
                <w:highlight w:val="none"/>
              </w:rPr>
              <w:t>项目监理规划、项目监理实施细则</w:t>
            </w:r>
          </w:p>
        </w:tc>
      </w:tr>
      <w:tr w14:paraId="67C2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34112B82">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定期项目报告</w:t>
            </w:r>
          </w:p>
        </w:tc>
        <w:tc>
          <w:tcPr>
            <w:tcW w:w="6218" w:type="dxa"/>
            <w:shd w:val="clear" w:color="auto" w:fill="FFFFFF" w:themeFill="background1"/>
            <w:vAlign w:val="center"/>
          </w:tcPr>
          <w:p w14:paraId="3E7E4630">
            <w:pPr>
              <w:shd w:val="clear"/>
              <w:adjustRightInd w:val="0"/>
              <w:spacing w:after="0" w:line="240" w:lineRule="auto"/>
              <w:jc w:val="left"/>
              <w:rPr>
                <w:rFonts w:ascii="宋体" w:hAnsi="宋体"/>
                <w:color w:val="auto"/>
                <w:sz w:val="24"/>
                <w:highlight w:val="none"/>
                <w:lang w:val="zh-CN"/>
              </w:rPr>
            </w:pPr>
            <w:r>
              <w:rPr>
                <w:rFonts w:hint="eastAsia" w:ascii="宋体" w:hAnsi="宋体"/>
                <w:color w:val="auto"/>
                <w:sz w:val="24"/>
                <w:highlight w:val="none"/>
              </w:rPr>
              <w:t>项目监理周报或监理月报、项目阶段总结报告</w:t>
            </w:r>
          </w:p>
        </w:tc>
      </w:tr>
      <w:tr w14:paraId="720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368DA385">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不定期专题报告</w:t>
            </w:r>
          </w:p>
        </w:tc>
        <w:tc>
          <w:tcPr>
            <w:tcW w:w="6218" w:type="dxa"/>
            <w:shd w:val="clear" w:color="auto" w:fill="FFFFFF" w:themeFill="background1"/>
            <w:vAlign w:val="center"/>
          </w:tcPr>
          <w:p w14:paraId="5F46A68D">
            <w:pPr>
              <w:shd w:val="clear"/>
              <w:adjustRightInd w:val="0"/>
              <w:spacing w:after="0" w:line="240" w:lineRule="auto"/>
              <w:jc w:val="left"/>
              <w:rPr>
                <w:rFonts w:ascii="宋体" w:hAnsi="宋体"/>
                <w:color w:val="auto"/>
                <w:sz w:val="24"/>
                <w:highlight w:val="none"/>
                <w:lang w:val="zh-CN"/>
              </w:rPr>
            </w:pPr>
            <w:r>
              <w:rPr>
                <w:rFonts w:hint="eastAsia" w:ascii="宋体" w:hAnsi="宋体"/>
                <w:color w:val="auto"/>
                <w:sz w:val="24"/>
                <w:highlight w:val="none"/>
              </w:rPr>
              <w:t>项目监理工作情况汇报、项目监理专题报告、项目监理工作总结报告等</w:t>
            </w:r>
          </w:p>
        </w:tc>
      </w:tr>
      <w:tr w14:paraId="0E95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1151" w:hRule="atLeast"/>
          <w:jc w:val="center"/>
        </w:trPr>
        <w:tc>
          <w:tcPr>
            <w:tcW w:w="1975" w:type="dxa"/>
            <w:shd w:val="clear" w:color="auto" w:fill="FFFFFF" w:themeFill="background1"/>
            <w:vAlign w:val="center"/>
          </w:tcPr>
          <w:p w14:paraId="320AD483">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日常监理文件</w:t>
            </w:r>
          </w:p>
        </w:tc>
        <w:tc>
          <w:tcPr>
            <w:tcW w:w="6218" w:type="dxa"/>
            <w:shd w:val="clear" w:color="auto" w:fill="FFFFFF" w:themeFill="background1"/>
            <w:vAlign w:val="center"/>
          </w:tcPr>
          <w:p w14:paraId="7343A350">
            <w:pPr>
              <w:shd w:val="clear"/>
              <w:adjustRightInd w:val="0"/>
              <w:spacing w:after="0" w:line="240" w:lineRule="auto"/>
              <w:jc w:val="left"/>
              <w:rPr>
                <w:rFonts w:ascii="宋体" w:hAnsi="宋体"/>
                <w:color w:val="auto"/>
                <w:sz w:val="24"/>
                <w:highlight w:val="none"/>
              </w:rPr>
            </w:pPr>
            <w:r>
              <w:rPr>
                <w:rFonts w:hint="eastAsia" w:ascii="宋体" w:hAnsi="宋体"/>
                <w:color w:val="auto"/>
                <w:sz w:val="24"/>
                <w:highlight w:val="none"/>
              </w:rPr>
              <w:t>项目会议纪要、项目监理通知、项目监理联系单、项目大事记、项目计划审批文件、项目技术方案审阅文件、项目进度调整批复文件、项目进度款支付确认文件、项目索赔受理、调查及处理文件等</w:t>
            </w:r>
          </w:p>
        </w:tc>
      </w:tr>
    </w:tbl>
    <w:p w14:paraId="15D59538">
      <w:pPr>
        <w:shd w:val="clear"/>
        <w:spacing w:after="0" w:line="360" w:lineRule="auto"/>
        <w:ind w:firstLine="482"/>
        <w:contextualSpacing/>
        <w:jc w:val="left"/>
        <w:outlineLvl w:val="2"/>
        <w:rPr>
          <w:bCs/>
          <w:color w:val="auto"/>
          <w:sz w:val="24"/>
          <w:highlight w:val="none"/>
        </w:rPr>
      </w:pPr>
      <w:r>
        <w:rPr>
          <w:rFonts w:hint="eastAsia"/>
          <w:bCs/>
          <w:color w:val="auto"/>
          <w:sz w:val="24"/>
          <w:highlight w:val="none"/>
        </w:rPr>
        <w:t>供应商</w:t>
      </w:r>
      <w:r>
        <w:rPr>
          <w:bCs/>
          <w:color w:val="auto"/>
          <w:sz w:val="24"/>
          <w:highlight w:val="none"/>
        </w:rPr>
        <w:t>需提供文档包含但不局限于以上文档。</w:t>
      </w:r>
    </w:p>
    <w:p w14:paraId="3F6D66BB">
      <w:pPr>
        <w:shd w:val="clear"/>
        <w:spacing w:after="0" w:line="360" w:lineRule="auto"/>
        <w:ind w:firstLine="482"/>
        <w:contextualSpacing/>
        <w:outlineLvl w:val="2"/>
        <w:rPr>
          <w:bCs/>
          <w:color w:val="auto"/>
          <w:sz w:val="24"/>
          <w:highlight w:val="none"/>
        </w:rPr>
      </w:pPr>
      <w:r>
        <w:rPr>
          <w:bCs/>
          <w:color w:val="auto"/>
          <w:sz w:val="24"/>
          <w:highlight w:val="none"/>
        </w:rPr>
        <w:t>2）知识产权</w:t>
      </w:r>
    </w:p>
    <w:p w14:paraId="784D1838">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北京市人力资源和社会保障局拥有项目过程中除第三方产品外所有工作件、交付品文档、定制软件及其他附属产品的知识产权，未经</w:t>
      </w:r>
      <w:r>
        <w:rPr>
          <w:rFonts w:hint="eastAsia"/>
          <w:bCs/>
          <w:color w:val="auto"/>
          <w:sz w:val="24"/>
          <w:highlight w:val="none"/>
        </w:rPr>
        <w:t>采购人</w:t>
      </w:r>
      <w:r>
        <w:rPr>
          <w:bCs/>
          <w:color w:val="auto"/>
          <w:sz w:val="24"/>
          <w:highlight w:val="none"/>
        </w:rPr>
        <w:t>许可，不得用于第三方。</w:t>
      </w:r>
    </w:p>
    <w:p w14:paraId="7BBACAC6">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应保证项目中提供给</w:t>
      </w:r>
      <w:r>
        <w:rPr>
          <w:rFonts w:hint="eastAsia"/>
          <w:bCs/>
          <w:color w:val="auto"/>
          <w:sz w:val="24"/>
          <w:highlight w:val="none"/>
        </w:rPr>
        <w:t>采购人</w:t>
      </w:r>
      <w:r>
        <w:rPr>
          <w:bCs/>
          <w:color w:val="auto"/>
          <w:sz w:val="24"/>
          <w:highlight w:val="none"/>
        </w:rPr>
        <w:t>使用的货物及服务或其中的任何一部分时，免受第三方提出的侵犯其知识产权的索赔或诉讼。如有任何上述指控，</w:t>
      </w:r>
      <w:r>
        <w:rPr>
          <w:rFonts w:hint="eastAsia"/>
          <w:bCs/>
          <w:color w:val="auto"/>
          <w:sz w:val="24"/>
          <w:highlight w:val="none"/>
        </w:rPr>
        <w:t>供应商</w:t>
      </w:r>
      <w:r>
        <w:rPr>
          <w:bCs/>
          <w:color w:val="auto"/>
          <w:sz w:val="24"/>
          <w:highlight w:val="none"/>
        </w:rPr>
        <w:t>应独自承担可能发生的一切法律责任和费用。</w:t>
      </w:r>
    </w:p>
    <w:p w14:paraId="2F4B792B">
      <w:pPr>
        <w:shd w:val="clear"/>
        <w:spacing w:after="0" w:line="360" w:lineRule="auto"/>
        <w:ind w:firstLine="482"/>
        <w:contextualSpacing/>
        <w:outlineLvl w:val="2"/>
        <w:rPr>
          <w:bCs/>
          <w:color w:val="auto"/>
          <w:sz w:val="24"/>
          <w:highlight w:val="none"/>
        </w:rPr>
      </w:pPr>
      <w:r>
        <w:rPr>
          <w:bCs/>
          <w:color w:val="auto"/>
          <w:sz w:val="24"/>
          <w:highlight w:val="none"/>
        </w:rPr>
        <w:t>8.2 保密要求</w:t>
      </w:r>
    </w:p>
    <w:p w14:paraId="7D235031">
      <w:pPr>
        <w:widowControl/>
        <w:shd w:val="clear"/>
        <w:spacing w:after="0" w:line="360" w:lineRule="auto"/>
        <w:ind w:firstLine="482"/>
        <w:contextualSpacing/>
        <w:jc w:val="left"/>
        <w:outlineLvl w:val="2"/>
        <w:rPr>
          <w:bCs/>
          <w:color w:val="auto"/>
          <w:sz w:val="24"/>
          <w:highlight w:val="none"/>
        </w:rPr>
      </w:pPr>
      <w:r>
        <w:rPr>
          <w:rFonts w:hint="eastAsia"/>
          <w:bCs/>
          <w:color w:val="auto"/>
          <w:sz w:val="24"/>
          <w:highlight w:val="none"/>
        </w:rPr>
        <w:t>供应商（</w:t>
      </w:r>
      <w:r>
        <w:rPr>
          <w:bCs/>
          <w:color w:val="auto"/>
          <w:sz w:val="24"/>
          <w:highlight w:val="none"/>
        </w:rPr>
        <w:t>含项目组所有成员</w:t>
      </w:r>
      <w:r>
        <w:rPr>
          <w:rFonts w:hint="eastAsia"/>
          <w:bCs/>
          <w:color w:val="auto"/>
          <w:sz w:val="24"/>
          <w:highlight w:val="none"/>
        </w:rPr>
        <w:t>）</w:t>
      </w:r>
      <w:r>
        <w:rPr>
          <w:bCs/>
          <w:color w:val="auto"/>
          <w:sz w:val="24"/>
          <w:highlight w:val="none"/>
        </w:rPr>
        <w:t>必须对项目技术文件以及由</w:t>
      </w:r>
      <w:r>
        <w:rPr>
          <w:rFonts w:hint="eastAsia"/>
          <w:bCs/>
          <w:color w:val="auto"/>
          <w:sz w:val="24"/>
          <w:highlight w:val="none"/>
        </w:rPr>
        <w:t>采购人</w:t>
      </w:r>
      <w:r>
        <w:rPr>
          <w:bCs/>
          <w:color w:val="auto"/>
          <w:sz w:val="24"/>
          <w:highlight w:val="none"/>
        </w:rPr>
        <w:t>提供的所有内部资料、技术文档、数据和信息予以保密。</w:t>
      </w:r>
      <w:r>
        <w:rPr>
          <w:rFonts w:hint="eastAsia"/>
          <w:bCs/>
          <w:color w:val="auto"/>
          <w:sz w:val="24"/>
          <w:highlight w:val="none"/>
        </w:rPr>
        <w:t>供应商</w:t>
      </w:r>
      <w:r>
        <w:rPr>
          <w:bCs/>
          <w:color w:val="auto"/>
          <w:sz w:val="24"/>
          <w:highlight w:val="none"/>
        </w:rPr>
        <w:t>必须与</w:t>
      </w:r>
      <w:r>
        <w:rPr>
          <w:rFonts w:hint="eastAsia"/>
          <w:bCs/>
          <w:color w:val="auto"/>
          <w:sz w:val="24"/>
          <w:highlight w:val="none"/>
        </w:rPr>
        <w:t>采购人</w:t>
      </w:r>
      <w:r>
        <w:rPr>
          <w:bCs/>
          <w:color w:val="auto"/>
          <w:sz w:val="24"/>
          <w:highlight w:val="none"/>
        </w:rPr>
        <w:t>签订保密协议并严格遵守，未经</w:t>
      </w:r>
      <w:r>
        <w:rPr>
          <w:rFonts w:hint="eastAsia"/>
          <w:bCs/>
          <w:color w:val="auto"/>
          <w:sz w:val="24"/>
          <w:highlight w:val="none"/>
        </w:rPr>
        <w:t>采购人</w:t>
      </w:r>
      <w:r>
        <w:rPr>
          <w:bCs/>
          <w:color w:val="auto"/>
          <w:sz w:val="24"/>
          <w:highlight w:val="none"/>
        </w:rPr>
        <w:t>书面许可，</w:t>
      </w:r>
      <w:r>
        <w:rPr>
          <w:rFonts w:hint="eastAsia"/>
          <w:bCs/>
          <w:color w:val="auto"/>
          <w:sz w:val="24"/>
          <w:highlight w:val="none"/>
        </w:rPr>
        <w:t>供应商</w:t>
      </w:r>
      <w:r>
        <w:rPr>
          <w:bCs/>
          <w:color w:val="auto"/>
          <w:sz w:val="24"/>
          <w:highlight w:val="none"/>
        </w:rPr>
        <w:t>不得以任何形式向第三方透露本项目信息以及与本项目有关的任何其他内容。</w:t>
      </w:r>
    </w:p>
    <w:p w14:paraId="75B8B6BA">
      <w:pPr>
        <w:pStyle w:val="6"/>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7D9B7A6B">
      <w:pPr>
        <w:pStyle w:val="6"/>
        <w:shd w:val="clear"/>
        <w:rPr>
          <w:color w:val="auto"/>
          <w:highlight w:val="none"/>
        </w:rPr>
      </w:pPr>
    </w:p>
    <w:p w14:paraId="65AB67EF">
      <w:pPr>
        <w:pStyle w:val="6"/>
        <w:shd w:val="clear"/>
        <w:rPr>
          <w:color w:val="auto"/>
          <w:highlight w:val="none"/>
        </w:rPr>
      </w:pPr>
    </w:p>
    <w:p w14:paraId="2C1269CC">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textAlignment w:val="auto"/>
        <w:rPr>
          <w:rFonts w:eastAsia="宋体"/>
          <w:b/>
          <w:color w:val="auto"/>
          <w:sz w:val="36"/>
          <w:szCs w:val="36"/>
          <w:highlight w:val="none"/>
        </w:rPr>
      </w:pPr>
      <w:r>
        <w:rPr>
          <w:rFonts w:eastAsia="宋体"/>
          <w:b/>
          <w:color w:val="auto"/>
          <w:sz w:val="36"/>
          <w:szCs w:val="36"/>
          <w:highlight w:val="none"/>
        </w:rPr>
        <w:t xml:space="preserve"> </w:t>
      </w:r>
    </w:p>
    <w:p w14:paraId="25F8195F">
      <w:pPr>
        <w:shd w:val="clear"/>
        <w:spacing w:line="360" w:lineRule="auto"/>
        <w:jc w:val="center"/>
        <w:outlineLvl w:val="0"/>
        <w:rPr>
          <w:rFonts w:eastAsia="宋体"/>
          <w:b/>
          <w:color w:val="auto"/>
          <w:sz w:val="36"/>
          <w:szCs w:val="36"/>
          <w:highlight w:val="none"/>
        </w:rPr>
      </w:pPr>
    </w:p>
    <w:p w14:paraId="5C512385">
      <w:pPr>
        <w:shd w:val="clear"/>
        <w:spacing w:line="360" w:lineRule="auto"/>
        <w:jc w:val="center"/>
        <w:outlineLvl w:val="0"/>
        <w:rPr>
          <w:rFonts w:eastAsia="宋体"/>
          <w:b/>
          <w:color w:val="auto"/>
          <w:sz w:val="36"/>
          <w:szCs w:val="36"/>
          <w:highlight w:val="none"/>
        </w:rPr>
      </w:pPr>
    </w:p>
    <w:p w14:paraId="6D07856D">
      <w:pPr>
        <w:shd w:val="clear"/>
        <w:spacing w:line="360" w:lineRule="auto"/>
        <w:jc w:val="center"/>
        <w:outlineLvl w:val="0"/>
        <w:rPr>
          <w:rFonts w:eastAsia="宋体"/>
          <w:b/>
          <w:color w:val="auto"/>
          <w:sz w:val="36"/>
          <w:szCs w:val="36"/>
          <w:highlight w:val="none"/>
        </w:rPr>
      </w:pPr>
    </w:p>
    <w:p w14:paraId="6E3A1438">
      <w:pPr>
        <w:shd w:val="clear"/>
        <w:spacing w:line="360" w:lineRule="auto"/>
        <w:jc w:val="center"/>
        <w:outlineLvl w:val="0"/>
        <w:rPr>
          <w:rFonts w:eastAsia="宋体"/>
          <w:b/>
          <w:color w:val="auto"/>
          <w:sz w:val="36"/>
          <w:szCs w:val="36"/>
          <w:highlight w:val="none"/>
        </w:rPr>
      </w:pPr>
    </w:p>
    <w:p w14:paraId="1E0F5973">
      <w:pPr>
        <w:shd w:val="clear"/>
        <w:spacing w:line="360" w:lineRule="auto"/>
        <w:jc w:val="center"/>
        <w:outlineLvl w:val="0"/>
        <w:rPr>
          <w:rFonts w:eastAsia="宋体"/>
          <w:b/>
          <w:color w:val="auto"/>
          <w:sz w:val="36"/>
          <w:szCs w:val="36"/>
          <w:highlight w:val="none"/>
        </w:rPr>
      </w:pPr>
    </w:p>
    <w:p w14:paraId="0D125F25">
      <w:pPr>
        <w:shd w:val="clear"/>
        <w:spacing w:line="360" w:lineRule="auto"/>
        <w:jc w:val="center"/>
        <w:outlineLvl w:val="0"/>
        <w:rPr>
          <w:rFonts w:eastAsia="宋体"/>
          <w:b/>
          <w:color w:val="auto"/>
          <w:sz w:val="36"/>
          <w:szCs w:val="36"/>
          <w:highlight w:val="none"/>
        </w:rPr>
      </w:pPr>
      <w:bookmarkStart w:id="705" w:name="_Toc22014"/>
      <w:r>
        <w:rPr>
          <w:rFonts w:eastAsia="宋体"/>
          <w:b/>
          <w:color w:val="auto"/>
          <w:sz w:val="36"/>
          <w:szCs w:val="36"/>
          <w:highlight w:val="none"/>
        </w:rPr>
        <w:t>第五章   合同草案条款</w:t>
      </w:r>
      <w:bookmarkEnd w:id="705"/>
    </w:p>
    <w:p w14:paraId="4E51949B">
      <w:pPr>
        <w:shd w:val="clear"/>
        <w:tabs>
          <w:tab w:val="left" w:pos="900"/>
          <w:tab w:val="left" w:pos="1080"/>
        </w:tabs>
        <w:snapToGrid w:val="0"/>
        <w:spacing w:line="360" w:lineRule="auto"/>
        <w:rPr>
          <w:rFonts w:eastAsia="宋体"/>
          <w:color w:val="auto"/>
          <w:kern w:val="0"/>
          <w:sz w:val="18"/>
          <w:szCs w:val="18"/>
          <w:highlight w:val="none"/>
        </w:rPr>
      </w:pPr>
    </w:p>
    <w:p w14:paraId="274BE86C">
      <w:pPr>
        <w:shd w:val="clear"/>
        <w:tabs>
          <w:tab w:val="left" w:pos="900"/>
          <w:tab w:val="left" w:pos="1080"/>
        </w:tabs>
        <w:snapToGrid w:val="0"/>
        <w:spacing w:line="360" w:lineRule="auto"/>
        <w:rPr>
          <w:rFonts w:eastAsia="宋体"/>
          <w:color w:val="auto"/>
          <w:kern w:val="0"/>
          <w:sz w:val="18"/>
          <w:szCs w:val="18"/>
          <w:highlight w:val="none"/>
        </w:rPr>
      </w:pPr>
    </w:p>
    <w:p w14:paraId="48D79E2B">
      <w:pPr>
        <w:widowControl/>
        <w:shd w:val="clear"/>
        <w:jc w:val="left"/>
        <w:rPr>
          <w:rFonts w:eastAsia="宋体"/>
          <w:b/>
          <w:color w:val="auto"/>
          <w:sz w:val="36"/>
          <w:szCs w:val="36"/>
          <w:highlight w:val="none"/>
        </w:rPr>
      </w:pPr>
    </w:p>
    <w:p w14:paraId="77414C83">
      <w:pPr>
        <w:widowControl/>
        <w:shd w:val="clear"/>
        <w:jc w:val="left"/>
        <w:rPr>
          <w:rFonts w:eastAsia="宋体"/>
          <w:b/>
          <w:color w:val="auto"/>
          <w:sz w:val="36"/>
          <w:szCs w:val="36"/>
          <w:highlight w:val="none"/>
        </w:rPr>
      </w:pPr>
    </w:p>
    <w:p w14:paraId="20BF5C22">
      <w:pPr>
        <w:shd w:val="clear"/>
        <w:spacing w:line="360" w:lineRule="auto"/>
        <w:jc w:val="center"/>
        <w:outlineLvl w:val="0"/>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p>
    <w:p w14:paraId="2F15CC36">
      <w:pPr>
        <w:shd w:val="clear"/>
        <w:rPr>
          <w:rFonts w:ascii="Times New Roman" w:hAnsi="Times New Roman" w:eastAsia="宋体" w:cs="Calibri"/>
          <w:color w:val="auto"/>
          <w:highlight w:val="none"/>
        </w:rPr>
      </w:pPr>
    </w:p>
    <w:p w14:paraId="5223CABE">
      <w:pPr>
        <w:keepNext w:val="0"/>
        <w:keepLines w:val="0"/>
        <w:pageBreakBefore w:val="0"/>
        <w:shd w:val="clear"/>
        <w:kinsoku/>
        <w:wordWrap/>
        <w:overflowPunct/>
        <w:topLinePunct w:val="0"/>
        <w:bidi w:val="0"/>
        <w:adjustRightInd w:val="0"/>
        <w:snapToGrid w:val="0"/>
        <w:spacing w:line="480" w:lineRule="exact"/>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第1包</w:t>
      </w:r>
    </w:p>
    <w:p w14:paraId="766F2FAB">
      <w:pPr>
        <w:shd w:val="clear"/>
        <w:rPr>
          <w:color w:val="auto"/>
          <w:highlight w:val="none"/>
        </w:rPr>
      </w:pPr>
    </w:p>
    <w:p w14:paraId="0E482668">
      <w:pPr>
        <w:shd w:val="clear"/>
        <w:rPr>
          <w:color w:val="auto"/>
          <w:highlight w:val="none"/>
        </w:rPr>
      </w:pPr>
    </w:p>
    <w:p w14:paraId="7C15ECBA">
      <w:pPr>
        <w:pStyle w:val="4"/>
        <w:shd w:val="clear"/>
        <w:snapToGrid w:val="0"/>
        <w:spacing w:line="288" w:lineRule="auto"/>
        <w:ind w:firstLine="0"/>
        <w:rPr>
          <w:rFonts w:hAnsi="宋体"/>
          <w:color w:val="auto"/>
          <w:sz w:val="28"/>
          <w:szCs w:val="28"/>
          <w:highlight w:val="none"/>
        </w:rPr>
      </w:pPr>
    </w:p>
    <w:p w14:paraId="459FDEE5">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52D4ADC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73C24B8E">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01E7EE84">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0868C402">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6CEBC518">
      <w:pPr>
        <w:pStyle w:val="5"/>
        <w:shd w:val="clear"/>
        <w:snapToGrid w:val="0"/>
        <w:spacing w:line="272" w:lineRule="atLeast"/>
        <w:ind w:firstLine="0"/>
        <w:rPr>
          <w:rFonts w:ascii="宋体" w:hAnsi="宋体" w:eastAsia="宋体"/>
          <w:color w:val="auto"/>
          <w:sz w:val="21"/>
          <w:szCs w:val="21"/>
          <w:highlight w:val="none"/>
        </w:rPr>
      </w:pPr>
    </w:p>
    <w:p w14:paraId="76F11737">
      <w:pPr>
        <w:pStyle w:val="5"/>
        <w:shd w:val="clear"/>
        <w:snapToGrid w:val="0"/>
        <w:spacing w:line="272" w:lineRule="atLeast"/>
        <w:ind w:firstLine="0"/>
        <w:rPr>
          <w:rFonts w:ascii="宋体" w:hAnsi="宋体" w:eastAsia="宋体"/>
          <w:color w:val="auto"/>
          <w:sz w:val="21"/>
          <w:szCs w:val="21"/>
          <w:highlight w:val="none"/>
        </w:rPr>
      </w:pPr>
    </w:p>
    <w:p w14:paraId="6DD58545">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248EF369">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包：</w:t>
      </w:r>
      <w:r>
        <w:rPr>
          <w:rFonts w:hint="eastAsia" w:ascii="宋体" w:hAnsi="宋体"/>
          <w:color w:val="auto"/>
          <w:szCs w:val="21"/>
          <w:highlight w:val="none"/>
          <w:u w:val="single"/>
          <w:lang w:eastAsia="zh-CN"/>
        </w:rPr>
        <w:t>系统建设</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14:paraId="776DEF17">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397F9B74">
      <w:pPr>
        <w:shd w:val="clear"/>
        <w:snapToGrid w:val="0"/>
        <w:spacing w:before="119" w:line="272" w:lineRule="atLeast"/>
        <w:rPr>
          <w:rFonts w:ascii="宋体" w:hAnsi="宋体"/>
          <w:color w:val="auto"/>
          <w:szCs w:val="21"/>
          <w:highlight w:val="none"/>
        </w:rPr>
      </w:pPr>
    </w:p>
    <w:p w14:paraId="5FC380B9">
      <w:pPr>
        <w:shd w:val="clear"/>
        <w:snapToGrid w:val="0"/>
        <w:spacing w:before="119" w:line="272" w:lineRule="atLeast"/>
        <w:rPr>
          <w:rFonts w:ascii="宋体" w:hAnsi="宋体"/>
          <w:color w:val="auto"/>
          <w:szCs w:val="21"/>
          <w:highlight w:val="none"/>
        </w:rPr>
      </w:pPr>
    </w:p>
    <w:p w14:paraId="52FA556C">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57751B1">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4BED5705">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605FA5F8">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15892D49">
      <w:pPr>
        <w:shd w:val="clear"/>
        <w:snapToGrid w:val="0"/>
        <w:spacing w:before="119" w:line="272" w:lineRule="atLeast"/>
        <w:ind w:left="958"/>
        <w:jc w:val="center"/>
        <w:rPr>
          <w:rFonts w:ascii="宋体" w:hAnsi="宋体"/>
          <w:color w:val="auto"/>
          <w:szCs w:val="21"/>
          <w:highlight w:val="none"/>
        </w:rPr>
      </w:pPr>
    </w:p>
    <w:p w14:paraId="6D7D8A2C">
      <w:pPr>
        <w:shd w:val="clear"/>
        <w:snapToGrid w:val="0"/>
        <w:spacing w:before="119" w:line="272" w:lineRule="atLeast"/>
        <w:ind w:left="958"/>
        <w:jc w:val="center"/>
        <w:rPr>
          <w:rFonts w:ascii="宋体" w:hAnsi="宋体"/>
          <w:color w:val="auto"/>
          <w:szCs w:val="21"/>
          <w:highlight w:val="none"/>
        </w:rPr>
      </w:pPr>
    </w:p>
    <w:p w14:paraId="6AC1DBCE">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ascii="宋体" w:hAnsi="宋体" w:cs="Times New Roman"/>
          <w:color w:val="auto"/>
          <w:szCs w:val="21"/>
          <w:highlight w:val="none"/>
        </w:rPr>
      </w:pPr>
      <w:r>
        <w:rPr>
          <w:rFonts w:ascii="宋体" w:hAnsi="宋体" w:cs="Times New Roman"/>
          <w:color w:val="auto"/>
          <w:szCs w:val="21"/>
          <w:highlight w:val="none"/>
        </w:rPr>
        <w:t>签署日期：</w:t>
      </w:r>
      <w:r>
        <w:rPr>
          <w:rFonts w:ascii="宋体" w:hAnsi="宋体" w:cs="Times New Roman"/>
          <w:color w:val="auto"/>
          <w:szCs w:val="21"/>
          <w:highlight w:val="none"/>
          <w:u w:val="single"/>
        </w:rPr>
        <w:t xml:space="preserve">              </w:t>
      </w:r>
      <w:r>
        <w:rPr>
          <w:rFonts w:hint="default" w:ascii="宋体" w:hAnsi="宋体" w:cs="Times New Roman"/>
          <w:color w:val="auto"/>
          <w:szCs w:val="21"/>
          <w:highlight w:val="none"/>
          <w:u w:val="single"/>
          <w:lang w:val="en"/>
        </w:rPr>
        <w:t xml:space="preserve"> </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p>
    <w:p w14:paraId="5313F509">
      <w:pPr>
        <w:shd w:val="clear"/>
        <w:snapToGrid w:val="0"/>
        <w:spacing w:line="360" w:lineRule="auto"/>
        <w:ind w:left="958"/>
        <w:rPr>
          <w:rFonts w:ascii="宋体" w:hAnsi="宋体" w:cs="Times New Roman"/>
          <w:color w:val="auto"/>
          <w:szCs w:val="21"/>
          <w:highlight w:val="none"/>
        </w:rPr>
      </w:pPr>
      <w:r>
        <w:rPr>
          <w:rFonts w:ascii="宋体" w:hAnsi="宋体" w:cs="Times New Roman"/>
          <w:color w:val="auto"/>
          <w:szCs w:val="21"/>
          <w:highlight w:val="none"/>
        </w:rPr>
        <w:t xml:space="preserve">                                          </w:t>
      </w:r>
    </w:p>
    <w:p w14:paraId="66668041">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4D0E3281">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p>
    <w:p w14:paraId="21E8211B">
      <w:pPr>
        <w:shd w:val="clear"/>
        <w:snapToGrid w:val="0"/>
        <w:spacing w:line="360" w:lineRule="auto"/>
        <w:jc w:val="center"/>
        <w:rPr>
          <w:rFonts w:ascii="宋体" w:hAnsi="宋体" w:cs="Times New Roman"/>
          <w:b/>
          <w:color w:val="auto"/>
          <w:szCs w:val="21"/>
          <w:highlight w:val="none"/>
        </w:rPr>
        <w:sectPr>
          <w:headerReference r:id="rId15" w:type="default"/>
          <w:pgSz w:w="11905" w:h="16838"/>
          <w:pgMar w:top="1440" w:right="1803" w:bottom="1440" w:left="1803" w:header="850" w:footer="992" w:gutter="0"/>
          <w:pgNumType w:fmt="decimal"/>
          <w:cols w:space="720" w:num="1"/>
          <w:rtlGutter w:val="0"/>
          <w:docGrid w:type="lines" w:linePitch="317" w:charSpace="0"/>
        </w:sectPr>
      </w:pPr>
    </w:p>
    <w:p w14:paraId="7A7D71A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甲方：北京市人力资源和社会保障局（以下简称“甲方”）</w:t>
      </w:r>
    </w:p>
    <w:p w14:paraId="15B42B4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           </w:t>
      </w:r>
    </w:p>
    <w:p w14:paraId="490A9CE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办公地址：北京市通州区清风路33号院4号楼</w:t>
      </w:r>
    </w:p>
    <w:p w14:paraId="3958748F">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rFonts w:ascii="宋体" w:hAnsi="宋体" w:cs="宋体"/>
          <w:color w:val="auto"/>
          <w:kern w:val="0"/>
          <w:szCs w:val="21"/>
          <w:highlight w:val="none"/>
        </w:rPr>
      </w:pPr>
    </w:p>
    <w:p w14:paraId="029AC127">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（以下简称“乙方”）</w:t>
      </w:r>
    </w:p>
    <w:p w14:paraId="5C76D82B">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p w14:paraId="0ED6C040">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办公地址：</w:t>
      </w:r>
    </w:p>
    <w:p w14:paraId="180CF795">
      <w:pPr>
        <w:keepNext w:val="0"/>
        <w:keepLines w:val="0"/>
        <w:pageBreakBefore w:val="0"/>
        <w:widowControl w:val="0"/>
        <w:shd w:val="clear"/>
        <w:kinsoku/>
        <w:wordWrap/>
        <w:overflowPunct/>
        <w:topLinePunct w:val="0"/>
        <w:bidi w:val="0"/>
        <w:adjustRightInd w:val="0"/>
        <w:snapToGrid w:val="0"/>
        <w:spacing w:after="0" w:line="480" w:lineRule="exact"/>
        <w:rPr>
          <w:rFonts w:hAnsi="宋体" w:cs="宋体"/>
          <w:color w:val="auto"/>
          <w:sz w:val="21"/>
          <w:szCs w:val="21"/>
          <w:highlight w:val="none"/>
        </w:rPr>
      </w:pPr>
    </w:p>
    <w:p w14:paraId="2C9CB4F5">
      <w:pPr>
        <w:pStyle w:val="14"/>
        <w:keepNext w:val="0"/>
        <w:keepLines w:val="0"/>
        <w:pageBreakBefore w:val="0"/>
        <w:widowControl w:val="0"/>
        <w:shd w:val="clear"/>
        <w:kinsoku/>
        <w:wordWrap/>
        <w:overflowPunct/>
        <w:topLinePunct w:val="0"/>
        <w:bidi w:val="0"/>
        <w:adjustRightInd w:val="0"/>
        <w:snapToGrid w:val="0"/>
        <w:spacing w:line="480" w:lineRule="exact"/>
        <w:jc w:val="both"/>
        <w:rPr>
          <w:rFonts w:hAnsi="宋体" w:cs="宋体"/>
          <w:color w:val="auto"/>
          <w:sz w:val="21"/>
          <w:szCs w:val="21"/>
          <w:highlight w:val="none"/>
        </w:rPr>
      </w:pPr>
      <w:r>
        <w:rPr>
          <w:rFonts w:hint="eastAsia" w:hAnsi="宋体" w:cs="宋体"/>
          <w:color w:val="auto"/>
          <w:sz w:val="21"/>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积分落户管理信息系统适配能力提升项目（第</w:t>
      </w:r>
      <w:r>
        <w:rPr>
          <w:rFonts w:hint="eastAsia" w:hAnsi="宋体" w:cs="宋体"/>
          <w:color w:val="auto"/>
          <w:sz w:val="21"/>
          <w:szCs w:val="21"/>
          <w:highlight w:val="none"/>
          <w:u w:val="single"/>
          <w:lang w:val="en-US" w:eastAsia="zh-CN"/>
        </w:rPr>
        <w:t>1</w:t>
      </w:r>
      <w:r>
        <w:rPr>
          <w:rFonts w:hint="eastAsia" w:hAnsi="宋体" w:cs="宋体"/>
          <w:color w:val="auto"/>
          <w:sz w:val="21"/>
          <w:szCs w:val="21"/>
          <w:highlight w:val="none"/>
          <w:u w:val="single"/>
        </w:rPr>
        <w:t>包：</w:t>
      </w:r>
      <w:r>
        <w:rPr>
          <w:rFonts w:hint="eastAsia" w:hAnsi="宋体" w:cs="宋体"/>
          <w:color w:val="auto"/>
          <w:sz w:val="21"/>
          <w:szCs w:val="21"/>
          <w:highlight w:val="none"/>
          <w:u w:val="single"/>
          <w:lang w:eastAsia="zh-CN"/>
        </w:rPr>
        <w:t>系统建设</w:t>
      </w:r>
      <w:r>
        <w:rPr>
          <w:rFonts w:hint="eastAsia" w:hAnsi="宋体" w:cs="宋体"/>
          <w:color w:val="auto"/>
          <w:sz w:val="21"/>
          <w:szCs w:val="21"/>
          <w:highlight w:val="none"/>
          <w:u w:val="single"/>
        </w:rPr>
        <w:t>）</w:t>
      </w:r>
      <w:r>
        <w:rPr>
          <w:rFonts w:hint="eastAsia" w:hAnsi="宋体" w:cs="宋体"/>
          <w:color w:val="auto"/>
          <w:sz w:val="21"/>
          <w:szCs w:val="21"/>
          <w:highlight w:val="none"/>
        </w:rPr>
        <w:t>通过</w:t>
      </w:r>
      <w:r>
        <w:rPr>
          <w:rFonts w:hint="eastAsia" w:hAnsi="宋体" w:cs="宋体"/>
          <w:color w:val="auto"/>
          <w:sz w:val="21"/>
          <w:szCs w:val="21"/>
          <w:highlight w:val="none"/>
          <w:u w:val="single"/>
          <w:lang w:val="en-US" w:eastAsia="zh-CN"/>
        </w:rPr>
        <w:t>竞争性磋商</w:t>
      </w:r>
      <w:r>
        <w:rPr>
          <w:rFonts w:hint="eastAsia" w:hAnsi="宋体" w:cs="宋体"/>
          <w:color w:val="auto"/>
          <w:sz w:val="21"/>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hAnsi="宋体" w:cs="宋体"/>
          <w:color w:val="auto"/>
          <w:sz w:val="21"/>
          <w:szCs w:val="21"/>
          <w:highlight w:val="none"/>
        </w:rPr>
        <w:t>为本项目</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人，依据《中华人民共和国民法典》的规定，甲乙双方经充分协商达成一致，签订本合同。</w:t>
      </w:r>
    </w:p>
    <w:p w14:paraId="102B6FA9">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06" w:name="_Toc12319"/>
      <w:r>
        <w:rPr>
          <w:rFonts w:hint="eastAsia" w:ascii="宋体" w:hAnsi="宋体" w:eastAsia="宋体" w:cs="宋体"/>
          <w:b/>
          <w:color w:val="auto"/>
          <w:szCs w:val="21"/>
          <w:highlight w:val="none"/>
        </w:rPr>
        <w:t>一、定义</w:t>
      </w:r>
      <w:bookmarkEnd w:id="706"/>
    </w:p>
    <w:p w14:paraId="2705AD4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6D1A370C">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5FB8A8B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46366FF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服务或其任何部分的人员。</w:t>
      </w:r>
    </w:p>
    <w:p w14:paraId="612270A5">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“产品”：系指乙方在合同项下负责按照甲方要求开发并安装的所有软件</w:t>
      </w:r>
      <w:r>
        <w:rPr>
          <w:rFonts w:hint="eastAsia" w:ascii="宋体" w:hAnsi="宋体" w:cs="宋体"/>
          <w:color w:val="auto"/>
          <w:szCs w:val="21"/>
          <w:highlight w:val="none"/>
          <w:lang w:val="en-US" w:eastAsia="zh-CN"/>
        </w:rPr>
        <w:t>及相关资料</w:t>
      </w:r>
      <w:r>
        <w:rPr>
          <w:rFonts w:hint="eastAsia" w:ascii="宋体" w:hAnsi="宋体" w:cs="宋体"/>
          <w:color w:val="auto"/>
          <w:szCs w:val="21"/>
          <w:highlight w:val="none"/>
        </w:rPr>
        <w:t>。</w:t>
      </w:r>
    </w:p>
    <w:p w14:paraId="2118EE6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“服务”系指任何由乙方按</w:t>
      </w:r>
      <w:r>
        <w:rPr>
          <w:rFonts w:hint="eastAsia" w:ascii="宋体" w:hAnsi="宋体" w:cs="宋体"/>
          <w:color w:val="auto"/>
          <w:szCs w:val="21"/>
          <w:highlight w:val="none"/>
          <w:lang w:eastAsia="zh-CN"/>
        </w:rPr>
        <w:t>本合同及</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要求进行的软件开发、安装、定制、集成、试运行、测试、培训、维护、修理和其他为正常安装和运行信息系统提供的</w:t>
      </w:r>
      <w:r>
        <w:rPr>
          <w:rFonts w:hint="eastAsia" w:ascii="宋体" w:hAnsi="宋体" w:cs="宋体"/>
          <w:color w:val="auto"/>
          <w:szCs w:val="21"/>
          <w:highlight w:val="none"/>
          <w:lang w:val="en-US" w:eastAsia="zh-CN"/>
        </w:rPr>
        <w:t>工作成果</w:t>
      </w:r>
      <w:r>
        <w:rPr>
          <w:rFonts w:hint="eastAsia" w:ascii="宋体" w:hAnsi="宋体" w:cs="宋体"/>
          <w:color w:val="auto"/>
          <w:szCs w:val="21"/>
          <w:highlight w:val="none"/>
        </w:rPr>
        <w:t>，包括但不限于安装、调试、培训、数据转移、维护和技术支持</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14:paraId="10FF404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“甲方”系指北京市人力资源和社会保障局。</w:t>
      </w:r>
    </w:p>
    <w:p w14:paraId="133075DF">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B11DF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w:t>
      </w:r>
      <w:r>
        <w:rPr>
          <w:rFonts w:hint="eastAsia" w:ascii="宋体" w:hAnsi="宋体" w:cs="宋体"/>
          <w:color w:val="auto"/>
          <w:szCs w:val="21"/>
          <w:highlight w:val="none"/>
          <w:lang w:eastAsia="zh-CN"/>
        </w:rPr>
        <w:t>监理单位</w:t>
      </w:r>
      <w:r>
        <w:rPr>
          <w:rFonts w:hint="eastAsia" w:ascii="宋体" w:hAnsi="宋体" w:cs="宋体"/>
          <w:color w:val="auto"/>
          <w:szCs w:val="21"/>
          <w:highlight w:val="none"/>
        </w:rPr>
        <w:t>”系指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51E3292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w:t>
      </w:r>
      <w:r>
        <w:rPr>
          <w:rFonts w:hint="eastAsia" w:ascii="宋体" w:hAnsi="宋体" w:cs="宋体"/>
          <w:color w:val="auto"/>
          <w:szCs w:val="21"/>
          <w:highlight w:val="none"/>
          <w:lang w:eastAsia="zh-CN"/>
        </w:rPr>
        <w:t>测评单位</w:t>
      </w:r>
      <w:r>
        <w:rPr>
          <w:rFonts w:hint="eastAsia" w:ascii="宋体" w:hAnsi="宋体" w:cs="宋体"/>
          <w:color w:val="auto"/>
          <w:szCs w:val="21"/>
          <w:highlight w:val="none"/>
        </w:rPr>
        <w:t>”系指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EED377F">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“本项目”系指</w:t>
      </w:r>
      <w:r>
        <w:rPr>
          <w:rFonts w:hint="eastAsia" w:ascii="宋体" w:hAnsi="宋体" w:cs="宋体"/>
          <w:color w:val="auto"/>
          <w:szCs w:val="21"/>
          <w:highlight w:val="none"/>
          <w:u w:val="single"/>
        </w:rPr>
        <w:t>北京市人力资源和社会保障局积分落户管理信息系统适配能力提升项目（第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w:t>
      </w:r>
      <w:bookmarkStart w:id="707" w:name="_Toc16434"/>
    </w:p>
    <w:p w14:paraId="1AF3F64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”系指项目主体功能开发完成后，由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组织</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对</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阶段性成果进行的首次正式验收。</w:t>
      </w:r>
    </w:p>
    <w:p w14:paraId="1E234AFF">
      <w:pPr>
        <w:keepNext w:val="0"/>
        <w:keepLines w:val="0"/>
        <w:shd w:val="clear"/>
        <w:adjustRightInd w:val="0"/>
        <w:snapToGrid w:val="0"/>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en-US" w:eastAsia="zh-CN"/>
        </w:rPr>
        <w:t>“终验” 系指项目全部工作完成后，由甲方组织的对项目整体成果进行的全面验收。</w:t>
      </w:r>
    </w:p>
    <w:p w14:paraId="099F3C1E">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二、合同文件</w:t>
      </w:r>
      <w:bookmarkEnd w:id="707"/>
    </w:p>
    <w:p w14:paraId="74BA532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下列文件构成本合同的组成部分，应当认为是一个整体，彼此相互解释，相互补充。为便于解释，组成合同的多个文件的优先支配地位的次序如下：</w:t>
      </w:r>
    </w:p>
    <w:p w14:paraId="6CB9AD3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本合同书</w:t>
      </w:r>
    </w:p>
    <w:p w14:paraId="67526F5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合同特殊条款</w:t>
      </w:r>
    </w:p>
    <w:p w14:paraId="70E1D10D">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通知书（附件一）</w:t>
      </w:r>
    </w:p>
    <w:p w14:paraId="11135ED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 服务内容和方案（附件二）</w:t>
      </w:r>
    </w:p>
    <w:p w14:paraId="2F9012AE">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Chars="200"/>
        <w:jc w:val="both"/>
        <w:rPr>
          <w:rFonts w:hint="eastAsia" w:ascii="宋体" w:hAnsi="宋体" w:eastAsia="宋体" w:cs="宋体"/>
          <w:color w:val="auto"/>
          <w:szCs w:val="21"/>
          <w:highlight w:val="none"/>
          <w:lang w:val="en" w:eastAsia="zh-CN"/>
        </w:rPr>
      </w:pPr>
      <w:r>
        <w:rPr>
          <w:rFonts w:hint="eastAsia" w:ascii="宋体" w:hAnsi="宋体" w:cs="宋体"/>
          <w:color w:val="auto"/>
          <w:szCs w:val="21"/>
          <w:highlight w:val="none"/>
        </w:rPr>
        <w:t>5. 其他附件：</w:t>
      </w:r>
      <w:r>
        <w:rPr>
          <w:rFonts w:hint="eastAsia" w:ascii="宋体" w:hAnsi="宋体" w:cs="宋体"/>
          <w:color w:val="auto"/>
          <w:szCs w:val="21"/>
          <w:highlight w:val="none"/>
          <w:lang w:val="en"/>
        </w:rPr>
        <w:t>根据合同文本要求需要提供的技术文档、安全保密协议（附件三）</w:t>
      </w:r>
      <w:r>
        <w:rPr>
          <w:rFonts w:hint="eastAsia" w:ascii="宋体" w:hAnsi="宋体" w:cs="宋体"/>
          <w:color w:val="auto"/>
          <w:szCs w:val="21"/>
          <w:highlight w:val="none"/>
          <w:lang w:val="en" w:eastAsia="zh-CN"/>
        </w:rPr>
        <w:t>、</w:t>
      </w:r>
      <w:r>
        <w:rPr>
          <w:rFonts w:hint="eastAsia" w:ascii="宋体" w:hAnsi="宋体" w:cs="宋体"/>
          <w:color w:val="auto"/>
          <w:szCs w:val="21"/>
          <w:highlight w:val="none"/>
          <w:lang w:eastAsia="zh-CN"/>
        </w:rPr>
        <w:t>授权委托书（附件四）</w:t>
      </w:r>
      <w:r>
        <w:rPr>
          <w:rFonts w:hint="eastAsia" w:ascii="宋体" w:hAnsi="宋体" w:cs="宋体"/>
          <w:color w:val="auto"/>
          <w:szCs w:val="21"/>
          <w:highlight w:val="none"/>
          <w:lang w:val="en"/>
        </w:rPr>
        <w:t>等</w:t>
      </w:r>
      <w:r>
        <w:rPr>
          <w:rFonts w:hint="eastAsia" w:ascii="宋体" w:hAnsi="宋体" w:cs="宋体"/>
          <w:color w:val="auto"/>
          <w:szCs w:val="21"/>
          <w:highlight w:val="none"/>
          <w:lang w:val="en" w:eastAsia="zh-CN"/>
        </w:rPr>
        <w:t>。</w:t>
      </w:r>
    </w:p>
    <w:p w14:paraId="58CC6029">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08" w:name="_Toc4003"/>
      <w:r>
        <w:rPr>
          <w:rFonts w:hint="eastAsia" w:ascii="宋体" w:hAnsi="宋体" w:eastAsia="宋体" w:cs="宋体"/>
          <w:b/>
          <w:color w:val="auto"/>
          <w:szCs w:val="21"/>
          <w:highlight w:val="none"/>
        </w:rPr>
        <w:t>三、服务内容</w:t>
      </w:r>
      <w:bookmarkEnd w:id="708"/>
    </w:p>
    <w:p w14:paraId="2346856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lang w:eastAsia="zh-CN"/>
        </w:rPr>
        <w:t>负责</w:t>
      </w:r>
      <w:r>
        <w:rPr>
          <w:rFonts w:hint="eastAsia" w:ascii="宋体" w:hAnsi="宋体" w:cs="宋体"/>
          <w:color w:val="auto"/>
          <w:szCs w:val="21"/>
          <w:highlight w:val="none"/>
          <w:u w:val="single"/>
        </w:rPr>
        <w:t>北京市人力资源和社会保障局积分落户管理信息系统适配能力提升项目（第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实施</w:t>
      </w:r>
      <w:r>
        <w:rPr>
          <w:rFonts w:hint="eastAsia" w:ascii="宋体" w:hAnsi="宋体" w:cs="宋体"/>
          <w:color w:val="auto"/>
          <w:szCs w:val="21"/>
          <w:highlight w:val="none"/>
        </w:rPr>
        <w:t>，</w:t>
      </w:r>
      <w:bookmarkStart w:id="709" w:name="_Toc28608"/>
      <w:bookmarkStart w:id="710" w:name="_Toc99437651"/>
      <w:r>
        <w:rPr>
          <w:rFonts w:hint="eastAsia" w:ascii="宋体" w:hAnsi="宋体" w:cs="宋体"/>
          <w:color w:val="auto"/>
          <w:szCs w:val="21"/>
          <w:highlight w:val="none"/>
        </w:rPr>
        <w:t>乙方的服务内容和方案详见附件二</w:t>
      </w:r>
      <w:bookmarkEnd w:id="709"/>
      <w:r>
        <w:rPr>
          <w:rFonts w:hint="eastAsia" w:ascii="宋体" w:hAnsi="宋体" w:cs="宋体"/>
          <w:color w:val="auto"/>
          <w:szCs w:val="21"/>
          <w:highlight w:val="none"/>
        </w:rPr>
        <w:t>。</w:t>
      </w:r>
    </w:p>
    <w:bookmarkEnd w:id="710"/>
    <w:p w14:paraId="4F8D8B9B">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1" w:name="_Toc262"/>
      <w:r>
        <w:rPr>
          <w:rFonts w:hint="eastAsia" w:ascii="宋体" w:hAnsi="宋体" w:eastAsia="宋体" w:cs="宋体"/>
          <w:b/>
          <w:color w:val="auto"/>
          <w:szCs w:val="21"/>
          <w:highlight w:val="none"/>
        </w:rPr>
        <w:t>四、服务</w:t>
      </w:r>
      <w:r>
        <w:rPr>
          <w:rFonts w:hint="eastAsia" w:ascii="宋体" w:hAnsi="宋体" w:eastAsia="宋体" w:cs="宋体"/>
          <w:b/>
          <w:color w:val="auto"/>
          <w:szCs w:val="21"/>
          <w:highlight w:val="none"/>
          <w:lang w:val="en-US" w:eastAsia="zh-CN"/>
        </w:rPr>
        <w:t>期限</w:t>
      </w:r>
      <w:r>
        <w:rPr>
          <w:rFonts w:hint="eastAsia" w:ascii="宋体" w:hAnsi="宋体" w:eastAsia="宋体" w:cs="宋体"/>
          <w:b/>
          <w:color w:val="auto"/>
          <w:szCs w:val="21"/>
          <w:highlight w:val="none"/>
        </w:rPr>
        <w:t>和地点</w:t>
      </w:r>
      <w:bookmarkEnd w:id="711"/>
    </w:p>
    <w:p w14:paraId="0142723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期限</w:t>
      </w:r>
      <w:r>
        <w:rPr>
          <w:rFonts w:hint="eastAsia" w:ascii="宋体" w:hAnsi="宋体" w:cs="宋体"/>
          <w:color w:val="auto"/>
          <w:szCs w:val="21"/>
          <w:highlight w:val="none"/>
        </w:rPr>
        <w:t>：本项目应在</w:t>
      </w:r>
      <w:r>
        <w:rPr>
          <w:rFonts w:hint="eastAsia" w:ascii="宋体" w:hAnsi="宋体" w:cs="宋体"/>
          <w:color w:val="auto"/>
          <w:szCs w:val="21"/>
          <w:highlight w:val="none"/>
          <w:lang w:val="en-US" w:eastAsia="zh-CN"/>
        </w:rPr>
        <w:t>合同签订后</w:t>
      </w:r>
      <w:r>
        <w:rPr>
          <w:rFonts w:hint="eastAsia" w:ascii="宋体" w:hAnsi="宋体" w:cs="宋体"/>
          <w:color w:val="auto"/>
          <w:szCs w:val="21"/>
          <w:highlight w:val="none"/>
        </w:rPr>
        <w:t>6个月内完成项目所有</w:t>
      </w:r>
      <w:r>
        <w:rPr>
          <w:rFonts w:hint="eastAsia" w:ascii="宋体" w:hAnsi="宋体" w:cs="宋体"/>
          <w:color w:val="auto"/>
          <w:szCs w:val="21"/>
          <w:highlight w:val="none"/>
          <w:lang w:eastAsia="zh-CN"/>
        </w:rPr>
        <w:t>建设任务</w:t>
      </w:r>
      <w:r>
        <w:rPr>
          <w:rFonts w:hint="eastAsia" w:ascii="宋体" w:hAnsi="宋体" w:cs="宋体"/>
          <w:color w:val="auto"/>
          <w:szCs w:val="21"/>
          <w:highlight w:val="none"/>
        </w:rPr>
        <w:t>，并组织</w:t>
      </w:r>
      <w:r>
        <w:rPr>
          <w:rFonts w:hint="eastAsia" w:ascii="宋体" w:hAnsi="宋体" w:cs="宋体"/>
          <w:color w:val="auto"/>
          <w:szCs w:val="21"/>
          <w:highlight w:val="none"/>
          <w:lang w:eastAsia="zh-CN"/>
        </w:rPr>
        <w:t>开展</w:t>
      </w:r>
      <w:r>
        <w:rPr>
          <w:rFonts w:hint="eastAsia" w:ascii="宋体" w:hAnsi="宋体" w:cs="宋体"/>
          <w:color w:val="auto"/>
          <w:szCs w:val="21"/>
          <w:highlight w:val="none"/>
        </w:rPr>
        <w:t>初验，初验合格系统</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rPr>
        <w:t>稳定</w:t>
      </w:r>
      <w:r>
        <w:rPr>
          <w:rFonts w:hint="eastAsia" w:ascii="宋体" w:hAnsi="宋体" w:cs="宋体"/>
          <w:color w:val="auto"/>
          <w:szCs w:val="21"/>
          <w:highlight w:val="none"/>
          <w:lang w:eastAsia="zh-CN"/>
        </w:rPr>
        <w:t>试</w:t>
      </w:r>
      <w:r>
        <w:rPr>
          <w:rFonts w:hint="eastAsia" w:ascii="宋体" w:hAnsi="宋体" w:cs="宋体"/>
          <w:color w:val="auto"/>
          <w:szCs w:val="21"/>
          <w:highlight w:val="none"/>
        </w:rPr>
        <w:t>运行3个月后，组织进行终验。</w:t>
      </w:r>
    </w:p>
    <w:p w14:paraId="01677D8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服务地点：甲方指定的服务地点。</w:t>
      </w:r>
    </w:p>
    <w:p w14:paraId="22E2CBF8">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2" w:name="_Toc26020"/>
      <w:r>
        <w:rPr>
          <w:rFonts w:hint="eastAsia" w:ascii="宋体" w:hAnsi="宋体" w:eastAsia="宋体" w:cs="宋体"/>
          <w:b/>
          <w:color w:val="auto"/>
          <w:szCs w:val="21"/>
          <w:highlight w:val="none"/>
        </w:rPr>
        <w:t>五、付款条件和方式</w:t>
      </w:r>
      <w:bookmarkEnd w:id="712"/>
    </w:p>
    <w:p w14:paraId="592DEF9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本项目合同款总额为人民币¥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p>
    <w:p w14:paraId="7B9A051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付款方式</w:t>
      </w:r>
    </w:p>
    <w:p w14:paraId="1690319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23461F99">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w:t>
      </w:r>
      <w:r>
        <w:rPr>
          <w:rFonts w:hint="eastAsia" w:ascii="宋体" w:hAnsi="宋体" w:cs="宋体"/>
          <w:color w:val="auto"/>
          <w:szCs w:val="21"/>
          <w:highlight w:val="none"/>
          <w:lang w:val="en-US" w:eastAsia="zh-CN"/>
        </w:rPr>
        <w:t>10个工作</w:t>
      </w:r>
      <w:r>
        <w:rPr>
          <w:rFonts w:hint="eastAsia" w:ascii="宋体" w:hAnsi="宋体" w:cs="宋体"/>
          <w:color w:val="auto"/>
          <w:szCs w:val="21"/>
          <w:highlight w:val="none"/>
        </w:rPr>
        <w:t>日内</w:t>
      </w:r>
      <w:r>
        <w:rPr>
          <w:rFonts w:hint="eastAsia" w:ascii="宋体" w:hAnsi="宋体" w:cs="宋体"/>
          <w:color w:val="auto"/>
          <w:szCs w:val="21"/>
          <w:highlight w:val="none"/>
          <w:lang w:eastAsia="zh-CN"/>
        </w:rPr>
        <w:t>向</w:t>
      </w:r>
      <w:r>
        <w:rPr>
          <w:rFonts w:hint="eastAsia" w:ascii="宋体" w:hAnsi="宋体" w:cs="宋体"/>
          <w:color w:val="auto"/>
          <w:szCs w:val="21"/>
          <w:highlight w:val="none"/>
        </w:rPr>
        <w:t>乙方支付合同款总额，即人民币¥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该价格包含乙方因履行本合同的全部服务内容可能产生的一切费用，包括但不限于税费、交通费、劳务费等。</w:t>
      </w:r>
    </w:p>
    <w:p w14:paraId="30137CCC">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097276A4">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0288D322">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7ECA92F5">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5A047B53">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5B737C3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3" w:name="_Toc4744"/>
      <w:r>
        <w:rPr>
          <w:rFonts w:hint="eastAsia" w:ascii="宋体" w:hAnsi="宋体" w:eastAsia="宋体" w:cs="宋体"/>
          <w:b/>
          <w:color w:val="auto"/>
          <w:szCs w:val="21"/>
          <w:highlight w:val="none"/>
        </w:rPr>
        <w:t>六、履约保函</w:t>
      </w:r>
      <w:bookmarkEnd w:id="713"/>
    </w:p>
    <w:p w14:paraId="21238FAD">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hint="eastAsia" w:ascii="宋体" w:hAnsi="宋体" w:cs="宋体"/>
          <w:color w:val="auto"/>
          <w:szCs w:val="21"/>
          <w:highlight w:val="none"/>
          <w:u w:val="single"/>
          <w:lang w:val="en-US" w:eastAsia="zh-CN"/>
        </w:rPr>
        <w:t>XXXX</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lang w:val="en" w:eastAsia="zh-CN"/>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rPr>
        <w:t>日</w:t>
      </w:r>
      <w:r>
        <w:rPr>
          <w:rFonts w:hint="eastAsia" w:ascii="宋体" w:hAnsi="宋体" w:cs="宋体"/>
          <w:color w:val="auto"/>
          <w:szCs w:val="21"/>
          <w:highlight w:val="none"/>
        </w:rPr>
        <w:t>（合同到期后60日）。</w:t>
      </w:r>
    </w:p>
    <w:p w14:paraId="50A814D6">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4" w:name="_Toc20014"/>
      <w:r>
        <w:rPr>
          <w:rFonts w:hint="eastAsia" w:ascii="宋体" w:hAnsi="宋体" w:eastAsia="宋体" w:cs="宋体"/>
          <w:b/>
          <w:color w:val="auto"/>
          <w:szCs w:val="21"/>
          <w:highlight w:val="none"/>
        </w:rPr>
        <w:t>七、权利和义务</w:t>
      </w:r>
      <w:bookmarkEnd w:id="714"/>
    </w:p>
    <w:p w14:paraId="07F85E9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甲方的权利和义务</w:t>
      </w:r>
    </w:p>
    <w:p w14:paraId="33C900A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（1）甲方有权得到符合合同要求的</w:t>
      </w:r>
      <w:r>
        <w:rPr>
          <w:rFonts w:hint="eastAsia" w:ascii="宋体" w:hAnsi="宋体" w:cs="宋体"/>
          <w:color w:val="auto"/>
          <w:szCs w:val="21"/>
          <w:highlight w:val="none"/>
          <w:lang w:eastAsia="zh-CN"/>
        </w:rPr>
        <w:t>产品、</w:t>
      </w:r>
      <w:r>
        <w:rPr>
          <w:rFonts w:hint="eastAsia" w:ascii="宋体" w:hAnsi="宋体" w:cs="宋体"/>
          <w:color w:val="auto"/>
          <w:szCs w:val="21"/>
          <w:highlight w:val="none"/>
        </w:rPr>
        <w:t>服务。</w:t>
      </w:r>
    </w:p>
    <w:p w14:paraId="0FCB3C6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（2）甲方有权到乙方的</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现场进行监督、检查，当甲方认为乙方委派的团队人员不具备相应资质、能力、经验，或其行为（如职业操守、工作态度、沟通协作等）无法满足项目要求时，有权向乙方提出撤换要求。甲方提出撤换要求后，乙方应在7日内完成更换</w:t>
      </w:r>
      <w:r>
        <w:rPr>
          <w:rFonts w:hint="eastAsia" w:ascii="宋体" w:hAnsi="宋体" w:cs="宋体"/>
          <w:color w:val="auto"/>
          <w:szCs w:val="21"/>
          <w:highlight w:val="none"/>
          <w:lang w:val="en-US" w:eastAsia="zh-CN"/>
        </w:rPr>
        <w:t>并向甲方提供新人员资质证明</w:t>
      </w:r>
      <w:r>
        <w:rPr>
          <w:rFonts w:hint="eastAsia" w:ascii="宋体" w:hAnsi="宋体" w:cs="宋体"/>
          <w:color w:val="auto"/>
          <w:szCs w:val="21"/>
          <w:highlight w:val="none"/>
        </w:rPr>
        <w:t>。</w:t>
      </w:r>
    </w:p>
    <w:p w14:paraId="26C4E76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）甲方有权要求乙方提供与服务内容有关的相关信息。</w:t>
      </w:r>
    </w:p>
    <w:p w14:paraId="5783E67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）甲方有权随时当面问询</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相关问题，乙方</w:t>
      </w:r>
      <w:r>
        <w:rPr>
          <w:rFonts w:hint="eastAsia" w:ascii="宋体" w:hAnsi="宋体" w:cs="宋体"/>
          <w:color w:val="auto"/>
          <w:szCs w:val="21"/>
          <w:highlight w:val="none"/>
          <w:lang w:eastAsia="zh-CN"/>
        </w:rPr>
        <w:t>需予以</w:t>
      </w:r>
      <w:r>
        <w:rPr>
          <w:rFonts w:hint="eastAsia" w:ascii="宋体" w:hAnsi="宋体" w:cs="宋体"/>
          <w:color w:val="auto"/>
          <w:szCs w:val="21"/>
          <w:highlight w:val="none"/>
        </w:rPr>
        <w:t>配合，保障甲方工作的顺利进行。</w:t>
      </w:r>
    </w:p>
    <w:p w14:paraId="6F2CF10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）甲方有权对乙方提出</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方案进行审核，但甲方对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方案的认可，仅代表对上述方案中开发软件的适用性、需求性、可用性的审核，甲方并不对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方案中的技术问题进行审核。如方案中出现任何与乙方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相关的技术问题或技术调整，仍由乙方承担责任。乙方须在甲方限定的期限内完成。</w:t>
      </w:r>
    </w:p>
    <w:p w14:paraId="27965DA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）甲方配合乙方对系统进行测试和试运行，并反馈修改意见给乙方，乙方应在指定的期限内根据甲方要求进行整改和调整。</w:t>
      </w:r>
    </w:p>
    <w:p w14:paraId="51C560D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）甲方有权对乙方履行本合同的全过程进行监督，并就不符合要求的</w:t>
      </w:r>
      <w:r>
        <w:rPr>
          <w:rFonts w:hint="eastAsia" w:ascii="宋体" w:hAnsi="宋体" w:cs="宋体"/>
          <w:color w:val="auto"/>
          <w:szCs w:val="21"/>
          <w:highlight w:val="none"/>
          <w:lang w:val="en-US" w:eastAsia="zh-CN"/>
        </w:rPr>
        <w:t>行为</w:t>
      </w:r>
      <w:r>
        <w:rPr>
          <w:rFonts w:hint="eastAsia" w:ascii="宋体" w:hAnsi="宋体" w:cs="宋体"/>
          <w:color w:val="auto"/>
          <w:szCs w:val="21"/>
          <w:highlight w:val="none"/>
        </w:rPr>
        <w:t>向乙方提出意见，乙方应在指定时间内整改。</w:t>
      </w:r>
    </w:p>
    <w:p w14:paraId="126ECA9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甲方有权聘请第三方作为本项目的监理单位，甲方聘请的监理单位有权利根据国家相关标准、规范和规定，对本项目的全过程进行监理。乙方应无条件接受和配合监理单位根据国家相关标准、规范、规定和监理合同进行的监理活动，按照监理单位的要求提供相应的资料与文档，接受监理监督，配合监理单位履行监理责任，按时保质地完成工作。</w:t>
      </w:r>
    </w:p>
    <w:p w14:paraId="56E1B11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color w:val="auto"/>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）甲方有权在网络和数据安全方面对乙方进行监督管理及考核，包括但不限于数据的使用、存储、处理等。</w:t>
      </w:r>
    </w:p>
    <w:p w14:paraId="6260D7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）甲方应按合同约定向乙方支付合同款。</w:t>
      </w:r>
    </w:p>
    <w:p w14:paraId="3FC4686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）甲方应保守乙方的技术秘密和商业秘密。</w:t>
      </w:r>
    </w:p>
    <w:p w14:paraId="47A6B8F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乙方的权利和义务</w:t>
      </w:r>
    </w:p>
    <w:p w14:paraId="093BC58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（1）乙方有权按照合同的约定向甲方收取合同款。</w:t>
      </w:r>
    </w:p>
    <w:p w14:paraId="227AF06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）乙方应按照本合同</w:t>
      </w:r>
      <w:r>
        <w:rPr>
          <w:rFonts w:hint="eastAsia" w:ascii="宋体" w:hAnsi="宋体" w:cs="宋体"/>
          <w:color w:val="auto"/>
          <w:szCs w:val="21"/>
          <w:highlight w:val="none"/>
          <w:lang w:val="en-US" w:eastAsia="zh-CN"/>
        </w:rPr>
        <w:t>及甲方</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按时、保质</w:t>
      </w:r>
      <w:r>
        <w:rPr>
          <w:rFonts w:hint="eastAsia" w:ascii="宋体" w:hAnsi="宋体" w:cs="宋体"/>
          <w:color w:val="auto"/>
          <w:szCs w:val="21"/>
          <w:highlight w:val="none"/>
        </w:rPr>
        <w:t>完成</w:t>
      </w:r>
      <w:r>
        <w:rPr>
          <w:rFonts w:hint="eastAsia" w:ascii="宋体" w:hAnsi="宋体" w:cs="宋体"/>
          <w:color w:val="auto"/>
          <w:szCs w:val="21"/>
          <w:highlight w:val="none"/>
          <w:lang w:eastAsia="zh-CN"/>
        </w:rPr>
        <w:t>项目全部</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，保证系统</w:t>
      </w:r>
      <w:r>
        <w:rPr>
          <w:rFonts w:hint="eastAsia" w:ascii="宋体" w:hAnsi="宋体" w:cs="宋体"/>
          <w:color w:val="auto"/>
          <w:szCs w:val="21"/>
          <w:highlight w:val="none"/>
          <w:lang w:eastAsia="zh-CN"/>
        </w:rPr>
        <w:t>安全、平稳</w:t>
      </w:r>
      <w:r>
        <w:rPr>
          <w:rFonts w:hint="eastAsia" w:ascii="宋体" w:hAnsi="宋体" w:cs="宋体"/>
          <w:color w:val="auto"/>
          <w:szCs w:val="21"/>
          <w:highlight w:val="none"/>
        </w:rPr>
        <w:t>运行。</w:t>
      </w:r>
    </w:p>
    <w:p w14:paraId="64A10BB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default" w:ascii="宋体" w:hAnsi="宋体" w:cs="宋体"/>
          <w:color w:val="auto"/>
          <w:szCs w:val="21"/>
          <w:highlight w:val="none"/>
          <w:lang w:val="en-US"/>
        </w:rPr>
      </w:pPr>
      <w:r>
        <w:rPr>
          <w:rFonts w:hint="default" w:ascii="宋体" w:hAnsi="宋体" w:cs="宋体"/>
          <w:color w:val="auto"/>
          <w:szCs w:val="21"/>
          <w:highlight w:val="none"/>
          <w:lang w:val="en-US"/>
        </w:rPr>
        <w:t>（</w:t>
      </w: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rPr>
        <w:t>）乙方应向甲方提供</w:t>
      </w:r>
      <w:r>
        <w:rPr>
          <w:rFonts w:hint="eastAsia" w:ascii="宋体" w:hAnsi="宋体" w:cs="宋体"/>
          <w:color w:val="auto"/>
          <w:szCs w:val="21"/>
          <w:highlight w:val="none"/>
          <w:lang w:val="en-US" w:eastAsia="zh-CN"/>
        </w:rPr>
        <w:t>设计</w:t>
      </w:r>
      <w:r>
        <w:rPr>
          <w:rFonts w:hint="default" w:ascii="宋体" w:hAnsi="宋体" w:cs="宋体"/>
          <w:color w:val="auto"/>
          <w:szCs w:val="21"/>
          <w:highlight w:val="none"/>
          <w:lang w:val="en-US"/>
        </w:rPr>
        <w:t>方案，并根据甲方的要求对方案进行深化，以达到甲方总体技术要求。</w:t>
      </w:r>
    </w:p>
    <w:p w14:paraId="1250EE0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default" w:ascii="宋体" w:hAnsi="宋体" w:cs="宋体"/>
          <w:color w:val="auto"/>
          <w:szCs w:val="21"/>
          <w:highlight w:val="none"/>
          <w:lang w:val="en-US"/>
        </w:rPr>
        <w:t>（4）乙方应成立专门的</w:t>
      </w:r>
      <w:r>
        <w:rPr>
          <w:rFonts w:hint="eastAsia" w:ascii="宋体" w:hAnsi="宋体" w:cs="宋体"/>
          <w:color w:val="auto"/>
          <w:szCs w:val="21"/>
          <w:highlight w:val="none"/>
          <w:lang w:val="en-US" w:eastAsia="zh-CN"/>
        </w:rPr>
        <w:t>项目</w:t>
      </w:r>
      <w:r>
        <w:rPr>
          <w:rFonts w:hint="default" w:ascii="宋体" w:hAnsi="宋体" w:cs="宋体"/>
          <w:color w:val="auto"/>
          <w:szCs w:val="21"/>
          <w:highlight w:val="none"/>
          <w:lang w:val="en-US"/>
        </w:rPr>
        <w:t>团队，</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人员数量及资质不得低于应答采购需求时提供的人员数量及资质（</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人员名单报甲方备存），</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人员在项目</w:t>
      </w:r>
      <w:r>
        <w:rPr>
          <w:rFonts w:hint="eastAsia" w:ascii="宋体" w:hAnsi="宋体" w:cs="宋体"/>
          <w:color w:val="auto"/>
          <w:szCs w:val="21"/>
          <w:highlight w:val="none"/>
          <w:lang w:val="en-US" w:eastAsia="zh-CN"/>
        </w:rPr>
        <w:t>实施</w:t>
      </w:r>
      <w:r>
        <w:rPr>
          <w:rFonts w:hint="default" w:ascii="宋体" w:hAnsi="宋体" w:cs="宋体"/>
          <w:color w:val="auto"/>
          <w:szCs w:val="21"/>
          <w:highlight w:val="none"/>
          <w:lang w:val="en-US"/>
        </w:rPr>
        <w:t>及试运行期间应稳定不变，如需进行人员变更，应在征得甲方同意后进行变更。</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人员必须签署保密协议，必须明了其工作内容和要求。</w:t>
      </w:r>
    </w:p>
    <w:p w14:paraId="0620758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Hans"/>
        </w:rPr>
        <w:t>乙方应对</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人员进行安全法制教育及培训，确保</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人员遵守法律法规及甲方工作制度。因乙方</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人员原因给</w:t>
      </w:r>
      <w:r>
        <w:rPr>
          <w:rFonts w:hint="eastAsia" w:ascii="宋体" w:hAnsi="宋体" w:cs="宋体"/>
          <w:color w:val="auto"/>
          <w:szCs w:val="21"/>
          <w:highlight w:val="none"/>
        </w:rPr>
        <w:t>甲方</w:t>
      </w:r>
      <w:r>
        <w:rPr>
          <w:rFonts w:hint="eastAsia" w:ascii="宋体" w:hAnsi="宋体" w:cs="宋体"/>
          <w:color w:val="auto"/>
          <w:szCs w:val="21"/>
          <w:highlight w:val="none"/>
          <w:lang w:eastAsia="zh-Hans"/>
        </w:rPr>
        <w:t>或者其他第三方造成的损害，由乙方承担法律责任，与甲方无关</w:t>
      </w:r>
      <w:r>
        <w:rPr>
          <w:rFonts w:hint="eastAsia" w:ascii="宋体" w:hAnsi="宋体" w:cs="宋体"/>
          <w:color w:val="auto"/>
          <w:szCs w:val="21"/>
          <w:highlight w:val="none"/>
        </w:rPr>
        <w:t>。</w:t>
      </w:r>
    </w:p>
    <w:p w14:paraId="5AFAE03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乙方在履行本合同项下约定义务过程中，因非甲方原因导致的乙方及乙方团队人员财物、人身遭致损害及意外等情形，均由乙方承担全部责任。</w:t>
      </w:r>
    </w:p>
    <w:p w14:paraId="4A0BA10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）如乙方所交付和许可甲方使用的软件需经国家有关部门登记、备案、审批或许可的，乙方应保证所提供的软件已完成了上述手续。</w:t>
      </w:r>
    </w:p>
    <w:p w14:paraId="1969E83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）乙方在项目实施过程中，要明确项目阶段里程碑，分阶段按照甲方和监理</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要求的时间和形式提供项目管理类、技术类文档以及项目交付物文档、手册等</w:t>
      </w:r>
      <w:r>
        <w:rPr>
          <w:rFonts w:hint="eastAsia" w:ascii="宋体" w:hAnsi="宋体" w:cs="宋体"/>
          <w:color w:val="auto"/>
          <w:szCs w:val="21"/>
          <w:highlight w:val="none"/>
          <w:lang w:eastAsia="zh-CN"/>
        </w:rPr>
        <w:t>工作成果</w:t>
      </w:r>
      <w:r>
        <w:rPr>
          <w:rFonts w:hint="eastAsia" w:ascii="宋体" w:hAnsi="宋体" w:cs="宋体"/>
          <w:color w:val="auto"/>
          <w:szCs w:val="21"/>
          <w:highlight w:val="none"/>
        </w:rPr>
        <w:t>。乙方的</w:t>
      </w:r>
      <w:r>
        <w:rPr>
          <w:rFonts w:hint="eastAsia" w:ascii="宋体" w:hAnsi="宋体" w:cs="宋体"/>
          <w:color w:val="auto"/>
          <w:szCs w:val="21"/>
          <w:highlight w:val="none"/>
          <w:lang w:eastAsia="zh-CN"/>
        </w:rPr>
        <w:t>产品、工作</w:t>
      </w:r>
      <w:r>
        <w:rPr>
          <w:rFonts w:hint="eastAsia" w:ascii="宋体" w:hAnsi="宋体" w:cs="宋体"/>
          <w:color w:val="auto"/>
          <w:szCs w:val="21"/>
          <w:highlight w:val="none"/>
        </w:rPr>
        <w:t>成果应以计算机光盘和纸介质形式交付甲方。</w:t>
      </w:r>
    </w:p>
    <w:p w14:paraId="6EDF1E7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）乙方应免费提供</w:t>
      </w:r>
      <w:r>
        <w:rPr>
          <w:rFonts w:hint="eastAsia" w:ascii="宋体" w:hAnsi="宋体" w:cs="宋体"/>
          <w:color w:val="auto"/>
          <w:szCs w:val="21"/>
          <w:highlight w:val="none"/>
        </w:rPr>
        <w:t>自本项目通过终验之日起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年的质量保障及运行维护服务。</w:t>
      </w:r>
      <w:r>
        <w:rPr>
          <w:rFonts w:hint="eastAsia" w:ascii="宋体" w:hAnsi="宋体" w:cs="宋体"/>
          <w:color w:val="auto"/>
          <w:szCs w:val="21"/>
          <w:highlight w:val="none"/>
          <w:lang w:val="en-US" w:eastAsia="zh-CN"/>
        </w:rPr>
        <w:t>质量保障期内，乙方需提供7×24小时技术支持，发生故障后，乙方须作出实质性响应并开始故障排查与处理。</w:t>
      </w:r>
    </w:p>
    <w:p w14:paraId="237D020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）乙方须对该项目甲方、监理单位、测评单位的管理协调工作给予无条件的配合，并根据相关方的要求进行针对性的整改。若因自身原因影响整体项目进度，乙方须承担全部责任。</w:t>
      </w:r>
    </w:p>
    <w:p w14:paraId="4E739FD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）乙方应配合甲方完成信息安全主管部门对信息安全进行监督检查。</w:t>
      </w:r>
    </w:p>
    <w:p w14:paraId="222F23D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）乙方应保守甲方的相关工作秘密，严禁外传甲方政务信息、相关内部事务信息等敏感信息。</w:t>
      </w:r>
    </w:p>
    <w:p w14:paraId="43B8B06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color w:val="auto"/>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）乙方在</w:t>
      </w:r>
      <w:r>
        <w:rPr>
          <w:rFonts w:hint="eastAsia" w:ascii="宋体" w:hAnsi="宋体" w:cs="宋体"/>
          <w:color w:val="auto"/>
          <w:szCs w:val="21"/>
          <w:highlight w:val="none"/>
          <w:lang w:eastAsia="zh-CN"/>
        </w:rPr>
        <w:t>项目</w:t>
      </w:r>
      <w:r>
        <w:rPr>
          <w:rFonts w:hint="eastAsia" w:ascii="宋体" w:hAnsi="宋体" w:cs="宋体"/>
          <w:color w:val="auto"/>
          <w:szCs w:val="21"/>
          <w:highlight w:val="none"/>
          <w:lang w:val="en-US" w:eastAsia="zh-CN"/>
        </w:rPr>
        <w:t>实施</w:t>
      </w:r>
      <w:r>
        <w:rPr>
          <w:rFonts w:hint="eastAsia" w:ascii="宋体" w:hAnsi="宋体" w:cs="宋体"/>
          <w:color w:val="auto"/>
          <w:szCs w:val="21"/>
          <w:highlight w:val="none"/>
        </w:rPr>
        <w:t>过程中，未经甲方同意，不得访问、修改、披露、利用、转让、销毁数据。</w:t>
      </w:r>
    </w:p>
    <w:p w14:paraId="624E5FB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）本项目规定的工作内容不得转让、转包</w:t>
      </w:r>
      <w:r>
        <w:rPr>
          <w:rFonts w:hint="eastAsia" w:ascii="宋体" w:hAnsi="宋体" w:cs="宋体"/>
          <w:color w:val="auto"/>
          <w:szCs w:val="21"/>
          <w:highlight w:val="none"/>
          <w:lang w:eastAsia="zh-CN"/>
        </w:rPr>
        <w:t>、</w:t>
      </w:r>
      <w:r>
        <w:rPr>
          <w:rFonts w:hint="eastAsia" w:ascii="宋体" w:hAnsi="宋体" w:cs="宋体"/>
          <w:color w:val="auto"/>
          <w:szCs w:val="21"/>
          <w:highlight w:val="none"/>
        </w:rPr>
        <w:t>分包。</w:t>
      </w:r>
    </w:p>
    <w:p w14:paraId="0F363C8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）乙方应建立政府购买服务项目台账，依照有关规定或合同约定记录保存并向甲方提供项目实施相关重要资料信息。</w:t>
      </w:r>
    </w:p>
    <w:p w14:paraId="246672E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）乙方应严格遵守相关财务规定规范管理和使用政府购买服务项目资金。</w:t>
      </w:r>
    </w:p>
    <w:p w14:paraId="27D4902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）乙方应配合相关部门对资金使用情况进行监督检查与绩效评价。</w:t>
      </w:r>
    </w:p>
    <w:p w14:paraId="0DABCDA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）乙方应完全遵守《中华人民共和国妇女权益保障法》中关于“劳动和社会保障权益”的有关要求。</w:t>
      </w:r>
    </w:p>
    <w:p w14:paraId="747712B1">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5" w:name="_Toc29100"/>
      <w:r>
        <w:rPr>
          <w:rFonts w:hint="eastAsia" w:ascii="宋体" w:hAnsi="宋体" w:eastAsia="宋体" w:cs="宋体"/>
          <w:b/>
          <w:color w:val="auto"/>
          <w:szCs w:val="21"/>
          <w:highlight w:val="none"/>
        </w:rPr>
        <w:t>八、违约责任</w:t>
      </w:r>
      <w:bookmarkEnd w:id="715"/>
    </w:p>
    <w:p w14:paraId="6A21FAC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w:t>
      </w:r>
      <w:r>
        <w:rPr>
          <w:rFonts w:hint="eastAsia" w:ascii="宋体" w:hAnsi="宋体" w:cs="宋体"/>
          <w:color w:val="auto"/>
          <w:szCs w:val="21"/>
          <w:highlight w:val="none"/>
          <w:lang w:val="en-US" w:eastAsia="zh-CN"/>
        </w:rPr>
        <w:t>时间完成产品、</w:t>
      </w:r>
      <w:r>
        <w:rPr>
          <w:rFonts w:hint="eastAsia" w:ascii="宋体" w:hAnsi="宋体" w:cs="宋体"/>
          <w:color w:val="auto"/>
          <w:szCs w:val="21"/>
          <w:highlight w:val="none"/>
        </w:rPr>
        <w:t>服务</w:t>
      </w:r>
    </w:p>
    <w:p w14:paraId="4506A83C">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乙方应按照本合同或甲方要求的时间完成各阶段的</w:t>
      </w:r>
      <w:r>
        <w:rPr>
          <w:rFonts w:hint="eastAsia" w:ascii="宋体" w:hAnsi="宋体" w:cs="宋体"/>
          <w:color w:val="auto"/>
          <w:szCs w:val="21"/>
          <w:highlight w:val="none"/>
          <w:lang w:eastAsia="zh-CN"/>
        </w:rPr>
        <w:t>产品、</w:t>
      </w:r>
      <w:r>
        <w:rPr>
          <w:rFonts w:hint="eastAsia" w:ascii="宋体" w:hAnsi="宋体" w:cs="宋体"/>
          <w:color w:val="auto"/>
          <w:szCs w:val="21"/>
          <w:highlight w:val="none"/>
        </w:rPr>
        <w:t>服务。乙方未能按照本合同约定的时间或甲方要求的时间完成</w:t>
      </w:r>
      <w:r>
        <w:rPr>
          <w:rFonts w:hint="eastAsia" w:ascii="宋体" w:hAnsi="宋体" w:cs="宋体"/>
          <w:color w:val="auto"/>
          <w:szCs w:val="21"/>
          <w:highlight w:val="none"/>
          <w:lang w:eastAsia="zh-CN"/>
        </w:rPr>
        <w:t>产品、服务</w:t>
      </w:r>
      <w:r>
        <w:rPr>
          <w:rFonts w:hint="eastAsia" w:ascii="宋体" w:hAnsi="宋体" w:cs="宋体"/>
          <w:color w:val="auto"/>
          <w:szCs w:val="21"/>
          <w:highlight w:val="none"/>
        </w:rPr>
        <w:t>的，每延迟一日按照合同款总额的0.5‰支付违约金，超过10日仍未</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rPr>
        <w:t>的，甲方有权解除本合同。</w:t>
      </w:r>
    </w:p>
    <w:p w14:paraId="04C7EDD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olor w:val="auto"/>
          <w:sz w:val="21"/>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lang w:val="en-US" w:eastAsia="zh-CN"/>
        </w:rPr>
        <w:t>的产品、服务不符合本合同及</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r>
        <w:rPr>
          <w:rFonts w:hint="eastAsia" w:ascii="宋体" w:hAnsi="宋体" w:eastAsia="宋体"/>
          <w:color w:val="auto"/>
          <w:sz w:val="21"/>
          <w:szCs w:val="21"/>
          <w:highlight w:val="none"/>
        </w:rPr>
        <w:t>应向甲方支付违约金，每发现一次，甲方根据乙方违约行为给甲方造成的损失情况和产生不良影响的程度，在合同款总额3‰-3%的范围内，决定乙方应支付违约金的数额。因信息系统自身故障造成的接诉即办投诉，同月同类型投诉超过15件或信息系统自身故障造成舆情事件，视为“未按照合同规定的条款提供</w:t>
      </w:r>
      <w:r>
        <w:rPr>
          <w:rFonts w:hint="eastAsia" w:ascii="宋体" w:hAnsi="宋体" w:eastAsia="宋体"/>
          <w:color w:val="auto"/>
          <w:sz w:val="21"/>
          <w:szCs w:val="21"/>
          <w:highlight w:val="none"/>
          <w:lang w:eastAsia="zh-CN"/>
        </w:rPr>
        <w:t>产品、</w:t>
      </w:r>
      <w:r>
        <w:rPr>
          <w:rFonts w:hint="eastAsia" w:ascii="宋体" w:hAnsi="宋体" w:eastAsia="宋体"/>
          <w:color w:val="auto"/>
          <w:sz w:val="21"/>
          <w:szCs w:val="21"/>
          <w:highlight w:val="none"/>
        </w:rPr>
        <w:t>服务”，应向甲方支付合同总额的3‰违约金。给甲方造成损失的，还须承担赔偿责任。违约金和赔偿金的支付并没有免除乙方继续履行合同的义务。情节严重的，甲方有权单方解除合同。</w:t>
      </w:r>
    </w:p>
    <w:p w14:paraId="4232F88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乙方违反本合同所规定的保密义务</w:t>
      </w:r>
      <w:r>
        <w:rPr>
          <w:rFonts w:hint="eastAsia" w:ascii="宋体" w:hAnsi="宋体"/>
          <w:color w:val="auto"/>
          <w:szCs w:val="21"/>
          <w:highlight w:val="none"/>
        </w:rPr>
        <w:t>和知识产权条款</w:t>
      </w:r>
      <w:r>
        <w:rPr>
          <w:rFonts w:hint="eastAsia" w:ascii="宋体" w:hAnsi="宋体" w:cs="宋体"/>
          <w:color w:val="auto"/>
          <w:szCs w:val="21"/>
          <w:highlight w:val="none"/>
        </w:rPr>
        <w:t>，乙方应立即采取补救措施，</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支付违约金（合同款总额的20%），甲方有权单方解除合同，并可提请司法机关依法追究乙方及相关人员的刑事责任。</w:t>
      </w:r>
    </w:p>
    <w:p w14:paraId="1654983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乙方违反约定转让、转包、分包，</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甲方有权单方解除合同。</w:t>
      </w:r>
    </w:p>
    <w:p w14:paraId="6AA3B70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22E629C8">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 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280E368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甲方因乙方原因扣减合同款并要求乙方支付违约金、赔偿金时，乙方不能因为甲方扣减合同款而终止/中断服务。若乙方违反本条约定或擅自终止/中断本合同的，乙方除支付违约金（</w:t>
      </w:r>
      <w:r>
        <w:rPr>
          <w:rFonts w:hint="eastAsia" w:ascii="宋体" w:hAnsi="宋体" w:cs="宋体"/>
          <w:color w:val="auto"/>
          <w:szCs w:val="21"/>
          <w:highlight w:val="none"/>
          <w:lang w:eastAsia="zh-Hans"/>
        </w:rPr>
        <w:t>合同款总额</w:t>
      </w:r>
      <w:r>
        <w:rPr>
          <w:rFonts w:hint="eastAsia" w:ascii="宋体" w:hAnsi="宋体" w:cs="宋体"/>
          <w:color w:val="auto"/>
          <w:szCs w:val="21"/>
          <w:highlight w:val="none"/>
        </w:rPr>
        <w:t>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73AC624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甲方未按约定支付合同款</w:t>
      </w:r>
    </w:p>
    <w:p w14:paraId="186EA9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如果甲方不能按期支付乙方合同款，则应从逾期支付的第31个工作日起，每日按迟延支付金额的0.5‰向乙方支付违约金。此项违约金总额不超过迟延支付金额的5‰。超过5‰</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，乙方有权收取</w:t>
      </w:r>
      <w:r>
        <w:rPr>
          <w:rFonts w:hint="eastAsia" w:ascii="宋体" w:hAnsi="宋体" w:cs="宋体"/>
          <w:color w:val="auto"/>
          <w:szCs w:val="21"/>
          <w:highlight w:val="none"/>
          <w:lang w:val="en-US" w:eastAsia="zh-CN"/>
        </w:rPr>
        <w:t>已完成</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的费用，并有权对由此引起的损失要求甲方予以赔偿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但不得暂停服务或解除合同</w:t>
      </w:r>
      <w:r>
        <w:rPr>
          <w:rFonts w:hint="eastAsia" w:ascii="宋体" w:hAnsi="宋体" w:cs="宋体"/>
          <w:color w:val="auto"/>
          <w:szCs w:val="21"/>
          <w:highlight w:val="none"/>
        </w:rPr>
        <w:t>。</w:t>
      </w:r>
    </w:p>
    <w:p w14:paraId="0553BD48">
      <w:pPr>
        <w:pStyle w:val="27"/>
        <w:keepNext w:val="0"/>
        <w:keepLines w:val="0"/>
        <w:pageBreakBefore w:val="0"/>
        <w:widowControl w:val="0"/>
        <w:numPr>
          <w:ilvl w:val="0"/>
          <w:numId w:val="0"/>
        </w:numPr>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9. 根据本合同第九条约定，乙方在初验、终验中，不合格累计达到4次（含）的，甲方有权单方解除本合同，</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lang w:val="en-US" w:eastAsia="zh-CN"/>
        </w:rPr>
        <w:t>向甲方</w:t>
      </w:r>
      <w:r>
        <w:rPr>
          <w:rFonts w:hint="eastAsia" w:ascii="宋体" w:hAnsi="宋体" w:cs="宋体"/>
          <w:color w:val="auto"/>
          <w:szCs w:val="21"/>
          <w:highlight w:val="none"/>
        </w:rPr>
        <w:t>支付违约金（合同款总额的20%）、赔偿金外，还应退回已收取的全部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17509EF3">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九、</w:t>
      </w:r>
      <w:r>
        <w:rPr>
          <w:rFonts w:hint="eastAsia" w:ascii="宋体" w:hAnsi="宋体" w:eastAsia="宋体" w:cs="宋体"/>
          <w:b/>
          <w:color w:val="auto"/>
          <w:szCs w:val="21"/>
          <w:highlight w:val="none"/>
          <w:lang w:eastAsia="zh-CN"/>
        </w:rPr>
        <w:t>验收</w:t>
      </w:r>
    </w:p>
    <w:p w14:paraId="17EB6E2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本项目验收分为初验和终验两个阶段</w:t>
      </w:r>
      <w:r>
        <w:rPr>
          <w:rFonts w:hint="eastAsia" w:ascii="宋体" w:hAnsi="宋体" w:cs="宋体"/>
          <w:color w:val="auto"/>
          <w:szCs w:val="21"/>
          <w:highlight w:val="none"/>
          <w:lang w:eastAsia="zh-CN"/>
        </w:rPr>
        <w:t>：</w:t>
      </w:r>
    </w:p>
    <w:p w14:paraId="44CACC8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乙方应在</w:t>
      </w:r>
      <w:r>
        <w:rPr>
          <w:rFonts w:hint="eastAsia" w:ascii="宋体" w:hAnsi="宋体" w:cs="宋体"/>
          <w:color w:val="auto"/>
          <w:szCs w:val="21"/>
          <w:highlight w:val="none"/>
          <w:lang w:eastAsia="zh-CN"/>
        </w:rPr>
        <w:t>完成项目所有建设任务，系统经测试达到安全、稳定、高效运行后</w:t>
      </w:r>
      <w:r>
        <w:rPr>
          <w:rFonts w:hint="eastAsia" w:ascii="宋体" w:hAnsi="宋体" w:cs="宋体"/>
          <w:color w:val="auto"/>
          <w:szCs w:val="21"/>
          <w:highlight w:val="none"/>
        </w:rPr>
        <w:t>，向甲方</w:t>
      </w:r>
      <w:r>
        <w:rPr>
          <w:rFonts w:hint="eastAsia" w:ascii="宋体" w:hAnsi="宋体" w:cs="宋体"/>
          <w:color w:val="auto"/>
          <w:szCs w:val="21"/>
          <w:highlight w:val="none"/>
          <w:lang w:eastAsia="zh-CN"/>
        </w:rPr>
        <w:t>和监理单位</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材料，甲方</w:t>
      </w:r>
      <w:r>
        <w:rPr>
          <w:rFonts w:hint="eastAsia" w:ascii="宋体" w:hAnsi="宋体" w:cs="宋体"/>
          <w:color w:val="auto"/>
          <w:szCs w:val="21"/>
          <w:highlight w:val="none"/>
          <w:lang w:eastAsia="zh-CN"/>
        </w:rPr>
        <w:t>组织开展项目初验并完成初验</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后，视为</w:t>
      </w:r>
      <w:r>
        <w:rPr>
          <w:rFonts w:hint="eastAsia" w:ascii="宋体" w:hAnsi="宋体" w:cs="宋体"/>
          <w:color w:val="auto"/>
          <w:szCs w:val="21"/>
          <w:highlight w:val="none"/>
          <w:lang w:eastAsia="zh-CN"/>
        </w:rPr>
        <w:t>初验合格</w:t>
      </w:r>
      <w:r>
        <w:rPr>
          <w:rFonts w:hint="eastAsia" w:ascii="宋体" w:hAnsi="宋体" w:cs="宋体"/>
          <w:color w:val="auto"/>
          <w:szCs w:val="21"/>
          <w:highlight w:val="none"/>
        </w:rPr>
        <w:t>。</w:t>
      </w:r>
    </w:p>
    <w:p w14:paraId="48207FE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终验：乙方应在项目初验合格，系统</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lang w:eastAsia="zh-CN"/>
        </w:rPr>
        <w:t>稳定试运行3个月后，</w:t>
      </w:r>
      <w:r>
        <w:rPr>
          <w:rFonts w:hint="eastAsia" w:ascii="宋体" w:hAnsi="宋体" w:cs="宋体"/>
          <w:color w:val="auto"/>
          <w:szCs w:val="21"/>
          <w:highlight w:val="none"/>
        </w:rPr>
        <w:t>向甲方</w:t>
      </w:r>
      <w:r>
        <w:rPr>
          <w:rFonts w:hint="eastAsia" w:ascii="宋体" w:hAnsi="宋体" w:cs="宋体"/>
          <w:color w:val="auto"/>
          <w:szCs w:val="21"/>
          <w:highlight w:val="none"/>
          <w:lang w:eastAsia="zh-CN"/>
        </w:rPr>
        <w:t>和监理单位</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终验</w:t>
      </w:r>
      <w:r>
        <w:rPr>
          <w:rFonts w:hint="eastAsia" w:ascii="宋体" w:hAnsi="宋体" w:cs="宋体"/>
          <w:color w:val="auto"/>
          <w:szCs w:val="21"/>
          <w:highlight w:val="none"/>
        </w:rPr>
        <w:t>材料，甲方</w:t>
      </w:r>
      <w:r>
        <w:rPr>
          <w:rFonts w:hint="eastAsia" w:ascii="宋体" w:hAnsi="宋体" w:cs="宋体"/>
          <w:color w:val="auto"/>
          <w:szCs w:val="21"/>
          <w:highlight w:val="none"/>
          <w:lang w:eastAsia="zh-CN"/>
        </w:rPr>
        <w:t>组织进行项目验收并完成终验</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后，视为</w:t>
      </w:r>
      <w:r>
        <w:rPr>
          <w:rFonts w:hint="eastAsia" w:ascii="宋体" w:hAnsi="宋体" w:cs="宋体"/>
          <w:color w:val="auto"/>
          <w:szCs w:val="21"/>
          <w:highlight w:val="none"/>
          <w:lang w:eastAsia="zh-CN"/>
        </w:rPr>
        <w:t>终验合格</w:t>
      </w:r>
      <w:r>
        <w:rPr>
          <w:rFonts w:hint="eastAsia" w:ascii="宋体" w:hAnsi="宋体" w:cs="宋体"/>
          <w:color w:val="auto"/>
          <w:szCs w:val="21"/>
          <w:highlight w:val="none"/>
        </w:rPr>
        <w:t>。</w:t>
      </w:r>
    </w:p>
    <w:p w14:paraId="558401E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乙方应按验收阶段提交相应的验收材料，包括但不限于：</w:t>
      </w:r>
      <w:r>
        <w:rPr>
          <w:rFonts w:hint="eastAsia" w:ascii="宋体" w:hAnsi="宋体" w:cs="宋体"/>
          <w:color w:val="auto"/>
          <w:szCs w:val="21"/>
          <w:highlight w:val="none"/>
        </w:rPr>
        <w:t>可运行的程序、源代码、标准规范及技术文档</w:t>
      </w:r>
      <w:r>
        <w:rPr>
          <w:rFonts w:hint="eastAsia" w:ascii="宋体" w:hAnsi="宋体" w:cs="宋体"/>
          <w:color w:val="auto"/>
          <w:szCs w:val="21"/>
          <w:highlight w:val="none"/>
          <w:lang w:eastAsia="zh-CN"/>
        </w:rPr>
        <w:t>等。</w:t>
      </w:r>
    </w:p>
    <w:p w14:paraId="504DE44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初验或终验</w:t>
      </w:r>
      <w:r>
        <w:rPr>
          <w:rFonts w:hint="eastAsia" w:ascii="宋体" w:hAnsi="宋体" w:cs="宋体"/>
          <w:color w:val="auto"/>
          <w:szCs w:val="21"/>
          <w:highlight w:val="none"/>
        </w:rPr>
        <w:t>不合格的，乙方需在甲方要求的时间内整改并重新提交验收，直至</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合格</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向甲方</w:t>
      </w:r>
      <w:r>
        <w:rPr>
          <w:rFonts w:hint="eastAsia" w:ascii="宋体" w:hAnsi="宋体" w:eastAsia="宋体" w:cs="宋体"/>
          <w:color w:val="auto"/>
          <w:kern w:val="2"/>
          <w:sz w:val="21"/>
          <w:szCs w:val="21"/>
          <w:highlight w:val="none"/>
          <w:lang w:val="en-US" w:eastAsia="zh-CN" w:bidi="ar-SA"/>
        </w:rPr>
        <w:t>支付</w:t>
      </w:r>
      <w:r>
        <w:rPr>
          <w:rFonts w:hint="eastAsia" w:ascii="宋体" w:hAnsi="宋体" w:cs="宋体"/>
          <w:color w:val="auto"/>
          <w:szCs w:val="21"/>
          <w:highlight w:val="none"/>
        </w:rPr>
        <w:t>合同款总额20%的</w:t>
      </w:r>
      <w:r>
        <w:rPr>
          <w:rFonts w:hint="eastAsia" w:ascii="宋体" w:hAnsi="宋体" w:eastAsia="宋体" w:cs="宋体"/>
          <w:color w:val="auto"/>
          <w:kern w:val="2"/>
          <w:sz w:val="21"/>
          <w:szCs w:val="21"/>
          <w:highlight w:val="none"/>
          <w:lang w:val="en-US" w:eastAsia="zh-CN" w:bidi="ar-SA"/>
        </w:rPr>
        <w:t>违约金，</w:t>
      </w:r>
      <w:r>
        <w:rPr>
          <w:rFonts w:hint="eastAsia" w:ascii="宋体" w:hAnsi="宋体" w:cs="宋体"/>
          <w:color w:val="auto"/>
          <w:szCs w:val="21"/>
          <w:highlight w:val="none"/>
        </w:rPr>
        <w:t>给甲方造成损失的，还应赔偿甲方的全部损失。</w:t>
      </w:r>
    </w:p>
    <w:p w14:paraId="2FFB4C14">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十、知识产权</w:t>
      </w:r>
    </w:p>
    <w:p w14:paraId="065C7E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保证甲方在使用乙方提供的任何产品、服务时，不受第三方提出侵犯知识产权指控。如果任何第三方提出与乙方提供的任何产品、服务有关的侵权指控，乙方须与第三方交涉并承担因此发生的一切法律责任和费用。如因此给甲方造成损失的，乙方应予全额赔偿。</w:t>
      </w:r>
    </w:p>
    <w:p w14:paraId="7576884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为履行合同义务而完成、供应的成果、发明、发现、可运行系统及相关技术资料、文档等相关知识产权，包括相关权益，均归甲方所有。乙方就本项目开发的软件，应向甲方提供项目源代码和文档。甲方有权委托第三方使用本系统资料(含源代码、文档等)进行二次开发。本项目实施所产生的信息资源及全部技术成果（包括但不限于软件、源代码及技术资料）的知识产权（包括但不限于著作权、专利权、商标权、专有技术等权利）及衍生权利均由甲方享有，凡有必要或可能申请专利的技术成果，均须由甲方办理专利申请。甲方在办理专利申请过程中如需乙方配合，乙方应予配合。合同终止时，乙方应在合同终止之日起三十日内，将上述全部技术成果及衍生成果等全部实际交付给甲方。</w:t>
      </w:r>
    </w:p>
    <w:p w14:paraId="7FDE0CE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对在</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过程中获知的甲方或为甲方提供服务的第三方的知识产权，都受本条款的保护。</w:t>
      </w:r>
    </w:p>
    <w:p w14:paraId="5EB53EB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十一、保密条款</w:t>
      </w:r>
    </w:p>
    <w:p w14:paraId="71EF33F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》及甲方关于保密工作的相关要求，对上述保密信息承担保密义务。未经甲方书面同意，乙方不得将甲方保密信息透露给任何第三方。如有违反，乙方应承担相应的法律责任。此保密义务不因合同的终止而免除。</w:t>
      </w:r>
    </w:p>
    <w:p w14:paraId="4567AA4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乙方必须与甲方签订</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（详见附件三）。</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6FF4185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乙方必须遵守甲方的各项规章制</w:t>
      </w:r>
      <w:r>
        <w:rPr>
          <w:rFonts w:hint="eastAsia" w:ascii="宋体" w:hAnsi="宋体" w:cs="宋体"/>
          <w:color w:val="auto"/>
          <w:szCs w:val="21"/>
          <w:highlight w:val="none"/>
          <w:lang w:eastAsia="zh-CN"/>
        </w:rPr>
        <w:t>度</w:t>
      </w:r>
      <w:r>
        <w:rPr>
          <w:rFonts w:hint="eastAsia" w:ascii="宋体" w:hAnsi="宋体" w:cs="宋体"/>
          <w:color w:val="auto"/>
          <w:szCs w:val="21"/>
          <w:highlight w:val="none"/>
        </w:rPr>
        <w:t>，严格按照工作规范组织进行</w:t>
      </w:r>
      <w:r>
        <w:rPr>
          <w:rFonts w:hint="eastAsia" w:ascii="宋体" w:hAnsi="宋体" w:cs="宋体"/>
          <w:color w:val="auto"/>
          <w:szCs w:val="21"/>
          <w:highlight w:val="none"/>
          <w:lang w:val="en-US" w:eastAsia="zh-CN"/>
        </w:rPr>
        <w:t>本项目实施</w:t>
      </w:r>
      <w:r>
        <w:rPr>
          <w:rFonts w:hint="eastAsia" w:ascii="宋体" w:hAnsi="宋体" w:cs="宋体"/>
          <w:color w:val="auto"/>
          <w:szCs w:val="21"/>
          <w:highlight w:val="none"/>
        </w:rPr>
        <w:t>工作，制定切实可行的措施保障人员安全，设备安全，生产安全。乙方必须制定合理的措施对</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人员进行管理和思想教育，加强保密意识，安全生产意识。</w:t>
      </w:r>
    </w:p>
    <w:p w14:paraId="1680D46E">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十二、合同廉政承诺</w:t>
      </w:r>
    </w:p>
    <w:p w14:paraId="53142E3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合同双方承诺共同加强廉洁自律、反对商业贿赂。</w:t>
      </w:r>
    </w:p>
    <w:p w14:paraId="039BA69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甲方及其工作人员不得索要礼金、有价证券和贵重物品；不得在乙方报销应由本单位或个人支付的费用；不得以参与项目实施为名，接受乙方从该</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中支取的劳务报酬；不得参加乙方安排的超标准宴请和娱乐活动。</w:t>
      </w:r>
    </w:p>
    <w:p w14:paraId="564F06F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6D690546">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十三、不可抗力</w:t>
      </w:r>
    </w:p>
    <w:p w14:paraId="41CDF2B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D3D661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7F09AA9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如果不可抗力事件后果影响合同执行超过90天，双方则就未来合同的履行另行商议。</w:t>
      </w:r>
    </w:p>
    <w:p w14:paraId="6ACE19F4">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十四、争议的解决</w:t>
      </w:r>
    </w:p>
    <w:p w14:paraId="75FBD8A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本合同按中华人民共和国相关法律、法规进行解决。</w:t>
      </w:r>
    </w:p>
    <w:p w14:paraId="3A09EE5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因履行合同所发生的一切争议，双方应友好协商解决，协商不成的按下列第（1）种方式解决：</w:t>
      </w:r>
    </w:p>
    <w:p w14:paraId="3EBE6E8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（1）提交北京仲裁委员会仲裁，仲裁裁决为终局裁决；</w:t>
      </w:r>
    </w:p>
    <w:p w14:paraId="1A49DDD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（2）依法向甲方所在地有管辖权的人民法院起诉。</w:t>
      </w:r>
    </w:p>
    <w:p w14:paraId="0F4CFC3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发生争议期间，乙方有义务继续按照服务内容条款中的要求提供服务，不得中断。</w:t>
      </w:r>
    </w:p>
    <w:p w14:paraId="4441B811">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十五、合同的</w:t>
      </w:r>
      <w:r>
        <w:rPr>
          <w:rFonts w:hint="eastAsia" w:ascii="宋体" w:hAnsi="宋体" w:eastAsia="宋体" w:cs="宋体"/>
          <w:b/>
          <w:color w:val="auto"/>
          <w:szCs w:val="21"/>
          <w:highlight w:val="none"/>
          <w:lang w:eastAsia="zh-CN"/>
        </w:rPr>
        <w:t>有效期、</w:t>
      </w:r>
      <w:r>
        <w:rPr>
          <w:rFonts w:hint="eastAsia" w:ascii="宋体" w:hAnsi="宋体" w:eastAsia="宋体" w:cs="宋体"/>
          <w:b/>
          <w:color w:val="auto"/>
          <w:szCs w:val="21"/>
          <w:highlight w:val="none"/>
        </w:rPr>
        <w:t>终止与解除</w:t>
      </w:r>
    </w:p>
    <w:p w14:paraId="469C93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lang w:val="en-US" w:eastAsia="zh-CN"/>
        </w:rPr>
        <w:t>合同有效</w:t>
      </w:r>
      <w:r>
        <w:rPr>
          <w:rFonts w:hint="eastAsia" w:ascii="宋体" w:hAnsi="宋体" w:cs="宋体"/>
          <w:color w:val="auto"/>
          <w:szCs w:val="21"/>
          <w:highlight w:val="none"/>
        </w:rPr>
        <w:t>期</w:t>
      </w:r>
    </w:p>
    <w:p w14:paraId="70AB282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的有效</w:t>
      </w:r>
      <w:r>
        <w:rPr>
          <w:rFonts w:hint="eastAsia" w:ascii="宋体" w:hAnsi="宋体" w:cs="宋体"/>
          <w:color w:val="auto"/>
          <w:szCs w:val="21"/>
          <w:highlight w:val="none"/>
        </w:rPr>
        <w:t>期</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生效之日起，至项目最终验收合格且【2】年质量保障期届满</w:t>
      </w:r>
      <w:r>
        <w:rPr>
          <w:rFonts w:hint="eastAsia" w:ascii="宋体" w:hAnsi="宋体" w:cs="宋体"/>
          <w:color w:val="auto"/>
          <w:szCs w:val="21"/>
          <w:highlight w:val="none"/>
          <w:lang w:val="en-US" w:eastAsia="zh-CN"/>
        </w:rPr>
        <w:t>之日止</w:t>
      </w:r>
      <w:r>
        <w:rPr>
          <w:rFonts w:hint="eastAsia" w:ascii="宋体" w:hAnsi="宋体" w:cs="宋体"/>
          <w:color w:val="auto"/>
          <w:szCs w:val="21"/>
          <w:highlight w:val="none"/>
          <w:lang w:eastAsia="zh-CN"/>
        </w:rPr>
        <w:t>。</w:t>
      </w:r>
    </w:p>
    <w:p w14:paraId="70CD3ED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合同终止</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4CE7D28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3119322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违约解除的</w:t>
      </w:r>
      <w:r>
        <w:rPr>
          <w:rFonts w:hint="eastAsia" w:ascii="宋体" w:hAnsi="宋体" w:cs="宋体"/>
          <w:color w:val="auto"/>
          <w:szCs w:val="21"/>
          <w:highlight w:val="none"/>
          <w:lang w:val="en-US" w:eastAsia="zh-CN"/>
        </w:rPr>
        <w:t>情形</w:t>
      </w:r>
    </w:p>
    <w:p w14:paraId="7702F29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甲方违反合同的约定未及时支付乙方合同款，甲方在乙方发出要求甲方纠正违约行为的书面通知之日起30天内未能纠正违约行为并赔偿损失的，乙方有权</w:t>
      </w:r>
      <w:r>
        <w:rPr>
          <w:rFonts w:hint="eastAsia" w:ascii="宋体" w:hAnsi="宋体" w:cs="宋体"/>
          <w:color w:val="auto"/>
          <w:szCs w:val="21"/>
          <w:highlight w:val="none"/>
          <w:lang w:val="en-US" w:eastAsia="zh-CN"/>
        </w:rPr>
        <w:t>单方</w:t>
      </w:r>
      <w:r>
        <w:rPr>
          <w:rFonts w:hint="eastAsia" w:ascii="宋体" w:hAnsi="宋体" w:cs="宋体"/>
          <w:color w:val="auto"/>
          <w:szCs w:val="21"/>
          <w:highlight w:val="none"/>
        </w:rPr>
        <w:t>解除合同。</w:t>
      </w:r>
    </w:p>
    <w:p w14:paraId="47FE96C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乙方有下列情形之一的，甲方有权单方解除合同：</w:t>
      </w:r>
    </w:p>
    <w:p w14:paraId="6B8954D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（1）乙方逾期未</w:t>
      </w:r>
      <w:r>
        <w:rPr>
          <w:rFonts w:hint="eastAsia" w:ascii="宋体" w:hAnsi="宋体" w:cs="宋体"/>
          <w:color w:val="auto"/>
          <w:szCs w:val="21"/>
          <w:highlight w:val="none"/>
          <w:lang w:eastAsia="zh-CN"/>
        </w:rPr>
        <w:t>完成产品或</w:t>
      </w:r>
      <w:r>
        <w:rPr>
          <w:rFonts w:hint="eastAsia" w:ascii="宋体" w:hAnsi="宋体" w:cs="宋体"/>
          <w:color w:val="auto"/>
          <w:szCs w:val="21"/>
          <w:highlight w:val="none"/>
        </w:rPr>
        <w:t>服务超过10日；</w:t>
      </w:r>
    </w:p>
    <w:p w14:paraId="48D5D8A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）乙方在服务期内出现</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符合本合同及</w:t>
      </w:r>
      <w:r>
        <w:rPr>
          <w:rFonts w:hint="eastAsia" w:ascii="宋体" w:hAnsi="宋体" w:eastAsia="宋体" w:cs="宋体"/>
          <w:color w:val="auto"/>
          <w:sz w:val="21"/>
          <w:szCs w:val="21"/>
          <w:highlight w:val="none"/>
          <w:lang w:val="en-US" w:eastAsia="zh-CN"/>
        </w:rPr>
        <w:t>甲方要求累计</w:t>
      </w:r>
      <w:r>
        <w:rPr>
          <w:rFonts w:hint="eastAsia" w:ascii="宋体" w:hAnsi="宋体" w:eastAsia="宋体" w:cs="宋体"/>
          <w:color w:val="auto"/>
          <w:szCs w:val="21"/>
          <w:highlight w:val="none"/>
        </w:rPr>
        <w:t>超过5次</w:t>
      </w:r>
      <w:r>
        <w:rPr>
          <w:rFonts w:hint="eastAsia" w:ascii="宋体" w:hAnsi="宋体" w:eastAsia="宋体" w:cs="宋体"/>
          <w:color w:val="auto"/>
          <w:szCs w:val="21"/>
          <w:highlight w:val="none"/>
          <w:lang w:val="en-US" w:eastAsia="zh-CN"/>
        </w:rPr>
        <w:t>的；</w:t>
      </w:r>
    </w:p>
    <w:p w14:paraId="5A71305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）乙方违反保密义务和知识产权条款的；</w:t>
      </w:r>
    </w:p>
    <w:p w14:paraId="6D28BF2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）乙方违反约定转让、转包、分包的；</w:t>
      </w:r>
    </w:p>
    <w:p w14:paraId="6505A43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）乙方未经甲方同意对系统数据进行使用、存储、处理，给甲方造成损失的；</w:t>
      </w:r>
    </w:p>
    <w:p w14:paraId="4F0EE35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）乙方在提供服务过程中，出现重大安全事件的</w:t>
      </w:r>
      <w:r>
        <w:rPr>
          <w:rFonts w:hint="eastAsia" w:ascii="宋体" w:hAnsi="宋体" w:cs="宋体"/>
          <w:color w:val="auto"/>
          <w:szCs w:val="21"/>
          <w:highlight w:val="none"/>
          <w:lang w:eastAsia="zh-CN"/>
        </w:rPr>
        <w:t>；</w:t>
      </w:r>
    </w:p>
    <w:p w14:paraId="7794AD8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乙方在初验、终验中，不合格累计达到4次（含）的</w:t>
      </w:r>
      <w:r>
        <w:rPr>
          <w:rFonts w:hint="eastAsia" w:ascii="宋体" w:hAnsi="宋体" w:cs="宋体"/>
          <w:color w:val="auto"/>
          <w:szCs w:val="21"/>
          <w:highlight w:val="none"/>
        </w:rPr>
        <w:t>。</w:t>
      </w:r>
    </w:p>
    <w:p w14:paraId="69B49A2B">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十六、</w:t>
      </w:r>
      <w:r>
        <w:rPr>
          <w:rFonts w:hint="eastAsia" w:ascii="宋体" w:hAnsi="宋体" w:eastAsia="宋体" w:cs="宋体"/>
          <w:b/>
          <w:color w:val="auto"/>
          <w:szCs w:val="21"/>
          <w:highlight w:val="none"/>
          <w:lang w:val="en-US" w:eastAsia="zh-CN"/>
        </w:rPr>
        <w:t>其他</w:t>
      </w:r>
      <w:r>
        <w:rPr>
          <w:rFonts w:hint="eastAsia" w:ascii="宋体" w:hAnsi="宋体" w:eastAsia="宋体" w:cs="宋体"/>
          <w:b/>
          <w:color w:val="auto"/>
          <w:szCs w:val="21"/>
          <w:highlight w:val="none"/>
        </w:rPr>
        <w:t>条款</w:t>
      </w:r>
    </w:p>
    <w:p w14:paraId="5CCEB11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在合同履行过程中，甲乙双方均不得任意修改合同内容，一方如需修改合同某项条款，需经</w:t>
      </w:r>
      <w:r>
        <w:rPr>
          <w:rFonts w:hint="eastAsia" w:ascii="宋体" w:hAnsi="宋体" w:cs="宋体"/>
          <w:color w:val="auto"/>
          <w:szCs w:val="21"/>
          <w:highlight w:val="none"/>
          <w:lang w:val="en-US" w:eastAsia="zh-CN"/>
        </w:rPr>
        <w:t>双</w:t>
      </w:r>
      <w:r>
        <w:rPr>
          <w:rFonts w:hint="eastAsia" w:ascii="宋体" w:hAnsi="宋体" w:cs="宋体"/>
          <w:color w:val="auto"/>
          <w:szCs w:val="21"/>
          <w:highlight w:val="none"/>
        </w:rPr>
        <w:t>方</w:t>
      </w:r>
      <w:r>
        <w:rPr>
          <w:rFonts w:hint="eastAsia" w:ascii="宋体" w:hAnsi="宋体" w:cs="宋体"/>
          <w:color w:val="auto"/>
          <w:szCs w:val="21"/>
          <w:highlight w:val="none"/>
          <w:lang w:val="en-US" w:eastAsia="zh-CN"/>
        </w:rPr>
        <w:t>协商</w:t>
      </w:r>
      <w:r>
        <w:rPr>
          <w:rFonts w:hint="eastAsia" w:ascii="宋体" w:hAnsi="宋体" w:cs="宋体"/>
          <w:color w:val="auto"/>
          <w:szCs w:val="21"/>
          <w:highlight w:val="none"/>
        </w:rPr>
        <w:t>同意并</w:t>
      </w:r>
      <w:r>
        <w:rPr>
          <w:rFonts w:hint="eastAsia" w:ascii="宋体" w:hAnsi="宋体" w:cs="宋体"/>
          <w:color w:val="auto"/>
          <w:kern w:val="2"/>
          <w:sz w:val="21"/>
          <w:szCs w:val="21"/>
          <w:highlight w:val="none"/>
          <w:lang w:val="en-US" w:eastAsia="zh-CN" w:bidi="ar-SA"/>
        </w:rPr>
        <w:t>签订补充协议</w:t>
      </w:r>
      <w:r>
        <w:rPr>
          <w:rFonts w:hint="eastAsia" w:ascii="宋体" w:hAnsi="宋体" w:cs="宋体"/>
          <w:color w:val="auto"/>
          <w:szCs w:val="21"/>
          <w:highlight w:val="none"/>
        </w:rPr>
        <w:t>后方可实施，在达成新的协议之前，双方仍按原合同条款进行，否则，后果由自行修改条款一方负责。</w:t>
      </w:r>
    </w:p>
    <w:p w14:paraId="5C50F7C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本合同的附件为本合同不可分割的部分，与合同正文具有同等效力。</w:t>
      </w:r>
    </w:p>
    <w:p w14:paraId="4D30EC3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3. 如本合同附件中的条款或本合同签署之前所签署的任何文件与本合同的条款相冲突或不一致，以本合同为准。</w:t>
      </w:r>
    </w:p>
    <w:p w14:paraId="54B0107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3866F5E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w:t>
      </w:r>
      <w:r>
        <w:rPr>
          <w:rFonts w:hint="eastAsia" w:ascii="宋体" w:hAnsi="宋体" w:eastAsia="宋体" w:cs="宋体"/>
          <w:b/>
          <w:color w:val="auto"/>
          <w:szCs w:val="21"/>
          <w:highlight w:val="none"/>
          <w:lang w:eastAsia="zh-CN"/>
        </w:rPr>
        <w:t>七</w:t>
      </w:r>
      <w:r>
        <w:rPr>
          <w:rFonts w:hint="eastAsia" w:ascii="宋体" w:hAnsi="宋体" w:eastAsia="宋体" w:cs="宋体"/>
          <w:b/>
          <w:color w:val="auto"/>
          <w:szCs w:val="21"/>
          <w:highlight w:val="none"/>
        </w:rPr>
        <w:t>、合同的生效</w:t>
      </w:r>
    </w:p>
    <w:p w14:paraId="0411F55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本合同自双方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0519EE7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本合同一式</w:t>
      </w:r>
      <w:r>
        <w:rPr>
          <w:rFonts w:hint="eastAsia" w:ascii="宋体" w:hAnsi="宋体" w:cs="宋体"/>
          <w:color w:val="auto"/>
          <w:szCs w:val="21"/>
          <w:highlight w:val="none"/>
          <w:lang w:eastAsia="zh-CN"/>
        </w:rPr>
        <w:t>肆</w:t>
      </w:r>
      <w:r>
        <w:rPr>
          <w:rFonts w:hint="eastAsia" w:ascii="宋体" w:hAnsi="宋体" w:cs="宋体"/>
          <w:color w:val="auto"/>
          <w:szCs w:val="21"/>
          <w:highlight w:val="none"/>
        </w:rPr>
        <w:t>份，甲乙双方各执</w:t>
      </w:r>
      <w:r>
        <w:rPr>
          <w:rFonts w:hint="eastAsia" w:ascii="宋体" w:hAnsi="宋体" w:cs="宋体"/>
          <w:color w:val="auto"/>
          <w:szCs w:val="21"/>
          <w:highlight w:val="none"/>
          <w:lang w:eastAsia="zh-CN"/>
        </w:rPr>
        <w:t>贰</w:t>
      </w:r>
      <w:r>
        <w:rPr>
          <w:rFonts w:hint="eastAsia" w:ascii="宋体" w:hAnsi="宋体" w:cs="宋体"/>
          <w:color w:val="auto"/>
          <w:szCs w:val="21"/>
          <w:highlight w:val="none"/>
        </w:rPr>
        <w:t>份。具有同等法律效力。</w:t>
      </w:r>
    </w:p>
    <w:p w14:paraId="5B5D11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3. 本合同未尽事宜，应经双方协商后以补充协议方式明确。补充协议自双方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5D8DECF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left"/>
        <w:rPr>
          <w:rFonts w:hint="eastAsia" w:ascii="宋体" w:hAnsi="宋体" w:cs="宋体"/>
          <w:color w:val="auto"/>
          <w:szCs w:val="21"/>
          <w:highlight w:val="none"/>
        </w:rPr>
      </w:pPr>
    </w:p>
    <w:p w14:paraId="39010DEF">
      <w:pPr>
        <w:keepNext w:val="0"/>
        <w:keepLines w:val="0"/>
        <w:pageBreakBefore w:val="0"/>
        <w:widowControl w:val="0"/>
        <w:shd w:val="clear"/>
        <w:kinsoku/>
        <w:wordWrap/>
        <w:overflowPunct/>
        <w:topLinePunct w:val="0"/>
        <w:bidi w:val="0"/>
        <w:adjustRightInd w:val="0"/>
        <w:snapToGrid w:val="0"/>
        <w:spacing w:line="48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合同特殊条款</w:t>
      </w:r>
    </w:p>
    <w:p w14:paraId="76901B32">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rFonts w:hint="eastAsia" w:ascii="宋体" w:hAnsi="宋体" w:cs="宋体"/>
          <w:color w:val="auto"/>
          <w:szCs w:val="21"/>
          <w:highlight w:val="none"/>
        </w:rPr>
      </w:pPr>
      <w:r>
        <w:rPr>
          <w:rFonts w:hint="eastAsia" w:ascii="宋体" w:hAnsi="宋体" w:cs="宋体"/>
          <w:color w:val="auto"/>
          <w:szCs w:val="21"/>
          <w:highlight w:val="none"/>
        </w:rPr>
        <w:t>无。</w:t>
      </w:r>
    </w:p>
    <w:p w14:paraId="29876B71">
      <w:pPr>
        <w:keepNext w:val="0"/>
        <w:keepLines w:val="0"/>
        <w:pageBreakBefore w:val="0"/>
        <w:widowControl w:val="0"/>
        <w:shd w:val="clear"/>
        <w:kinsoku/>
        <w:wordWrap/>
        <w:overflowPunct/>
        <w:topLinePunct w:val="0"/>
        <w:bidi w:val="0"/>
        <w:adjustRightInd w:val="0"/>
        <w:snapToGrid w:val="0"/>
        <w:spacing w:line="480" w:lineRule="exact"/>
        <w:jc w:val="center"/>
        <w:rPr>
          <w:color w:val="auto"/>
          <w:szCs w:val="21"/>
          <w:highlight w:val="none"/>
        </w:rPr>
      </w:pPr>
      <w:r>
        <w:rPr>
          <w:rFonts w:hint="eastAsia"/>
          <w:color w:val="auto"/>
          <w:szCs w:val="21"/>
          <w:highlight w:val="none"/>
        </w:rPr>
        <w:t>（本页以下无正文）</w:t>
      </w:r>
    </w:p>
    <w:p w14:paraId="0396055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jc w:val="center"/>
        <w:rPr>
          <w:bCs/>
          <w:color w:val="auto"/>
          <w:szCs w:val="21"/>
          <w:highlight w:val="none"/>
        </w:rPr>
        <w:sectPr>
          <w:headerReference r:id="rId16" w:type="default"/>
          <w:footerReference r:id="rId17" w:type="default"/>
          <w:pgSz w:w="11905" w:h="16838"/>
          <w:pgMar w:top="1440" w:right="1803" w:bottom="1440" w:left="1803" w:header="850" w:footer="992" w:gutter="0"/>
          <w:pgNumType w:fmt="decimal" w:start="1"/>
          <w:cols w:space="720" w:num="1"/>
          <w:rtlGutter w:val="0"/>
          <w:docGrid w:type="lines" w:linePitch="317" w:charSpace="0"/>
        </w:sectPr>
      </w:pPr>
    </w:p>
    <w:tbl>
      <w:tblPr>
        <w:tblStyle w:val="44"/>
        <w:tblW w:w="0" w:type="auto"/>
        <w:tblInd w:w="113" w:type="dxa"/>
        <w:tblLayout w:type="fixed"/>
        <w:tblCellMar>
          <w:top w:w="0" w:type="dxa"/>
          <w:left w:w="108" w:type="dxa"/>
          <w:bottom w:w="0" w:type="dxa"/>
          <w:right w:w="108" w:type="dxa"/>
        </w:tblCellMar>
      </w:tblPr>
      <w:tblGrid>
        <w:gridCol w:w="4203"/>
        <w:gridCol w:w="4097"/>
      </w:tblGrid>
      <w:tr w14:paraId="48683822">
        <w:tblPrEx>
          <w:tblCellMar>
            <w:top w:w="0" w:type="dxa"/>
            <w:left w:w="108" w:type="dxa"/>
            <w:bottom w:w="0" w:type="dxa"/>
            <w:right w:w="108" w:type="dxa"/>
          </w:tblCellMar>
        </w:tblPrEx>
        <w:trPr>
          <w:trHeight w:val="884" w:hRule="atLeast"/>
        </w:trPr>
        <w:tc>
          <w:tcPr>
            <w:tcW w:w="4203" w:type="dxa"/>
            <w:noWrap w:val="0"/>
            <w:vAlign w:val="top"/>
          </w:tcPr>
          <w:p w14:paraId="327B2B3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20C040BF">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0CABDCEE">
        <w:tblPrEx>
          <w:tblCellMar>
            <w:top w:w="0" w:type="dxa"/>
            <w:left w:w="108" w:type="dxa"/>
            <w:bottom w:w="0" w:type="dxa"/>
            <w:right w:w="108" w:type="dxa"/>
          </w:tblCellMar>
        </w:tblPrEx>
        <w:trPr>
          <w:trHeight w:val="3060" w:hRule="atLeast"/>
        </w:trPr>
        <w:tc>
          <w:tcPr>
            <w:tcW w:w="4203" w:type="dxa"/>
            <w:noWrap w:val="0"/>
            <w:vAlign w:val="top"/>
          </w:tcPr>
          <w:p w14:paraId="02DC7E0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4C0548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70D9E321">
        <w:tblPrEx>
          <w:tblCellMar>
            <w:top w:w="0" w:type="dxa"/>
            <w:left w:w="108" w:type="dxa"/>
            <w:bottom w:w="0" w:type="dxa"/>
            <w:right w:w="108" w:type="dxa"/>
          </w:tblCellMar>
        </w:tblPrEx>
        <w:trPr>
          <w:trHeight w:val="3301" w:hRule="atLeast"/>
        </w:trPr>
        <w:tc>
          <w:tcPr>
            <w:tcW w:w="4203" w:type="dxa"/>
            <w:noWrap w:val="0"/>
            <w:vAlign w:val="top"/>
          </w:tcPr>
          <w:p w14:paraId="0AF795D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1549C0AD">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1714C6AD">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4FB3AB1F">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2083538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8C8068B">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015102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00E1A944">
        <w:tblPrEx>
          <w:tblCellMar>
            <w:top w:w="0" w:type="dxa"/>
            <w:left w:w="108" w:type="dxa"/>
            <w:bottom w:w="0" w:type="dxa"/>
            <w:right w:w="108" w:type="dxa"/>
          </w:tblCellMar>
        </w:tblPrEx>
        <w:trPr>
          <w:trHeight w:val="845" w:hRule="atLeast"/>
        </w:trPr>
        <w:tc>
          <w:tcPr>
            <w:tcW w:w="4203" w:type="dxa"/>
            <w:noWrap w:val="0"/>
            <w:vAlign w:val="bottom"/>
          </w:tcPr>
          <w:p w14:paraId="1831592B">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117174B9">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16257663">
        <w:tblPrEx>
          <w:tblCellMar>
            <w:top w:w="0" w:type="dxa"/>
            <w:left w:w="108" w:type="dxa"/>
            <w:bottom w:w="0" w:type="dxa"/>
            <w:right w:w="108" w:type="dxa"/>
          </w:tblCellMar>
        </w:tblPrEx>
        <w:trPr>
          <w:trHeight w:val="646" w:hRule="atLeast"/>
        </w:trPr>
        <w:tc>
          <w:tcPr>
            <w:tcW w:w="4203" w:type="dxa"/>
            <w:noWrap w:val="0"/>
            <w:vAlign w:val="top"/>
          </w:tcPr>
          <w:p w14:paraId="117D368A">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2D79736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46CC8E28">
        <w:tblPrEx>
          <w:tblCellMar>
            <w:top w:w="0" w:type="dxa"/>
            <w:left w:w="108" w:type="dxa"/>
            <w:bottom w:w="0" w:type="dxa"/>
            <w:right w:w="108" w:type="dxa"/>
          </w:tblCellMar>
        </w:tblPrEx>
        <w:trPr>
          <w:trHeight w:val="646" w:hRule="atLeast"/>
        </w:trPr>
        <w:tc>
          <w:tcPr>
            <w:tcW w:w="4203" w:type="dxa"/>
            <w:noWrap w:val="0"/>
            <w:vAlign w:val="top"/>
          </w:tcPr>
          <w:p w14:paraId="7D308607">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3384D4B2">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52320589">
        <w:tblPrEx>
          <w:tblCellMar>
            <w:top w:w="0" w:type="dxa"/>
            <w:left w:w="108" w:type="dxa"/>
            <w:bottom w:w="0" w:type="dxa"/>
            <w:right w:w="108" w:type="dxa"/>
          </w:tblCellMar>
        </w:tblPrEx>
        <w:trPr>
          <w:trHeight w:val="646" w:hRule="atLeast"/>
        </w:trPr>
        <w:tc>
          <w:tcPr>
            <w:tcW w:w="4203" w:type="dxa"/>
            <w:noWrap w:val="0"/>
            <w:vAlign w:val="top"/>
          </w:tcPr>
          <w:p w14:paraId="3B3E00B5">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4D7263AA">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707A5A84">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w:t>
      </w:r>
    </w:p>
    <w:p w14:paraId="20F4A4A5">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附件二：服务内容和方案</w:t>
      </w:r>
    </w:p>
    <w:p w14:paraId="744E2353">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0C1BFA8">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4AFC295D">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46BE48B">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B3AEE86">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3C6951E3">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0F2EAB4B">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附件三：安全保密协议</w:t>
      </w:r>
    </w:p>
    <w:p w14:paraId="61CB6727">
      <w:pPr>
        <w:keepNext w:val="0"/>
        <w:keepLines w:val="0"/>
        <w:pageBreakBefore w:val="0"/>
        <w:widowControl w:val="0"/>
        <w:shd w:val="clear"/>
        <w:kinsoku/>
        <w:wordWrap/>
        <w:overflowPunct/>
        <w:topLinePunct w:val="0"/>
        <w:bidi w:val="0"/>
        <w:adjustRightInd w:val="0"/>
        <w:snapToGrid w:val="0"/>
        <w:spacing w:after="0" w:line="480" w:lineRule="exact"/>
        <w:ind w:left="0" w:leftChars="0" w:firstLine="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安 全 保 密 协 议</w:t>
      </w:r>
    </w:p>
    <w:p w14:paraId="2985D55A">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67AC1E0A">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乙方：</w:t>
      </w:r>
    </w:p>
    <w:p w14:paraId="023E0CB8">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一、目的</w:t>
      </w:r>
    </w:p>
    <w:p w14:paraId="7A9F4F6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ascii="宋体" w:hAnsi="宋体" w:cs="宋体"/>
          <w:color w:val="auto"/>
          <w:szCs w:val="21"/>
          <w:highlight w:val="none"/>
          <w:u w:val="single"/>
        </w:rPr>
        <w:t>积分落户管理信息系统适配能力提升项目项目（第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”事宜达成一致，并签订了</w:t>
      </w:r>
      <w:r>
        <w:rPr>
          <w:rFonts w:hint="eastAsia" w:ascii="宋体" w:hAnsi="宋体" w:cs="宋体"/>
          <w:color w:val="auto"/>
          <w:szCs w:val="21"/>
          <w:highlight w:val="none"/>
          <w:lang w:eastAsia="zh-CN"/>
        </w:rPr>
        <w:t>《政府采购合同》</w:t>
      </w:r>
      <w:r>
        <w:rPr>
          <w:rFonts w:hint="eastAsia" w:ascii="宋体" w:hAnsi="宋体" w:cs="宋体"/>
          <w:color w:val="auto"/>
          <w:szCs w:val="21"/>
          <w:highlight w:val="none"/>
        </w:rPr>
        <w:t>。为确保本项目的安全保密，经双方协商，特制定本协议。</w:t>
      </w:r>
    </w:p>
    <w:p w14:paraId="014A85C1">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16BB042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相关工作合同、方案、系统数据，以及有关会议文件、会议纪要和领导批示。</w:t>
      </w:r>
    </w:p>
    <w:p w14:paraId="78AE6EE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相关工作人员之间往来的传真、信函、电子邮件等。</w:t>
      </w:r>
    </w:p>
    <w:p w14:paraId="26F7C26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相关工作实施过程中涉及的信息和资料以及可能产生的新的信息和资料。</w:t>
      </w:r>
    </w:p>
    <w:p w14:paraId="31FA627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4. 相关工作实施过程中各方拥有的知识产权信息，已经公开的知识产权信息除外。</w:t>
      </w:r>
    </w:p>
    <w:p w14:paraId="569BA8D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5. 经甲乙双方在该工作实施过程中确认的需要保密的其他信息。</w:t>
      </w:r>
    </w:p>
    <w:p w14:paraId="44823B7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6. 保密义务在双方的服务合同结束后仍然有效。</w:t>
      </w:r>
    </w:p>
    <w:p w14:paraId="71BD602B">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三、乙方责任</w:t>
      </w:r>
    </w:p>
    <w:p w14:paraId="72A1463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乙方为保密资料接受方，负有保密义务，承担保密责任。</w:t>
      </w:r>
    </w:p>
    <w:p w14:paraId="27CE47F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乙方未经甲方书面同意不得向第三方（包括新闻界人士）公开和披露任何保密资料或以其他方式使用保密资料。</w:t>
      </w:r>
    </w:p>
    <w:p w14:paraId="3A8A1CF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乙方须把保密资料的接触范围严格限制在因本协议规定目的而需接触保密资料的负责任的雇员的范围内。</w:t>
      </w:r>
    </w:p>
    <w:p w14:paraId="2229BEA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4. 除经过甲方书面同意而必要进行披露外，乙方不得将含有甲方或其雇员披露的保密资料复印或复制或者有意无意地提供给他人。</w:t>
      </w:r>
    </w:p>
    <w:p w14:paraId="478CC8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5. 如果甲乙双方合作不再继续进行，经甲方在任何时候提出书面要求，乙方应当、并应促使其代表在五（5）个工作日内销毁或向甲方返还其占有的或控制的全部保密资料以及包含或体现了保密资料的全部文件和其</w:t>
      </w:r>
      <w:r>
        <w:rPr>
          <w:rFonts w:hint="eastAsia" w:ascii="宋体" w:hAnsi="宋体" w:cs="宋体"/>
          <w:color w:val="auto"/>
          <w:szCs w:val="21"/>
          <w:highlight w:val="none"/>
          <w:lang w:val="en-US" w:eastAsia="zh-CN"/>
        </w:rPr>
        <w:t>他</w:t>
      </w:r>
      <w:r>
        <w:rPr>
          <w:rFonts w:hint="eastAsia" w:ascii="宋体" w:hAnsi="宋体" w:cs="宋体"/>
          <w:color w:val="auto"/>
          <w:szCs w:val="21"/>
          <w:highlight w:val="none"/>
        </w:rPr>
        <w:t>材料并连同全部副本。</w:t>
      </w:r>
    </w:p>
    <w:p w14:paraId="67F2B2F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1ABF46B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7. 乙方违反保密义务，参照主合同违约责任条款承担违约责任。</w:t>
      </w:r>
    </w:p>
    <w:p w14:paraId="6DEFAA35">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08AE04E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双方确认，任何一方接触并知悉本协议保密信息的人员对保密信息均负有保密义务，任何一方人员违反保密协议，将由该方承担泄密责任。</w:t>
      </w:r>
    </w:p>
    <w:p w14:paraId="3658041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0B3EB7C6">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五、其他</w:t>
      </w:r>
    </w:p>
    <w:p w14:paraId="3405547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本协议履行期间，双方如有任何修改或补充意见，应协商一致签订修改或补充协议。修改或补充协议是本协议的组成部分，签字盖章后与本协议具有同等法律效力。</w:t>
      </w:r>
    </w:p>
    <w:p w14:paraId="487153C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本协议，自双方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4B4A98FE">
      <w:pPr>
        <w:keepNext w:val="0"/>
        <w:keepLines w:val="0"/>
        <w:pageBreakBefore w:val="0"/>
        <w:widowControl w:val="0"/>
        <w:shd w:val="clear"/>
        <w:kinsoku/>
        <w:wordWrap/>
        <w:overflowPunct/>
        <w:topLinePunct w:val="0"/>
        <w:bidi w:val="0"/>
        <w:adjustRightInd w:val="0"/>
        <w:snapToGrid w:val="0"/>
        <w:spacing w:line="480" w:lineRule="exact"/>
        <w:jc w:val="center"/>
        <w:outlineLvl w:val="0"/>
        <w:rPr>
          <w:rFonts w:ascii="Times New Roman" w:hAnsi="Times New Roman" w:eastAsia="宋体" w:cs="Calibri"/>
          <w:color w:val="auto"/>
          <w:szCs w:val="21"/>
          <w:highlight w:val="none"/>
        </w:rPr>
      </w:pPr>
      <w:r>
        <w:rPr>
          <w:rFonts w:hint="eastAsia" w:ascii="Times New Roman" w:hAnsi="Times New Roman" w:eastAsia="宋体" w:cs="Calibri"/>
          <w:color w:val="auto"/>
          <w:szCs w:val="21"/>
          <w:highlight w:val="none"/>
        </w:rPr>
        <w:t>（本页以下无正文）</w:t>
      </w:r>
    </w:p>
    <w:p w14:paraId="43F9CBB9">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color w:val="auto"/>
          <w:highlight w:val="none"/>
          <w:lang w:val="en-US" w:eastAsia="zh-CN"/>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208FE1A8">
        <w:tblPrEx>
          <w:tblCellMar>
            <w:top w:w="0" w:type="dxa"/>
            <w:left w:w="108" w:type="dxa"/>
            <w:bottom w:w="0" w:type="dxa"/>
            <w:right w:w="108" w:type="dxa"/>
          </w:tblCellMar>
        </w:tblPrEx>
        <w:tc>
          <w:tcPr>
            <w:tcW w:w="4261" w:type="dxa"/>
            <w:noWrap w:val="0"/>
            <w:vAlign w:val="top"/>
          </w:tcPr>
          <w:p w14:paraId="6CDE2BDA">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p>
        </w:tc>
        <w:tc>
          <w:tcPr>
            <w:tcW w:w="4418" w:type="dxa"/>
            <w:noWrap w:val="0"/>
            <w:vAlign w:val="top"/>
          </w:tcPr>
          <w:p w14:paraId="24875DB7">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0AA95FF6">
        <w:tblPrEx>
          <w:tblCellMar>
            <w:top w:w="0" w:type="dxa"/>
            <w:left w:w="108" w:type="dxa"/>
            <w:bottom w:w="0" w:type="dxa"/>
            <w:right w:w="108" w:type="dxa"/>
          </w:tblCellMar>
        </w:tblPrEx>
        <w:trPr>
          <w:trHeight w:val="1092" w:hRule="atLeast"/>
        </w:trPr>
        <w:tc>
          <w:tcPr>
            <w:tcW w:w="4261" w:type="dxa"/>
            <w:noWrap w:val="0"/>
            <w:vAlign w:val="top"/>
          </w:tcPr>
          <w:p w14:paraId="3598B0F4">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法定代表人或授权代表： </w:t>
            </w:r>
          </w:p>
          <w:p w14:paraId="1B033815">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26458FA5">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08A5087B">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tc>
        <w:tc>
          <w:tcPr>
            <w:tcW w:w="4418" w:type="dxa"/>
            <w:noWrap w:val="0"/>
            <w:vAlign w:val="top"/>
          </w:tcPr>
          <w:p w14:paraId="035E27DB">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法定代表人或授权代表：</w:t>
            </w:r>
          </w:p>
        </w:tc>
      </w:tr>
      <w:tr w14:paraId="757D32C4">
        <w:tblPrEx>
          <w:tblCellMar>
            <w:top w:w="0" w:type="dxa"/>
            <w:left w:w="108" w:type="dxa"/>
            <w:bottom w:w="0" w:type="dxa"/>
            <w:right w:w="108" w:type="dxa"/>
          </w:tblCellMar>
        </w:tblPrEx>
        <w:tc>
          <w:tcPr>
            <w:tcW w:w="4261" w:type="dxa"/>
            <w:noWrap w:val="0"/>
            <w:vAlign w:val="top"/>
          </w:tcPr>
          <w:p w14:paraId="72BB5C94">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2025年X月XX日</w:t>
            </w:r>
          </w:p>
        </w:tc>
        <w:tc>
          <w:tcPr>
            <w:tcW w:w="4418" w:type="dxa"/>
            <w:noWrap w:val="0"/>
            <w:vAlign w:val="top"/>
          </w:tcPr>
          <w:p w14:paraId="3365BCC2">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2025年X月XX日</w:t>
            </w:r>
          </w:p>
        </w:tc>
      </w:tr>
    </w:tbl>
    <w:p w14:paraId="199D6956">
      <w:pPr>
        <w:keepNext w:val="0"/>
        <w:keepLines w:val="0"/>
        <w:pageBreakBefore w:val="0"/>
        <w:widowControl w:val="0"/>
        <w:shd w:val="clear"/>
        <w:tabs>
          <w:tab w:val="left" w:pos="8280"/>
        </w:tabs>
        <w:kinsoku/>
        <w:wordWrap/>
        <w:overflowPunct/>
        <w:topLinePunct w:val="0"/>
        <w:bidi w:val="0"/>
        <w:adjustRightInd w:val="0"/>
        <w:snapToGrid w:val="0"/>
        <w:spacing w:line="480" w:lineRule="exact"/>
        <w:jc w:val="left"/>
        <w:rPr>
          <w:rFonts w:hint="eastAsia" w:ascii="宋体" w:hAnsi="宋体" w:cs="宋体"/>
          <w:color w:val="auto"/>
          <w:szCs w:val="21"/>
          <w:highlight w:val="none"/>
        </w:rPr>
      </w:pPr>
    </w:p>
    <w:p w14:paraId="600E7A7E">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附件四：授权委托书</w:t>
      </w:r>
    </w:p>
    <w:p w14:paraId="6F427134">
      <w:pPr>
        <w:keepNext w:val="0"/>
        <w:keepLines w:val="0"/>
        <w:pageBreakBefore w:val="0"/>
        <w:widowControl w:val="0"/>
        <w:shd w:val="clear"/>
        <w:kinsoku/>
        <w:wordWrap/>
        <w:overflowPunct/>
        <w:topLinePunct w:val="0"/>
        <w:bidi w:val="0"/>
        <w:adjustRightInd w:val="0"/>
        <w:snapToGrid w:val="0"/>
        <w:spacing w:line="480" w:lineRule="exact"/>
        <w:ind w:firstLine="420" w:firstLineChars="200"/>
        <w:rPr>
          <w:rFonts w:ascii="宋体" w:hAnsi="宋体" w:cs="宋体"/>
          <w:color w:val="auto"/>
          <w:szCs w:val="21"/>
          <w:highlight w:val="none"/>
        </w:rPr>
      </w:pPr>
    </w:p>
    <w:p w14:paraId="3E3946E1">
      <w:pPr>
        <w:keepNext w:val="0"/>
        <w:keepLines w:val="0"/>
        <w:pageBreakBefore w:val="0"/>
        <w:widowControl w:val="0"/>
        <w:shd w:val="clear"/>
        <w:kinsoku/>
        <w:wordWrap/>
        <w:overflowPunct/>
        <w:topLinePunct w:val="0"/>
        <w:bidi w:val="0"/>
        <w:adjustRightInd w:val="0"/>
        <w:snapToGrid w:val="0"/>
        <w:spacing w:line="480" w:lineRule="exact"/>
        <w:ind w:firstLine="420" w:firstLineChars="200"/>
        <w:rPr>
          <w:rFonts w:ascii="宋体" w:hAnsi="宋体" w:cs="宋体"/>
          <w:color w:val="auto"/>
          <w:szCs w:val="21"/>
          <w:highlight w:val="none"/>
        </w:rPr>
      </w:pPr>
    </w:p>
    <w:p w14:paraId="5A54CB69">
      <w:pPr>
        <w:keepNext w:val="0"/>
        <w:keepLines w:val="0"/>
        <w:pageBreakBefore w:val="0"/>
        <w:shd w:val="clear"/>
        <w:kinsoku/>
        <w:wordWrap/>
        <w:overflowPunct/>
        <w:topLinePunct w:val="0"/>
        <w:bidi w:val="0"/>
        <w:adjustRightInd w:val="0"/>
        <w:snapToGrid w:val="0"/>
        <w:spacing w:line="480" w:lineRule="exact"/>
        <w:jc w:val="left"/>
        <w:textAlignment w:val="auto"/>
        <w:rPr>
          <w:rFonts w:hint="default" w:ascii="宋体" w:hAnsi="宋体" w:cs="宋体"/>
          <w:b/>
          <w:bCs/>
          <w:color w:val="auto"/>
          <w:sz w:val="24"/>
          <w:szCs w:val="24"/>
          <w:highlight w:val="none"/>
          <w:lang w:val="en-US" w:eastAsia="zh-CN"/>
        </w:rPr>
      </w:pPr>
    </w:p>
    <w:p w14:paraId="27412BE0">
      <w:pPr>
        <w:shd w:val="clear"/>
        <w:rPr>
          <w:rFonts w:hint="eastAsia" w:hAnsi="宋体" w:cs="宋体"/>
          <w:b/>
          <w:bCs/>
          <w:color w:val="auto"/>
          <w:szCs w:val="21"/>
          <w:highlight w:val="none"/>
        </w:rPr>
      </w:pPr>
    </w:p>
    <w:p w14:paraId="171F0E1A">
      <w:pPr>
        <w:pStyle w:val="2"/>
        <w:shd w:val="clear"/>
        <w:ind w:left="0" w:leftChars="0" w:firstLine="0" w:firstLineChars="0"/>
        <w:jc w:val="left"/>
        <w:rPr>
          <w:rFonts w:hint="default" w:eastAsia="宋体"/>
          <w:b/>
          <w:bCs/>
          <w:color w:val="auto"/>
          <w:highlight w:val="none"/>
          <w:lang w:val="en-US" w:eastAsia="zh-CN"/>
        </w:rPr>
      </w:pPr>
      <w:r>
        <w:rPr>
          <w:rFonts w:hint="eastAsia"/>
          <w:b/>
          <w:bCs/>
          <w:color w:val="auto"/>
          <w:highlight w:val="none"/>
          <w:lang w:val="en-US" w:eastAsia="zh-CN"/>
        </w:rPr>
        <w:t>第2包：</w:t>
      </w:r>
    </w:p>
    <w:p w14:paraId="0B88D88E">
      <w:pPr>
        <w:shd w:val="clear"/>
        <w:rPr>
          <w:color w:val="auto"/>
          <w:highlight w:val="none"/>
        </w:rPr>
      </w:pPr>
      <w:r>
        <w:rPr>
          <w:rFonts w:hint="eastAsia"/>
          <w:color w:val="auto"/>
          <w:highlight w:val="none"/>
          <w:lang w:val="en-US" w:eastAsia="zh-CN"/>
        </w:rPr>
        <w:t xml:space="preserve"> </w:t>
      </w:r>
    </w:p>
    <w:p w14:paraId="301B1CB5">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331FBD9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371B1D8D">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089F79D3">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37C6D20D">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7AD078DC">
      <w:pPr>
        <w:pStyle w:val="5"/>
        <w:shd w:val="clear"/>
        <w:snapToGrid w:val="0"/>
        <w:spacing w:line="272" w:lineRule="atLeast"/>
        <w:ind w:firstLine="0"/>
        <w:rPr>
          <w:rFonts w:ascii="宋体" w:hAnsi="宋体" w:eastAsia="宋体"/>
          <w:color w:val="auto"/>
          <w:sz w:val="21"/>
          <w:szCs w:val="21"/>
          <w:highlight w:val="none"/>
        </w:rPr>
      </w:pPr>
    </w:p>
    <w:p w14:paraId="475AEE4C">
      <w:pPr>
        <w:pStyle w:val="5"/>
        <w:shd w:val="clear"/>
        <w:snapToGrid w:val="0"/>
        <w:spacing w:line="272" w:lineRule="atLeast"/>
        <w:ind w:firstLine="0"/>
        <w:rPr>
          <w:rFonts w:ascii="宋体" w:hAnsi="宋体" w:eastAsia="宋体"/>
          <w:color w:val="auto"/>
          <w:sz w:val="21"/>
          <w:szCs w:val="21"/>
          <w:highlight w:val="none"/>
        </w:rPr>
      </w:pPr>
    </w:p>
    <w:p w14:paraId="062A47FF">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7CF2D483">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适配能力提升项目（第2包：测评服务）</w:t>
      </w:r>
      <w:r>
        <w:rPr>
          <w:rFonts w:hint="eastAsia" w:ascii="宋体" w:hAnsi="宋体"/>
          <w:color w:val="auto"/>
          <w:szCs w:val="21"/>
          <w:highlight w:val="none"/>
          <w:u w:val="single"/>
          <w:lang w:val="en-US" w:eastAsia="zh-CN"/>
        </w:rPr>
        <w:t xml:space="preserve">        </w:t>
      </w:r>
    </w:p>
    <w:p w14:paraId="553BC034">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5004E033">
      <w:pPr>
        <w:shd w:val="clear"/>
        <w:snapToGrid w:val="0"/>
        <w:spacing w:before="119" w:line="272" w:lineRule="atLeast"/>
        <w:rPr>
          <w:rFonts w:ascii="宋体" w:hAnsi="宋体"/>
          <w:color w:val="auto"/>
          <w:szCs w:val="21"/>
          <w:highlight w:val="none"/>
        </w:rPr>
      </w:pPr>
    </w:p>
    <w:p w14:paraId="3E983DBF">
      <w:pPr>
        <w:shd w:val="clear"/>
        <w:snapToGrid w:val="0"/>
        <w:spacing w:before="119" w:line="272" w:lineRule="atLeast"/>
        <w:rPr>
          <w:rFonts w:ascii="宋体" w:hAnsi="宋体"/>
          <w:color w:val="auto"/>
          <w:szCs w:val="21"/>
          <w:highlight w:val="none"/>
        </w:rPr>
      </w:pPr>
    </w:p>
    <w:p w14:paraId="05B6F0CF">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24E51BC">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52FD4D28">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397ED818">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52F9E60F">
      <w:pPr>
        <w:shd w:val="clear"/>
        <w:snapToGrid w:val="0"/>
        <w:spacing w:before="119" w:line="272" w:lineRule="atLeast"/>
        <w:ind w:left="958"/>
        <w:jc w:val="center"/>
        <w:rPr>
          <w:rFonts w:ascii="宋体" w:hAnsi="宋体"/>
          <w:color w:val="auto"/>
          <w:szCs w:val="21"/>
          <w:highlight w:val="none"/>
        </w:rPr>
      </w:pPr>
    </w:p>
    <w:p w14:paraId="774996E1">
      <w:pPr>
        <w:shd w:val="clear"/>
        <w:snapToGrid w:val="0"/>
        <w:spacing w:before="119" w:line="272" w:lineRule="atLeast"/>
        <w:ind w:left="958"/>
        <w:jc w:val="center"/>
        <w:rPr>
          <w:rFonts w:ascii="宋体" w:hAnsi="宋体"/>
          <w:color w:val="auto"/>
          <w:szCs w:val="21"/>
          <w:highlight w:val="none"/>
        </w:rPr>
      </w:pPr>
    </w:p>
    <w:p w14:paraId="5191FD7F">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签署日期：</w:t>
      </w:r>
      <w:r>
        <w:rPr>
          <w:rFonts w:cs="Times New Roman" w:asciiTheme="minorEastAsia" w:hAnsiTheme="minorEastAsia"/>
          <w:color w:val="auto"/>
          <w:szCs w:val="21"/>
          <w:highlight w:val="none"/>
          <w:u w:val="single"/>
        </w:rPr>
        <w:t xml:space="preserve">              </w:t>
      </w:r>
      <w:r>
        <w:rPr>
          <w:rFonts w:hint="default" w:cs="Times New Roman" w:asciiTheme="minorEastAsia" w:hAnsiTheme="minorEastAsia"/>
          <w:color w:val="auto"/>
          <w:szCs w:val="21"/>
          <w:highlight w:val="none"/>
          <w:u w:val="single"/>
          <w:lang w:val="en"/>
        </w:rPr>
        <w:t xml:space="preserve"> </w:t>
      </w:r>
      <w:r>
        <w:rPr>
          <w:rFonts w:cs="Times New Roman" w:asciiTheme="minorEastAsia" w:hAnsiTheme="minorEastAsia"/>
          <w:color w:val="auto"/>
          <w:szCs w:val="21"/>
          <w:highlight w:val="none"/>
          <w:u w:val="single"/>
        </w:rPr>
        <w:t xml:space="preserve"> </w:t>
      </w:r>
      <w:r>
        <w:rPr>
          <w:rFonts w:hint="eastAsia" w:cs="Times New Roman" w:asciiTheme="minorEastAsia" w:hAnsiTheme="minorEastAsia"/>
          <w:color w:val="auto"/>
          <w:szCs w:val="21"/>
          <w:highlight w:val="none"/>
          <w:u w:val="single"/>
          <w:lang w:val="en-US" w:eastAsia="zh-CN"/>
        </w:rPr>
        <w:t xml:space="preserve"> </w:t>
      </w:r>
      <w:r>
        <w:rPr>
          <w:rFonts w:cs="Times New Roman" w:asciiTheme="minorEastAsia" w:hAnsiTheme="minorEastAsia"/>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cs="Times New Roman" w:asciiTheme="minorEastAsia" w:hAnsiTheme="minorEastAsia"/>
          <w:color w:val="auto"/>
          <w:szCs w:val="21"/>
          <w:highlight w:val="none"/>
          <w:u w:val="single"/>
        </w:rPr>
        <w:t xml:space="preserve">          </w:t>
      </w:r>
      <w:r>
        <w:rPr>
          <w:rFonts w:hint="eastAsia" w:cs="Times New Roman" w:asciiTheme="minorEastAsia" w:hAnsiTheme="minorEastAsia"/>
          <w:color w:val="auto"/>
          <w:szCs w:val="21"/>
          <w:highlight w:val="none"/>
          <w:u w:val="single"/>
          <w:lang w:val="en-US" w:eastAsia="zh-CN"/>
        </w:rPr>
        <w:t xml:space="preserve"> </w:t>
      </w:r>
      <w:r>
        <w:rPr>
          <w:rFonts w:cs="Times New Roman" w:asciiTheme="minorEastAsia" w:hAnsiTheme="minorEastAsia"/>
          <w:color w:val="auto"/>
          <w:szCs w:val="21"/>
          <w:highlight w:val="none"/>
          <w:u w:val="single"/>
        </w:rPr>
        <w:t xml:space="preserve">       </w:t>
      </w:r>
    </w:p>
    <w:p w14:paraId="5F81D660">
      <w:pPr>
        <w:shd w:val="clear"/>
        <w:snapToGrid w:val="0"/>
        <w:spacing w:line="360" w:lineRule="auto"/>
        <w:ind w:left="958"/>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 xml:space="preserve">                                          </w:t>
      </w:r>
    </w:p>
    <w:p w14:paraId="14B5DA12">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5F196708">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（本合同为中小企业预留合同）</w:t>
      </w:r>
    </w:p>
    <w:p w14:paraId="4EC8BC2C">
      <w:pPr>
        <w:shd w:val="clear"/>
        <w:snapToGrid w:val="0"/>
        <w:spacing w:line="360" w:lineRule="auto"/>
        <w:jc w:val="center"/>
        <w:rPr>
          <w:rFonts w:cs="Times New Roman" w:asciiTheme="minorEastAsia" w:hAnsiTheme="minorEastAsia"/>
          <w:b/>
          <w:color w:val="auto"/>
          <w:szCs w:val="21"/>
          <w:highlight w:val="none"/>
        </w:rPr>
        <w:sectPr>
          <w:headerReference r:id="rId18" w:type="default"/>
          <w:pgSz w:w="11905" w:h="16838"/>
          <w:pgMar w:top="1440" w:right="1803" w:bottom="1440" w:left="1803" w:header="850" w:footer="992" w:gutter="0"/>
          <w:pgNumType w:fmt="decimal"/>
          <w:cols w:space="0" w:num="1"/>
          <w:rtlGutter w:val="0"/>
          <w:docGrid w:type="lines" w:linePitch="317" w:charSpace="0"/>
        </w:sectPr>
      </w:pPr>
    </w:p>
    <w:p w14:paraId="3A108DF8">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r>
        <w:rPr>
          <w:rFonts w:hint="eastAsia" w:ascii="宋体" w:hAnsi="宋体" w:eastAsia="宋体" w:cs="宋体"/>
          <w:color w:val="auto"/>
          <w:kern w:val="2"/>
          <w:sz w:val="21"/>
          <w:szCs w:val="21"/>
          <w:highlight w:val="none"/>
          <w:lang w:val="en-US" w:eastAsia="zh-CN" w:bidi="ar-SA"/>
        </w:rPr>
        <w:t>（以下简称“甲方”）</w:t>
      </w:r>
    </w:p>
    <w:p w14:paraId="6F7C2286">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kern w:val="0"/>
          <w:sz w:val="21"/>
          <w:szCs w:val="21"/>
          <w:highlight w:val="none"/>
          <w:lang w:val="en-US" w:eastAsia="zh-CN" w:bidi="ar-SA"/>
        </w:rPr>
        <w:t xml:space="preserve">：           </w:t>
      </w:r>
    </w:p>
    <w:p w14:paraId="1EB0D94F">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办公地址：北京市通州区清风路33号院4号楼</w:t>
      </w:r>
    </w:p>
    <w:p w14:paraId="2D613047">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p>
    <w:p w14:paraId="44197055">
      <w:pPr>
        <w:shd w:val="clear"/>
        <w:adjustRightInd w:val="0"/>
        <w:snapToGrid w:val="0"/>
        <w:spacing w:after="0" w:line="4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（以下简称“乙方”）</w:t>
      </w:r>
    </w:p>
    <w:p w14:paraId="19599910">
      <w:pPr>
        <w:widowControl w:val="0"/>
        <w:shd w:val="clear"/>
        <w:adjustRightInd w:val="0"/>
        <w:snapToGrid w:val="0"/>
        <w:spacing w:after="0" w:line="480" w:lineRule="exact"/>
        <w:ind w:left="0" w:leftChars="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cs="宋体"/>
          <w:color w:val="auto"/>
          <w:kern w:val="2"/>
          <w:sz w:val="21"/>
          <w:szCs w:val="21"/>
          <w:highlight w:val="none"/>
          <w:lang w:val="en-US" w:eastAsia="zh-CN" w:bidi="ar-SA"/>
        </w:rPr>
        <w:t>：</w:t>
      </w:r>
    </w:p>
    <w:p w14:paraId="7759562E">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SA"/>
        </w:rPr>
        <w:t>办公地址：</w:t>
      </w:r>
      <w:r>
        <w:rPr>
          <w:rFonts w:hint="eastAsia" w:ascii="宋体" w:hAnsi="宋体" w:eastAsia="宋体" w:cs="宋体"/>
          <w:color w:val="auto"/>
          <w:kern w:val="0"/>
          <w:sz w:val="21"/>
          <w:szCs w:val="21"/>
          <w:highlight w:val="none"/>
          <w:u w:val="none"/>
          <w:lang w:val="en-US" w:eastAsia="zh-CN" w:bidi="ar-SA"/>
        </w:rPr>
        <w:t xml:space="preserve"> </w:t>
      </w:r>
    </w:p>
    <w:p w14:paraId="3DFD2CCA">
      <w:pPr>
        <w:widowControl w:val="0"/>
        <w:shd w:val="clear"/>
        <w:adjustRightInd w:val="0"/>
        <w:snapToGrid w:val="0"/>
        <w:spacing w:after="0" w:line="480" w:lineRule="exact"/>
        <w:ind w:left="0" w:leftChars="0" w:firstLine="0"/>
        <w:jc w:val="both"/>
        <w:rPr>
          <w:rFonts w:ascii="宋体" w:hAnsi="宋体" w:eastAsia="宋体" w:cs="宋体"/>
          <w:color w:val="auto"/>
          <w:kern w:val="2"/>
          <w:sz w:val="21"/>
          <w:szCs w:val="21"/>
          <w:highlight w:val="none"/>
          <w:lang w:val="en-US" w:eastAsia="zh-CN" w:bidi="ar-SA"/>
        </w:rPr>
      </w:pPr>
    </w:p>
    <w:p w14:paraId="67E1E0D8">
      <w:pPr>
        <w:pStyle w:val="14"/>
        <w:shd w:val="clear"/>
        <w:adjustRightInd w:val="0"/>
        <w:snapToGrid w:val="0"/>
        <w:spacing w:line="480" w:lineRule="exact"/>
        <w:jc w:val="both"/>
        <w:rPr>
          <w:rFonts w:hAnsi="宋体" w:cs="宋体"/>
          <w:color w:val="auto"/>
          <w:sz w:val="21"/>
          <w:szCs w:val="21"/>
          <w:highlight w:val="none"/>
        </w:rPr>
      </w:pPr>
      <w:r>
        <w:rPr>
          <w:rFonts w:hint="eastAsia" w:hAnsi="宋体" w:cs="宋体"/>
          <w:color w:val="auto"/>
          <w:sz w:val="21"/>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积分落户管理信息系统适配能力提升项目（第2包：测评服务）</w:t>
      </w:r>
      <w:r>
        <w:rPr>
          <w:rFonts w:hint="eastAsia" w:hAnsi="宋体" w:cs="宋体"/>
          <w:color w:val="auto"/>
          <w:sz w:val="21"/>
          <w:szCs w:val="21"/>
          <w:highlight w:val="none"/>
        </w:rPr>
        <w:t>通过</w:t>
      </w:r>
      <w:r>
        <w:rPr>
          <w:rFonts w:hint="eastAsia" w:hAnsi="宋体" w:cs="宋体"/>
          <w:color w:val="auto"/>
          <w:sz w:val="21"/>
          <w:szCs w:val="21"/>
          <w:highlight w:val="none"/>
          <w:u w:val="single"/>
          <w:lang w:val="en-US" w:eastAsia="zh-Hans"/>
        </w:rPr>
        <w:t>竞争性磋商</w:t>
      </w:r>
      <w:r>
        <w:rPr>
          <w:rFonts w:hint="eastAsia" w:hAnsi="宋体" w:cs="宋体"/>
          <w:color w:val="auto"/>
          <w:sz w:val="21"/>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hAnsi="宋体" w:cs="宋体"/>
          <w:color w:val="auto"/>
          <w:sz w:val="21"/>
          <w:szCs w:val="21"/>
          <w:highlight w:val="none"/>
        </w:rPr>
        <w:t>为本项目</w:t>
      </w:r>
      <w:r>
        <w:rPr>
          <w:rFonts w:hint="eastAsia" w:hAnsi="宋体" w:cs="宋体"/>
          <w:color w:val="auto"/>
          <w:sz w:val="21"/>
          <w:szCs w:val="21"/>
          <w:highlight w:val="none"/>
          <w:lang w:val="en-US" w:eastAsia="zh-Hans"/>
        </w:rPr>
        <w:t>成交</w:t>
      </w:r>
      <w:r>
        <w:rPr>
          <w:rFonts w:hint="eastAsia" w:hAnsi="宋体" w:cs="宋体"/>
          <w:color w:val="auto"/>
          <w:sz w:val="21"/>
          <w:szCs w:val="21"/>
          <w:highlight w:val="none"/>
        </w:rPr>
        <w:t>人，依据《中华人民共和国民法典》的规定，甲乙双方经充分协商达成一致，签订本合同。</w:t>
      </w:r>
    </w:p>
    <w:p w14:paraId="4B894919">
      <w:pPr>
        <w:shd w:val="clear"/>
        <w:adjustRightInd w:val="0"/>
        <w:snapToGrid w:val="0"/>
        <w:spacing w:line="480" w:lineRule="exact"/>
        <w:ind w:left="420"/>
        <w:jc w:val="both"/>
        <w:outlineLvl w:val="0"/>
        <w:rPr>
          <w:rFonts w:ascii="宋体" w:hAnsi="宋体" w:cs="宋体"/>
          <w:b/>
          <w:color w:val="auto"/>
          <w:szCs w:val="21"/>
          <w:highlight w:val="none"/>
        </w:rPr>
      </w:pPr>
      <w:r>
        <w:rPr>
          <w:rFonts w:hint="eastAsia" w:ascii="宋体" w:hAnsi="宋体" w:cs="宋体"/>
          <w:b/>
          <w:color w:val="auto"/>
          <w:szCs w:val="21"/>
          <w:highlight w:val="none"/>
        </w:rPr>
        <w:t>一、定义</w:t>
      </w:r>
    </w:p>
    <w:p w14:paraId="244FF937">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2C6E49B3">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4DAF8EC1">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7FA0418F">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eastAsia="zh-CN"/>
        </w:rPr>
        <w:t>本项目</w:t>
      </w:r>
      <w:r>
        <w:rPr>
          <w:rFonts w:hint="eastAsia" w:ascii="宋体" w:hAnsi="宋体" w:cs="宋体"/>
          <w:color w:val="auto"/>
          <w:szCs w:val="21"/>
          <w:highlight w:val="none"/>
        </w:rPr>
        <w:t>服务或其任何部分的人员。</w:t>
      </w:r>
    </w:p>
    <w:p w14:paraId="7CE18F12">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 “服务”系指由乙方根据合同所实施的工作。</w:t>
      </w:r>
    </w:p>
    <w:p w14:paraId="4B58722E">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“甲方”系指北京市人力资源和社会保障局。</w:t>
      </w:r>
    </w:p>
    <w:p w14:paraId="38153BE1">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B9B3C56">
      <w:pPr>
        <w:shd w:val="clear"/>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“本项目”系指</w:t>
      </w:r>
      <w:r>
        <w:rPr>
          <w:rFonts w:hint="eastAsia" w:ascii="宋体" w:hAnsi="宋体" w:cs="宋体"/>
          <w:color w:val="auto"/>
          <w:szCs w:val="21"/>
          <w:highlight w:val="none"/>
          <w:u w:val="single"/>
        </w:rPr>
        <w:t>北京市人力资源和社会保障局积分落户管理信息系统适配能力提升项目（第2包：测评服务）</w:t>
      </w:r>
      <w:r>
        <w:rPr>
          <w:rFonts w:hint="eastAsia" w:ascii="宋体" w:hAnsi="宋体" w:cs="宋体"/>
          <w:color w:val="auto"/>
          <w:szCs w:val="21"/>
          <w:highlight w:val="none"/>
        </w:rPr>
        <w:t>。</w:t>
      </w:r>
    </w:p>
    <w:p w14:paraId="51C1F930">
      <w:pPr>
        <w:shd w:val="clear"/>
        <w:adjustRightInd w:val="0"/>
        <w:snapToGrid w:val="0"/>
        <w:spacing w:line="480" w:lineRule="exact"/>
        <w:ind w:firstLine="420" w:firstLineChars="200"/>
        <w:jc w:val="both"/>
        <w:rPr>
          <w:rFonts w:hint="eastAsia"/>
          <w:color w:val="auto"/>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 “</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”系指本项目</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内乙方按要求提供各项服务及相关文档，甲方及专家组对本项目</w:t>
      </w:r>
      <w:r>
        <w:rPr>
          <w:rFonts w:hint="eastAsia" w:ascii="宋体" w:hAnsi="宋体" w:cs="宋体"/>
          <w:color w:val="auto"/>
          <w:szCs w:val="21"/>
          <w:highlight w:val="none"/>
          <w:lang w:eastAsia="zh-CN"/>
        </w:rPr>
        <w:t>工作</w:t>
      </w:r>
      <w:r>
        <w:rPr>
          <w:rFonts w:hint="eastAsia" w:ascii="宋体" w:hAnsi="宋体" w:eastAsia="宋体" w:cs="宋体"/>
          <w:color w:val="auto"/>
          <w:szCs w:val="21"/>
          <w:highlight w:val="none"/>
        </w:rPr>
        <w:t>成果的最终验收。</w:t>
      </w:r>
    </w:p>
    <w:p w14:paraId="0C71C92F">
      <w:pPr>
        <w:shd w:val="clear"/>
        <w:adjustRightInd w:val="0"/>
        <w:snapToGrid w:val="0"/>
        <w:spacing w:line="480" w:lineRule="exact"/>
        <w:ind w:left="420"/>
        <w:jc w:val="both"/>
        <w:outlineLvl w:val="0"/>
        <w:rPr>
          <w:rFonts w:ascii="宋体" w:hAnsi="宋体" w:cs="宋体"/>
          <w:b/>
          <w:color w:val="auto"/>
          <w:szCs w:val="21"/>
          <w:highlight w:val="none"/>
        </w:rPr>
      </w:pPr>
      <w:r>
        <w:rPr>
          <w:rFonts w:hint="eastAsia" w:ascii="宋体" w:hAnsi="宋体" w:cs="宋体"/>
          <w:b/>
          <w:color w:val="auto"/>
          <w:szCs w:val="21"/>
          <w:highlight w:val="none"/>
        </w:rPr>
        <w:t>二、合同文件</w:t>
      </w:r>
    </w:p>
    <w:p w14:paraId="0A1AA059">
      <w:pPr>
        <w:shd w:val="clear"/>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下列文件构成本合同的组成部分，应当认为是一个整体，彼此相互解释，相互补充。为便于解释，组成合同的多个文件的优先支配地位的次序如下：</w:t>
      </w:r>
    </w:p>
    <w:p w14:paraId="0EE5F036">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本合同书</w:t>
      </w:r>
    </w:p>
    <w:p w14:paraId="67E52C03">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合同特殊条款</w:t>
      </w:r>
    </w:p>
    <w:p w14:paraId="7EE99CFA">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通知书（附件一）</w:t>
      </w:r>
    </w:p>
    <w:p w14:paraId="3AE24F78">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4. </w:t>
      </w:r>
      <w:r>
        <w:rPr>
          <w:rFonts w:hint="eastAsia" w:ascii="宋体" w:hAnsi="宋体" w:cs="宋体"/>
          <w:color w:val="auto"/>
          <w:szCs w:val="21"/>
          <w:highlight w:val="none"/>
          <w:lang w:val="en-US" w:eastAsia="zh-Hans"/>
        </w:rPr>
        <w:t>服务</w:t>
      </w:r>
      <w:r>
        <w:rPr>
          <w:rFonts w:hint="eastAsia" w:ascii="宋体" w:hAnsi="宋体" w:cs="宋体"/>
          <w:color w:val="auto"/>
          <w:szCs w:val="21"/>
          <w:highlight w:val="none"/>
        </w:rPr>
        <w:t>内容和方案（附件二）</w:t>
      </w:r>
    </w:p>
    <w:p w14:paraId="07708272">
      <w:pPr>
        <w:shd w:val="clear"/>
        <w:adjustRightInd w:val="0"/>
        <w:snapToGrid w:val="0"/>
        <w:spacing w:line="480" w:lineRule="exact"/>
        <w:ind w:firstLine="420" w:firstLineChars="200"/>
        <w:jc w:val="both"/>
        <w:rPr>
          <w:rFonts w:hint="default" w:ascii="宋体" w:hAnsi="宋体" w:cs="宋体"/>
          <w:color w:val="auto"/>
          <w:szCs w:val="21"/>
          <w:highlight w:val="none"/>
        </w:rPr>
      </w:pPr>
      <w:r>
        <w:rPr>
          <w:rFonts w:hint="eastAsia" w:ascii="宋体" w:hAnsi="宋体" w:cs="宋体"/>
          <w:color w:val="auto"/>
          <w:szCs w:val="21"/>
          <w:highlight w:val="none"/>
        </w:rPr>
        <w:t>5. 其他附件：</w:t>
      </w:r>
      <w:r>
        <w:rPr>
          <w:rFonts w:hint="eastAsia" w:ascii="宋体" w:hAnsi="宋体" w:cs="宋体"/>
          <w:color w:val="auto"/>
          <w:szCs w:val="21"/>
          <w:highlight w:val="none"/>
          <w:lang w:val="en"/>
        </w:rPr>
        <w:t>根据合同文本要求需要提供的技术文档、安全保密协议（附件三）</w:t>
      </w:r>
      <w:r>
        <w:rPr>
          <w:rFonts w:hint="eastAsia" w:ascii="宋体" w:hAnsi="宋体" w:cs="宋体"/>
          <w:color w:val="auto"/>
          <w:szCs w:val="21"/>
          <w:highlight w:val="none"/>
        </w:rPr>
        <w:t>、授权委托书（附件四）</w:t>
      </w:r>
      <w:r>
        <w:rPr>
          <w:rFonts w:hint="eastAsia" w:ascii="宋体" w:hAnsi="宋体" w:eastAsia="宋体" w:cs="宋体"/>
          <w:color w:val="auto"/>
          <w:szCs w:val="21"/>
          <w:highlight w:val="none"/>
          <w:lang w:val="en"/>
        </w:rPr>
        <w:t>等</w:t>
      </w:r>
      <w:r>
        <w:rPr>
          <w:rFonts w:hint="default" w:ascii="宋体" w:hAnsi="宋体" w:cs="宋体"/>
          <w:color w:val="auto"/>
          <w:szCs w:val="21"/>
          <w:highlight w:val="none"/>
        </w:rPr>
        <w:t>。</w:t>
      </w:r>
    </w:p>
    <w:p w14:paraId="497E2681">
      <w:pPr>
        <w:shd w:val="clear"/>
        <w:adjustRightInd w:val="0"/>
        <w:snapToGrid w:val="0"/>
        <w:spacing w:line="480" w:lineRule="exact"/>
        <w:ind w:left="420"/>
        <w:jc w:val="both"/>
        <w:outlineLvl w:val="0"/>
        <w:rPr>
          <w:rFonts w:hint="eastAsia" w:ascii="宋体" w:hAnsi="宋体" w:cs="宋体"/>
          <w:b/>
          <w:color w:val="auto"/>
          <w:szCs w:val="21"/>
          <w:highlight w:val="none"/>
        </w:rPr>
      </w:pPr>
      <w:r>
        <w:rPr>
          <w:rFonts w:hint="eastAsia" w:ascii="宋体" w:hAnsi="宋体" w:cs="宋体"/>
          <w:b/>
          <w:color w:val="auto"/>
          <w:szCs w:val="21"/>
          <w:highlight w:val="none"/>
          <w:lang w:val="en-US" w:eastAsia="zh-Hans"/>
        </w:rPr>
        <w:t>三</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服务</w:t>
      </w:r>
      <w:r>
        <w:rPr>
          <w:rFonts w:hint="eastAsia" w:ascii="宋体" w:hAnsi="宋体" w:cs="宋体"/>
          <w:b/>
          <w:color w:val="auto"/>
          <w:szCs w:val="21"/>
          <w:highlight w:val="none"/>
        </w:rPr>
        <w:t>内容</w:t>
      </w:r>
    </w:p>
    <w:p w14:paraId="20B160CF">
      <w:pPr>
        <w:pStyle w:val="14"/>
        <w:shd w:val="clear"/>
        <w:adjustRightInd w:val="0"/>
        <w:snapToGrid w:val="0"/>
        <w:spacing w:line="480" w:lineRule="exact"/>
        <w:jc w:val="both"/>
        <w:rPr>
          <w:rFonts w:hint="eastAsia" w:hAnsi="宋体" w:cstheme="minorEastAsia"/>
          <w:color w:val="auto"/>
          <w:sz w:val="21"/>
          <w:szCs w:val="21"/>
          <w:highlight w:val="none"/>
        </w:rPr>
      </w:pPr>
      <w:r>
        <w:rPr>
          <w:rFonts w:hint="eastAsia" w:hAnsi="宋体" w:cstheme="minorEastAsia"/>
          <w:color w:val="auto"/>
          <w:sz w:val="21"/>
          <w:szCs w:val="21"/>
          <w:highlight w:val="none"/>
        </w:rPr>
        <w:t>乙方为甲方所委托的</w:t>
      </w:r>
      <w:r>
        <w:rPr>
          <w:rFonts w:hint="eastAsia" w:hAnsi="宋体" w:cs="宋体"/>
          <w:color w:val="auto"/>
          <w:sz w:val="21"/>
          <w:szCs w:val="21"/>
          <w:highlight w:val="none"/>
          <w:u w:val="single"/>
        </w:rPr>
        <w:t>北京市人力资源和社会保障局积分落户管理信息系统适配能力提升项目（第2包：测评服务）</w:t>
      </w:r>
      <w:r>
        <w:rPr>
          <w:rFonts w:hint="eastAsia" w:hAnsi="宋体" w:cstheme="minorEastAsia"/>
          <w:color w:val="auto"/>
          <w:sz w:val="21"/>
          <w:szCs w:val="21"/>
          <w:highlight w:val="none"/>
          <w:u w:val="none"/>
          <w:lang w:val="en-US" w:eastAsia="zh-CN"/>
        </w:rPr>
        <w:t>提供</w:t>
      </w:r>
      <w:r>
        <w:rPr>
          <w:rFonts w:hint="eastAsia" w:hAnsi="宋体" w:cstheme="minorEastAsia"/>
          <w:color w:val="auto"/>
          <w:sz w:val="21"/>
          <w:szCs w:val="21"/>
          <w:highlight w:val="none"/>
        </w:rPr>
        <w:t>服务</w:t>
      </w:r>
      <w:r>
        <w:rPr>
          <w:rFonts w:hint="default" w:hAnsi="宋体" w:cstheme="minorEastAsia"/>
          <w:color w:val="auto"/>
          <w:sz w:val="21"/>
          <w:szCs w:val="21"/>
          <w:highlight w:val="none"/>
        </w:rPr>
        <w:t>，</w:t>
      </w:r>
      <w:r>
        <w:rPr>
          <w:rFonts w:hint="eastAsia" w:hAnsi="宋体" w:cstheme="minorEastAsia"/>
          <w:color w:val="auto"/>
          <w:sz w:val="21"/>
          <w:szCs w:val="21"/>
          <w:highlight w:val="none"/>
          <w:lang w:val="en-US" w:eastAsia="zh-Hans"/>
        </w:rPr>
        <w:t>乙方的</w:t>
      </w:r>
      <w:r>
        <w:rPr>
          <w:rFonts w:hint="eastAsia" w:hAnsi="宋体" w:cstheme="minorEastAsia"/>
          <w:color w:val="auto"/>
          <w:sz w:val="21"/>
          <w:szCs w:val="21"/>
          <w:highlight w:val="none"/>
          <w:lang w:val="en-US" w:eastAsia="zh-CN"/>
        </w:rPr>
        <w:t>服务</w:t>
      </w:r>
      <w:r>
        <w:rPr>
          <w:rFonts w:hint="eastAsia" w:hAnsi="宋体" w:cstheme="minorEastAsia"/>
          <w:color w:val="auto"/>
          <w:sz w:val="21"/>
          <w:szCs w:val="21"/>
          <w:highlight w:val="none"/>
          <w:lang w:val="en-US" w:eastAsia="zh-Hans"/>
        </w:rPr>
        <w:t>内容和方案详见附件二</w:t>
      </w:r>
      <w:r>
        <w:rPr>
          <w:rFonts w:hint="eastAsia" w:hAnsi="宋体" w:cstheme="minorEastAsia"/>
          <w:color w:val="auto"/>
          <w:sz w:val="21"/>
          <w:szCs w:val="21"/>
          <w:highlight w:val="none"/>
        </w:rPr>
        <w:t>。</w:t>
      </w:r>
    </w:p>
    <w:p w14:paraId="53975432">
      <w:pPr>
        <w:shd w:val="clear"/>
        <w:adjustRightInd w:val="0"/>
        <w:snapToGrid w:val="0"/>
        <w:spacing w:line="480" w:lineRule="exact"/>
        <w:ind w:left="420"/>
        <w:jc w:val="both"/>
        <w:outlineLvl w:val="0"/>
        <w:rPr>
          <w:rFonts w:hint="eastAsia" w:ascii="宋体" w:hAnsi="宋体" w:cstheme="minorEastAsia"/>
          <w:b/>
          <w:color w:val="auto"/>
          <w:szCs w:val="21"/>
          <w:highlight w:val="none"/>
          <w:lang w:val="en-US" w:eastAsia="zh-CN"/>
        </w:rPr>
      </w:pPr>
      <w:r>
        <w:rPr>
          <w:rFonts w:hint="eastAsia" w:ascii="宋体" w:hAnsi="宋体" w:cstheme="minorEastAsia"/>
          <w:b/>
          <w:color w:val="auto"/>
          <w:szCs w:val="21"/>
          <w:highlight w:val="none"/>
          <w:lang w:val="en-US" w:eastAsia="zh-CN"/>
        </w:rPr>
        <w:t>四、服务期限和地点</w:t>
      </w:r>
    </w:p>
    <w:p w14:paraId="202501AD">
      <w:pPr>
        <w:keepNext w:val="0"/>
        <w:keepLines w:val="0"/>
        <w:pageBreakBefore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期限</w:t>
      </w:r>
      <w:r>
        <w:rPr>
          <w:rFonts w:hint="eastAsia" w:ascii="宋体" w:hAnsi="宋体" w:cs="宋体"/>
          <w:color w:val="auto"/>
          <w:szCs w:val="21"/>
          <w:highlight w:val="none"/>
        </w:rPr>
        <w:t>：自合同签订之日起至北京市人力资源和社会保障局积分落户管理信息系统适配能力提升项目全部竣工并通过终验之日止。</w:t>
      </w:r>
    </w:p>
    <w:p w14:paraId="56260B7C">
      <w:pPr>
        <w:shd w:val="clear"/>
        <w:adjustRightInd w:val="0"/>
        <w:snapToGrid w:val="0"/>
        <w:spacing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服务地点：甲方指定的服务地点</w:t>
      </w:r>
      <w:r>
        <w:rPr>
          <w:rFonts w:hint="eastAsia" w:ascii="宋体" w:hAnsi="宋体" w:eastAsia="宋体" w:cs="宋体"/>
          <w:color w:val="auto"/>
          <w:sz w:val="21"/>
          <w:szCs w:val="21"/>
          <w:highlight w:val="none"/>
        </w:rPr>
        <w:t>。</w:t>
      </w:r>
    </w:p>
    <w:p w14:paraId="09739AA1">
      <w:pPr>
        <w:shd w:val="clear"/>
        <w:adjustRightInd w:val="0"/>
        <w:snapToGrid w:val="0"/>
        <w:spacing w:line="480" w:lineRule="exact"/>
        <w:ind w:left="420"/>
        <w:jc w:val="both"/>
        <w:outlineLvl w:val="0"/>
        <w:rPr>
          <w:rFonts w:hint="eastAsia" w:ascii="宋体" w:hAnsi="宋体" w:eastAsia="宋体" w:cstheme="minorEastAsia"/>
          <w:b/>
          <w:color w:val="auto"/>
          <w:szCs w:val="21"/>
          <w:highlight w:val="none"/>
        </w:rPr>
      </w:pPr>
      <w:r>
        <w:rPr>
          <w:rFonts w:hint="eastAsia" w:ascii="宋体" w:hAnsi="宋体" w:cstheme="minorEastAsia"/>
          <w:b/>
          <w:color w:val="auto"/>
          <w:szCs w:val="21"/>
          <w:highlight w:val="none"/>
          <w:lang w:val="en-US" w:eastAsia="zh-CN"/>
        </w:rPr>
        <w:t>五</w:t>
      </w:r>
      <w:r>
        <w:rPr>
          <w:rFonts w:hint="eastAsia" w:ascii="宋体" w:hAnsi="宋体" w:eastAsia="宋体" w:cstheme="minorEastAsia"/>
          <w:b/>
          <w:color w:val="auto"/>
          <w:szCs w:val="21"/>
          <w:highlight w:val="none"/>
        </w:rPr>
        <w:t>、</w:t>
      </w:r>
      <w:r>
        <w:rPr>
          <w:rFonts w:hint="eastAsia" w:ascii="宋体" w:hAnsi="宋体" w:cstheme="minorEastAsia"/>
          <w:b/>
          <w:color w:val="auto"/>
          <w:szCs w:val="21"/>
          <w:highlight w:val="none"/>
          <w:lang w:val="en-US" w:eastAsia="zh-Hans"/>
        </w:rPr>
        <w:t>付款条件和</w:t>
      </w:r>
      <w:r>
        <w:rPr>
          <w:rFonts w:hint="eastAsia" w:ascii="宋体" w:hAnsi="宋体" w:eastAsia="宋体" w:cstheme="minorEastAsia"/>
          <w:b/>
          <w:color w:val="auto"/>
          <w:szCs w:val="21"/>
          <w:highlight w:val="none"/>
        </w:rPr>
        <w:t>方式</w:t>
      </w:r>
    </w:p>
    <w:p w14:paraId="78F4F090">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eastAsia="宋体" w:cs="宋体"/>
          <w:color w:val="auto"/>
          <w:szCs w:val="21"/>
          <w:highlight w:val="none"/>
          <w:lang w:val="en-US" w:eastAsia="zh-CN"/>
        </w:rPr>
        <w:t xml:space="preserve">1. </w:t>
      </w:r>
      <w:r>
        <w:rPr>
          <w:rFonts w:hint="eastAsia" w:ascii="宋体" w:hAnsi="宋体" w:cs="宋体"/>
          <w:color w:val="auto"/>
          <w:szCs w:val="21"/>
          <w:highlight w:val="none"/>
        </w:rPr>
        <w:t>本项目合同款总额为人民币</w:t>
      </w:r>
      <w:r>
        <w:rPr>
          <w:rFonts w:hint="eastAsia" w:ascii="文泉驿微米黑" w:hAnsi="文泉驿微米黑" w:eastAsia="文泉驿微米黑" w:cs="文泉驿微米黑"/>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r>
        <w:rPr>
          <w:rFonts w:hint="eastAsia" w:ascii="宋体" w:hAnsi="宋体" w:eastAsia="宋体" w:cs="宋体"/>
          <w:color w:val="auto"/>
          <w:kern w:val="2"/>
          <w:sz w:val="21"/>
          <w:szCs w:val="21"/>
          <w:highlight w:val="none"/>
          <w:lang w:val="en-US" w:eastAsia="zh-CN" w:bidi="ar-SA"/>
        </w:rPr>
        <w:t>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r>
        <w:rPr>
          <w:rFonts w:hint="eastAsia" w:ascii="宋体" w:hAnsi="宋体" w:cs="宋体"/>
          <w:color w:val="auto"/>
          <w:szCs w:val="21"/>
          <w:highlight w:val="none"/>
        </w:rPr>
        <w:t>。</w:t>
      </w:r>
    </w:p>
    <w:p w14:paraId="41DB975A">
      <w:pPr>
        <w:shd w:val="clear"/>
        <w:adjustRightInd w:val="0"/>
        <w:snapToGrid w:val="0"/>
        <w:spacing w:line="480" w:lineRule="exact"/>
        <w:ind w:firstLine="420" w:firstLineChars="200"/>
        <w:jc w:val="both"/>
        <w:rPr>
          <w:rFonts w:hint="default" w:ascii="宋体" w:hAnsi="宋体" w:eastAsia="宋体" w:cs="宋体"/>
          <w:color w:val="auto"/>
          <w:szCs w:val="21"/>
          <w:highlight w:val="none"/>
          <w:lang w:eastAsia="zh-CN"/>
        </w:rPr>
      </w:pPr>
      <w:r>
        <w:rPr>
          <w:rFonts w:hint="default" w:ascii="宋体" w:hAnsi="宋体" w:cs="宋体"/>
          <w:color w:val="auto"/>
          <w:szCs w:val="21"/>
          <w:highlight w:val="none"/>
          <w:lang w:eastAsia="zh-CN"/>
        </w:rPr>
        <w:t>2</w:t>
      </w:r>
      <w:r>
        <w:rPr>
          <w:rFonts w:hint="eastAsia" w:ascii="宋体" w:hAnsi="宋体" w:cs="宋体"/>
          <w:color w:val="auto"/>
          <w:szCs w:val="21"/>
          <w:highlight w:val="none"/>
          <w:lang w:val="en-US" w:eastAsia="zh-Hans"/>
        </w:rPr>
        <w:t>.</w:t>
      </w:r>
      <w:r>
        <w:rPr>
          <w:rFonts w:hint="default" w:ascii="宋体" w:hAnsi="宋体" w:cs="宋体"/>
          <w:color w:val="auto"/>
          <w:szCs w:val="21"/>
          <w:highlight w:val="none"/>
          <w:lang w:eastAsia="zh-Hans"/>
        </w:rPr>
        <w:t xml:space="preserve"> </w:t>
      </w:r>
      <w:r>
        <w:rPr>
          <w:rFonts w:hint="eastAsia" w:ascii="宋体" w:hAnsi="宋体" w:cs="宋体"/>
          <w:color w:val="auto"/>
          <w:szCs w:val="21"/>
          <w:highlight w:val="none"/>
          <w:lang w:val="en-US" w:eastAsia="zh-Hans"/>
        </w:rPr>
        <w:t>付款</w:t>
      </w:r>
      <w:r>
        <w:rPr>
          <w:rFonts w:hint="eastAsia" w:ascii="宋体" w:hAnsi="宋体" w:eastAsia="宋体" w:cs="宋体"/>
          <w:color w:val="auto"/>
          <w:szCs w:val="21"/>
          <w:highlight w:val="none"/>
          <w:lang w:val="en-US" w:eastAsia="zh-CN"/>
        </w:rPr>
        <w:t>方式</w:t>
      </w:r>
    </w:p>
    <w:p w14:paraId="53B34859">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3E7E7C7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w:t>
      </w:r>
      <w:r>
        <w:rPr>
          <w:rFonts w:hint="eastAsia" w:ascii="宋体" w:hAnsi="宋体" w:cs="宋体"/>
          <w:color w:val="auto"/>
          <w:szCs w:val="21"/>
          <w:highlight w:val="none"/>
          <w:u w:val="none"/>
          <w:lang w:val="en-US" w:eastAsia="zh-CN"/>
        </w:rPr>
        <w:t>1</w:t>
      </w:r>
      <w:r>
        <w:rPr>
          <w:rFonts w:hint="default" w:ascii="宋体" w:hAnsi="宋体" w:cs="宋体"/>
          <w:color w:val="auto"/>
          <w:szCs w:val="21"/>
          <w:highlight w:val="none"/>
          <w:u w:val="none"/>
        </w:rPr>
        <w:t>0</w:t>
      </w:r>
      <w:r>
        <w:rPr>
          <w:rFonts w:hint="eastAsia" w:ascii="宋体" w:hAnsi="宋体" w:cs="宋体"/>
          <w:color w:val="auto"/>
          <w:szCs w:val="21"/>
          <w:highlight w:val="none"/>
          <w:u w:val="none"/>
          <w:lang w:val="en-US" w:eastAsia="zh-Hans"/>
        </w:rPr>
        <w:t>个工作日内</w:t>
      </w:r>
      <w:r>
        <w:rPr>
          <w:rFonts w:hint="eastAsia" w:ascii="宋体" w:hAnsi="宋体" w:cs="宋体"/>
          <w:color w:val="auto"/>
          <w:szCs w:val="21"/>
          <w:highlight w:val="none"/>
          <w:u w:val="none"/>
          <w:lang w:val="en-US" w:eastAsia="zh-CN"/>
        </w:rPr>
        <w:t>向</w:t>
      </w:r>
      <w:r>
        <w:rPr>
          <w:rFonts w:hint="eastAsia" w:ascii="宋体" w:hAnsi="宋体" w:cs="宋体"/>
          <w:color w:val="auto"/>
          <w:szCs w:val="21"/>
          <w:highlight w:val="none"/>
        </w:rPr>
        <w:t>乙方</w:t>
      </w:r>
      <w:r>
        <w:rPr>
          <w:rFonts w:hint="eastAsia" w:ascii="宋体" w:hAnsi="宋体" w:cs="宋体"/>
          <w:color w:val="auto"/>
          <w:szCs w:val="21"/>
          <w:highlight w:val="none"/>
          <w:u w:val="none"/>
          <w:lang w:val="en-US" w:eastAsia="zh-Hans"/>
        </w:rPr>
        <w:t>支付</w:t>
      </w:r>
      <w:r>
        <w:rPr>
          <w:rFonts w:hint="eastAsia" w:ascii="宋体" w:hAnsi="宋体" w:cs="宋体"/>
          <w:color w:val="auto"/>
          <w:szCs w:val="21"/>
          <w:highlight w:val="none"/>
        </w:rPr>
        <w:t>合同款总额，即人民币</w:t>
      </w:r>
      <w:r>
        <w:rPr>
          <w:rFonts w:hint="eastAsia" w:ascii="文泉驿微米黑" w:hAnsi="文泉驿微米黑" w:eastAsia="文泉驿微米黑" w:cs="文泉驿微米黑"/>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w:t>
      </w:r>
      <w:r>
        <w:rPr>
          <w:rFonts w:hint="eastAsia" w:ascii="宋体" w:hAnsi="宋体" w:cs="宋体"/>
          <w:color w:val="auto"/>
          <w:kern w:val="2"/>
          <w:sz w:val="21"/>
          <w:szCs w:val="21"/>
          <w:highlight w:val="none"/>
          <w:lang w:val="en-US" w:eastAsia="zh-CN" w:bidi="ar"/>
        </w:rPr>
        <w:t>等</w:t>
      </w:r>
      <w:r>
        <w:rPr>
          <w:rFonts w:hint="eastAsia" w:ascii="宋体" w:hAnsi="宋体" w:eastAsia="宋体" w:cs="宋体"/>
          <w:color w:val="auto"/>
          <w:kern w:val="2"/>
          <w:sz w:val="21"/>
          <w:szCs w:val="21"/>
          <w:highlight w:val="none"/>
          <w:lang w:val="en-US" w:eastAsia="zh-CN" w:bidi="ar"/>
        </w:rPr>
        <w:t>。</w:t>
      </w:r>
    </w:p>
    <w:p w14:paraId="5FBD17E7">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5CADE9B5">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7F54572B">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09EFC93D">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01DED01F">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32CB281A">
      <w:pPr>
        <w:shd w:val="clear"/>
        <w:adjustRightInd w:val="0"/>
        <w:snapToGrid w:val="0"/>
        <w:spacing w:line="480" w:lineRule="exact"/>
        <w:ind w:left="420"/>
        <w:jc w:val="both"/>
        <w:outlineLvl w:val="0"/>
        <w:rPr>
          <w:rFonts w:hint="default" w:ascii="宋体" w:hAnsi="宋体" w:cstheme="minorEastAsia"/>
          <w:b/>
          <w:color w:val="auto"/>
          <w:szCs w:val="21"/>
          <w:highlight w:val="none"/>
          <w:lang w:val="en-US" w:eastAsia="zh-Hans"/>
        </w:rPr>
      </w:pPr>
      <w:r>
        <w:rPr>
          <w:rFonts w:hint="eastAsia" w:ascii="宋体" w:hAnsi="宋体" w:cstheme="minorEastAsia"/>
          <w:b/>
          <w:color w:val="auto"/>
          <w:szCs w:val="21"/>
          <w:highlight w:val="none"/>
          <w:lang w:val="en-US" w:eastAsia="zh-CN"/>
        </w:rPr>
        <w:t>六</w:t>
      </w:r>
      <w:r>
        <w:rPr>
          <w:rFonts w:hint="default" w:ascii="宋体" w:hAnsi="宋体" w:cstheme="minorEastAsia"/>
          <w:b/>
          <w:color w:val="auto"/>
          <w:szCs w:val="21"/>
          <w:highlight w:val="none"/>
          <w:lang w:eastAsia="zh-Hans"/>
        </w:rPr>
        <w:t>、</w:t>
      </w:r>
      <w:r>
        <w:rPr>
          <w:rFonts w:hint="default" w:ascii="宋体" w:hAnsi="宋体" w:cstheme="minorEastAsia"/>
          <w:b/>
          <w:color w:val="auto"/>
          <w:szCs w:val="21"/>
          <w:highlight w:val="none"/>
          <w:lang w:val="en-US" w:eastAsia="zh-Hans"/>
        </w:rPr>
        <w:t>履约保函</w:t>
      </w:r>
    </w:p>
    <w:p w14:paraId="0956E3ED">
      <w:pPr>
        <w:keepNext w:val="0"/>
        <w:keepLines w:val="0"/>
        <w:pageBreakBefore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p>
    <w:p w14:paraId="20EF9C4A">
      <w:pPr>
        <w:keepNext w:val="0"/>
        <w:keepLines w:val="0"/>
        <w:pageBreakBefore w:val="0"/>
        <w:shd w:val="clear"/>
        <w:kinsoku/>
        <w:wordWrap/>
        <w:overflowPunct/>
        <w:topLinePunct w:val="0"/>
        <w:bidi w:val="0"/>
        <w:adjustRightInd w:val="0"/>
        <w:snapToGrid w:val="0"/>
        <w:spacing w:line="480" w:lineRule="exact"/>
        <w:ind w:firstLine="0" w:firstLineChars="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hint="eastAsia" w:ascii="宋体" w:hAnsi="宋体" w:cs="宋体"/>
          <w:color w:val="auto"/>
          <w:szCs w:val="21"/>
          <w:highlight w:val="none"/>
          <w:u w:val="single"/>
          <w:lang w:val="en-US" w:eastAsia="zh-CN"/>
        </w:rPr>
        <w:t>202X</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none"/>
          <w:lang w:val="en" w:eastAsia="zh-CN"/>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rPr>
        <w:t>。</w:t>
      </w:r>
    </w:p>
    <w:p w14:paraId="39F84AC2">
      <w:pPr>
        <w:keepNext w:val="0"/>
        <w:keepLines w:val="0"/>
        <w:pageBreakBefore w:val="0"/>
        <w:widowControl/>
        <w:shd w:val="clear"/>
        <w:kinsoku/>
        <w:wordWrap/>
        <w:overflowPunct/>
        <w:topLinePunct w:val="0"/>
        <w:bidi w:val="0"/>
        <w:adjustRightInd w:val="0"/>
        <w:snapToGrid w:val="0"/>
        <w:spacing w:line="480" w:lineRule="exact"/>
        <w:ind w:left="0" w:leftChars="0" w:firstLine="422" w:firstLineChars="200"/>
        <w:jc w:val="both"/>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七、权利和义务</w:t>
      </w:r>
    </w:p>
    <w:p w14:paraId="76EA5C7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 w:val="21"/>
          <w:szCs w:val="21"/>
          <w:highlight w:val="none"/>
        </w:rPr>
        <w:t>甲方的权利和义务</w:t>
      </w:r>
    </w:p>
    <w:p w14:paraId="12EA4E4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（1）甲方有权得到符合合同要求的服务。</w:t>
      </w:r>
    </w:p>
    <w:p w14:paraId="1890C06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（2）甲方有权拒绝乙方所委派的但其业务素质不被甲方所认可，或不遵守甲方工作场所规章制度的服务人员，甲方要求更换服务人员的，乙方应在7日内完成更换。</w:t>
      </w:r>
    </w:p>
    <w:p w14:paraId="1E599FA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（3）甲方有权要求乙方提供与服务内容有关的相关信息。</w:t>
      </w:r>
    </w:p>
    <w:p w14:paraId="4FCCBB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（4）甲方有权随时当面问询</w:t>
      </w:r>
      <w:r>
        <w:rPr>
          <w:rFonts w:hint="eastAsia" w:ascii="宋体" w:hAnsi="宋体" w:cs="宋体"/>
          <w:color w:val="auto"/>
          <w:sz w:val="21"/>
          <w:szCs w:val="21"/>
          <w:highlight w:val="none"/>
          <w:lang w:eastAsia="zh-CN"/>
        </w:rPr>
        <w:t>本项目</w:t>
      </w:r>
      <w:r>
        <w:rPr>
          <w:rFonts w:hint="eastAsia" w:ascii="宋体" w:hAnsi="宋体" w:eastAsia="宋体" w:cs="宋体"/>
          <w:color w:val="auto"/>
          <w:sz w:val="21"/>
          <w:szCs w:val="21"/>
          <w:highlight w:val="none"/>
        </w:rPr>
        <w:t>相关问题，乙方</w:t>
      </w:r>
      <w:r>
        <w:rPr>
          <w:rFonts w:hint="eastAsia" w:ascii="宋体" w:hAnsi="宋体" w:cs="宋体"/>
          <w:color w:val="auto"/>
          <w:sz w:val="21"/>
          <w:szCs w:val="21"/>
          <w:highlight w:val="none"/>
          <w:lang w:eastAsia="zh-CN"/>
        </w:rPr>
        <w:t>需予以</w:t>
      </w:r>
      <w:r>
        <w:rPr>
          <w:rFonts w:hint="eastAsia" w:ascii="宋体" w:hAnsi="宋体" w:eastAsia="宋体" w:cs="宋体"/>
          <w:color w:val="auto"/>
          <w:sz w:val="21"/>
          <w:szCs w:val="21"/>
          <w:highlight w:val="none"/>
        </w:rPr>
        <w:t>配合，保障甲方工作的顺利进行。</w:t>
      </w:r>
    </w:p>
    <w:p w14:paraId="4B2F29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（5）甲方有权要求乙方配合受甲方委托的监理单位对项目实施情况进行检验、确认。</w:t>
      </w:r>
    </w:p>
    <w:p w14:paraId="617FEE46">
      <w:pPr>
        <w:pStyle w:val="25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）甲方有权在网络和数据安全方面对乙方进行监督管理及考核，包括但不限于数据的使用、存储、处理等。</w:t>
      </w:r>
    </w:p>
    <w:p w14:paraId="2FD5A5C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）甲方应按合同约定向乙方支付合同款。</w:t>
      </w:r>
    </w:p>
    <w:p w14:paraId="12F00FD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）甲方需向乙方提供服务所必</w:t>
      </w:r>
      <w:r>
        <w:rPr>
          <w:rFonts w:hint="eastAsia" w:ascii="宋体" w:hAnsi="宋体" w:cs="宋体"/>
          <w:color w:val="auto"/>
          <w:sz w:val="21"/>
          <w:szCs w:val="21"/>
          <w:highlight w:val="none"/>
          <w:lang w:eastAsia="zh-CN"/>
        </w:rPr>
        <w:t>需</w:t>
      </w:r>
      <w:r>
        <w:rPr>
          <w:rFonts w:hint="eastAsia" w:ascii="宋体" w:hAnsi="宋体" w:eastAsia="宋体" w:cs="宋体"/>
          <w:color w:val="auto"/>
          <w:sz w:val="21"/>
          <w:szCs w:val="21"/>
          <w:highlight w:val="none"/>
        </w:rPr>
        <w:t>的人力、设备和环境资源的配合。</w:t>
      </w:r>
    </w:p>
    <w:p w14:paraId="70A9EB6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）甲方应保守乙方的技术秘密和商业秘密。</w:t>
      </w:r>
    </w:p>
    <w:p w14:paraId="4141A9A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乙方的权利和义务</w:t>
      </w:r>
    </w:p>
    <w:p w14:paraId="1180353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（1）乙方有权按照合同的约定向甲方收取合同款。</w:t>
      </w:r>
    </w:p>
    <w:p w14:paraId="0A389BF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）乙方应按照本合同</w:t>
      </w:r>
      <w:r>
        <w:rPr>
          <w:rFonts w:hint="eastAsia" w:ascii="宋体" w:hAnsi="宋体" w:cs="宋体"/>
          <w:color w:val="auto"/>
          <w:sz w:val="21"/>
          <w:szCs w:val="21"/>
          <w:highlight w:val="none"/>
          <w:lang w:eastAsia="zh-CN"/>
        </w:rPr>
        <w:t>及甲方</w:t>
      </w:r>
      <w:r>
        <w:rPr>
          <w:rFonts w:hint="eastAsia" w:ascii="宋体" w:hAnsi="宋体" w:eastAsia="宋体" w:cs="宋体"/>
          <w:color w:val="auto"/>
          <w:sz w:val="21"/>
          <w:szCs w:val="21"/>
          <w:highlight w:val="none"/>
        </w:rPr>
        <w:t>要求的服务内容，及时有效的完成规定的服务工作。</w:t>
      </w:r>
    </w:p>
    <w:p w14:paraId="386A68FE">
      <w:pPr>
        <w:pStyle w:val="257"/>
        <w:shd w:val="clear"/>
        <w:adjustRightInd w:val="0"/>
        <w:snapToGrid w:val="0"/>
        <w:spacing w:line="48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）乙方应保证在本合同有效期期内具备国家法律法规规定的相应资质，乙方应成立专门的</w:t>
      </w:r>
      <w:r>
        <w:rPr>
          <w:rFonts w:hint="eastAsia"/>
          <w:color w:val="auto"/>
          <w:highlight w:val="none"/>
          <w:lang w:eastAsia="zh-CN"/>
        </w:rPr>
        <w:t>项目</w:t>
      </w:r>
      <w:r>
        <w:rPr>
          <w:rFonts w:hint="eastAsia"/>
          <w:color w:val="auto"/>
          <w:highlight w:val="none"/>
        </w:rPr>
        <w:t>团队，</w:t>
      </w:r>
      <w:r>
        <w:rPr>
          <w:rFonts w:hint="eastAsia"/>
          <w:color w:val="auto"/>
          <w:highlight w:val="none"/>
          <w:lang w:eastAsia="zh-CN"/>
        </w:rPr>
        <w:t>团队</w:t>
      </w:r>
      <w:r>
        <w:rPr>
          <w:rFonts w:hint="eastAsia"/>
          <w:color w:val="auto"/>
          <w:highlight w:val="none"/>
        </w:rPr>
        <w:t>人员数量及资质不得低于应答采购需求时提供的人员数量及资质（</w:t>
      </w:r>
      <w:r>
        <w:rPr>
          <w:rFonts w:hint="eastAsia"/>
          <w:color w:val="auto"/>
          <w:highlight w:val="none"/>
          <w:lang w:eastAsia="zh-CN"/>
        </w:rPr>
        <w:t>团队</w:t>
      </w:r>
      <w:r>
        <w:rPr>
          <w:rFonts w:hint="eastAsia"/>
          <w:color w:val="auto"/>
          <w:highlight w:val="none"/>
        </w:rPr>
        <w:t>人员名单报甲方备存），</w:t>
      </w:r>
      <w:r>
        <w:rPr>
          <w:rFonts w:hint="eastAsia"/>
          <w:color w:val="auto"/>
          <w:highlight w:val="none"/>
          <w:lang w:eastAsia="zh-CN"/>
        </w:rPr>
        <w:t>团队</w:t>
      </w:r>
      <w:r>
        <w:rPr>
          <w:rFonts w:hint="eastAsia"/>
          <w:color w:val="auto"/>
          <w:highlight w:val="none"/>
          <w:lang w:val="zh-CN"/>
        </w:rPr>
        <w:t>人员</w:t>
      </w:r>
      <w:r>
        <w:rPr>
          <w:rFonts w:hint="eastAsia"/>
          <w:color w:val="auto"/>
          <w:highlight w:val="none"/>
        </w:rPr>
        <w:t>在项目实施及试运行期间应稳定不变，如需进行人员变更，应在征得甲方同意后进行变更。</w:t>
      </w:r>
      <w:r>
        <w:rPr>
          <w:rFonts w:hint="eastAsia"/>
          <w:color w:val="auto"/>
          <w:highlight w:val="none"/>
          <w:lang w:eastAsia="zh-CN"/>
        </w:rPr>
        <w:t>团队</w:t>
      </w:r>
      <w:r>
        <w:rPr>
          <w:rFonts w:hint="eastAsia"/>
          <w:color w:val="auto"/>
          <w:highlight w:val="none"/>
        </w:rPr>
        <w:t>人员必须签署保密协议，必须明了其工作内容和要求。</w:t>
      </w:r>
    </w:p>
    <w:p w14:paraId="3D2D425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乙方应于合同签订后10个工作日内制定相关工作制度、工作流程、工作标准，报甲方备存。乙方应建立相关档案。对服务过程中的技术文档按照甲方要求妥善保存，对于服务过程中的重要事项如实记录，并经双方人员签字确认。</w:t>
      </w:r>
    </w:p>
    <w:p w14:paraId="65C9FF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）乙方在履行服务过程中，若涉及对甲方网络或系统进行调整的，应</w:t>
      </w:r>
      <w:r>
        <w:rPr>
          <w:rFonts w:hint="eastAsia" w:ascii="宋体" w:hAnsi="宋体" w:eastAsia="宋体" w:cs="宋体"/>
          <w:color w:val="auto"/>
          <w:kern w:val="2"/>
          <w:sz w:val="21"/>
          <w:szCs w:val="21"/>
          <w:highlight w:val="none"/>
          <w:lang w:val="en-US" w:eastAsia="zh-CN" w:bidi="ar-SA"/>
        </w:rPr>
        <w:t>提前3天</w:t>
      </w:r>
      <w:r>
        <w:rPr>
          <w:rFonts w:hint="eastAsia" w:ascii="宋体" w:hAnsi="宋体" w:eastAsia="宋体" w:cs="宋体"/>
          <w:color w:val="auto"/>
          <w:sz w:val="21"/>
          <w:szCs w:val="21"/>
          <w:highlight w:val="none"/>
        </w:rPr>
        <w:t>通知甲方</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相应的系统数据备份等准备工作，并明示具体的操作方法，采用的操作工具、操作步骤以及可能出现的风险，经甲方书面确认后方可开展工作。</w:t>
      </w:r>
    </w:p>
    <w:p w14:paraId="2458ECC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）乙方的</w:t>
      </w:r>
      <w:r>
        <w:rPr>
          <w:rFonts w:hint="eastAsia" w:ascii="宋体" w:hAnsi="宋体" w:cs="宋体"/>
          <w:color w:val="auto"/>
          <w:sz w:val="21"/>
          <w:szCs w:val="21"/>
          <w:highlight w:val="none"/>
          <w:lang w:eastAsia="zh-CN"/>
        </w:rPr>
        <w:t>工作</w:t>
      </w:r>
      <w:r>
        <w:rPr>
          <w:rFonts w:hint="eastAsia" w:ascii="宋体" w:hAnsi="宋体" w:eastAsia="宋体" w:cs="宋体"/>
          <w:color w:val="auto"/>
          <w:sz w:val="21"/>
          <w:szCs w:val="21"/>
          <w:highlight w:val="none"/>
        </w:rPr>
        <w:t>成果应以计算机光盘和纸介质形式交付甲方。</w:t>
      </w:r>
    </w:p>
    <w:p w14:paraId="07A541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在服务中接受甲方的监督，与甲方通力合作，根据甲方的要求对服务问题进行整改，提高服务质量，并根据需要向甲方提出合理化的设备更新或增容建议或新系统建设相关方案，协助甲方建立系统管理和使用管理制度。</w:t>
      </w:r>
    </w:p>
    <w:p w14:paraId="1B8B98BF">
      <w:pPr>
        <w:pStyle w:val="27"/>
        <w:shd w:val="clear"/>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）因乙方故意或过失导致甲方信息系统被破坏、数据丢失，乙方应及时采取补救措施进行系统和数据的恢复，并根据影响程度承担相应的赔偿责任。</w:t>
      </w:r>
    </w:p>
    <w:p w14:paraId="6FDA5A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甲方根据乙方出具的</w:t>
      </w:r>
      <w:r>
        <w:rPr>
          <w:rFonts w:hint="eastAsia" w:ascii="宋体" w:hAnsi="宋体" w:cs="宋体"/>
          <w:color w:val="auto"/>
          <w:sz w:val="21"/>
          <w:szCs w:val="21"/>
          <w:highlight w:val="none"/>
          <w:lang w:eastAsia="zh-CN"/>
        </w:rPr>
        <w:t>测试、</w:t>
      </w:r>
      <w:r>
        <w:rPr>
          <w:rFonts w:hint="eastAsia" w:ascii="宋体" w:hAnsi="宋体" w:cs="宋体"/>
          <w:color w:val="auto"/>
          <w:sz w:val="21"/>
          <w:szCs w:val="21"/>
          <w:highlight w:val="none"/>
        </w:rPr>
        <w:t>测评问题清单整改完成后，乙方有义务对整改部分内容进行一轮回归测试。</w:t>
      </w:r>
    </w:p>
    <w:p w14:paraId="48FF857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）乙方应配合甲方完成信息安全主管部门对信息安全进行监督检查。</w:t>
      </w:r>
    </w:p>
    <w:p w14:paraId="4C43EA9C">
      <w:pPr>
        <w:pStyle w:val="257"/>
        <w:shd w:val="clear"/>
        <w:adjustRightInd w:val="0"/>
        <w:snapToGrid w:val="0"/>
        <w:spacing w:line="48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）乙方应配合甲方委托的监理单位对项目实施情况进行检验、确认。</w:t>
      </w:r>
    </w:p>
    <w:p w14:paraId="4CF0D43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）乙方应保守甲方的相关工作秘密，严禁外传甲方政务信息、相关内部事务信息等敏感信息。</w:t>
      </w:r>
    </w:p>
    <w:p w14:paraId="1FEF3DA8">
      <w:pPr>
        <w:pStyle w:val="27"/>
        <w:shd w:val="clear"/>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）乙方在履行服务过程中，未经甲方同意，不得访问、修改、披露、利用、转让、销毁数据。</w:t>
      </w:r>
    </w:p>
    <w:p w14:paraId="1AD7D86C">
      <w:pPr>
        <w:pStyle w:val="27"/>
        <w:shd w:val="clear"/>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乙方在履行本合同项下约定义务过程中，因非甲方原因导致的乙方及乙方人员财物、人身遭致损害及意外等情形，均由乙方承担全部责任。</w:t>
      </w:r>
    </w:p>
    <w:p w14:paraId="20060D89">
      <w:pPr>
        <w:pStyle w:val="27"/>
        <w:shd w:val="clear"/>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乙方应对其工作人员加强管理，如乙方安排的任何工作人员因违法违规对甲方及第三方造成损失损害的，由乙方承担连带责任。</w:t>
      </w:r>
    </w:p>
    <w:p w14:paraId="7DB3B5D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）本项目规定的工作内容不得转让、转包、分包。</w:t>
      </w:r>
    </w:p>
    <w:p w14:paraId="13ECC7F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）乙方应建立政府购买服务项目台账，依照有关规定或合同约定记录保存并向甲方提供项目实施相关重要资料信息。</w:t>
      </w:r>
    </w:p>
    <w:p w14:paraId="7B90F81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）乙方应严格遵守相关财务规定规范管理和使用政府购买服务项目资金。</w:t>
      </w:r>
    </w:p>
    <w:p w14:paraId="4FAC659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）乙方应配合相关部门对资金使用情况进行监督检查与绩效评价。</w:t>
      </w:r>
    </w:p>
    <w:p w14:paraId="384A8AF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）乙方应完全遵守《中华人民共和国妇女权益保障法》中关于“劳动和社会保障权益”的有关要求。</w:t>
      </w:r>
    </w:p>
    <w:p w14:paraId="28BCF96D">
      <w:pPr>
        <w:keepNext w:val="0"/>
        <w:keepLines w:val="0"/>
        <w:pageBreakBefore w:val="0"/>
        <w:widowControl w:val="0"/>
        <w:shd w:val="clear"/>
        <w:kinsoku/>
        <w:wordWrap/>
        <w:overflowPunct/>
        <w:topLinePunct w:val="0"/>
        <w:bidi w:val="0"/>
        <w:adjustRightInd w:val="0"/>
        <w:snapToGrid w:val="0"/>
        <w:spacing w:line="480" w:lineRule="exact"/>
        <w:ind w:left="0" w:leftChars="0" w:firstLine="422" w:firstLineChars="200"/>
        <w:jc w:val="both"/>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八、违约责任</w:t>
      </w:r>
    </w:p>
    <w:p w14:paraId="549237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乙方未按约定提供服务</w:t>
      </w:r>
    </w:p>
    <w:p w14:paraId="569BD49F">
      <w:pPr>
        <w:shd w:val="clear"/>
        <w:adjustRightInd w:val="0"/>
        <w:snapToGrid w:val="0"/>
        <w:spacing w:line="4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乙方未能在双方约定的时间提供服务的，每延迟一日按照合同款总额的0.5‰支付违约金，超过10日仍未提供服务的，甲方有权解除本合同</w:t>
      </w:r>
      <w:r>
        <w:rPr>
          <w:rFonts w:hint="eastAsia" w:ascii="宋体" w:hAnsi="宋体" w:eastAsia="宋体" w:cs="宋体"/>
          <w:color w:val="auto"/>
          <w:kern w:val="2"/>
          <w:sz w:val="21"/>
          <w:szCs w:val="21"/>
          <w:highlight w:val="none"/>
          <w:lang w:val="en-US" w:eastAsia="zh-CN" w:bidi="ar-SA"/>
        </w:rPr>
        <w:t>。</w:t>
      </w:r>
    </w:p>
    <w:p w14:paraId="3430962F">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 xml:space="preserve">2. </w:t>
      </w:r>
      <w:r>
        <w:rPr>
          <w:rFonts w:hint="eastAsia" w:ascii="宋体" w:hAnsi="宋体" w:eastAsia="宋体" w:cs="宋体"/>
          <w:color w:val="auto"/>
          <w:kern w:val="2"/>
          <w:sz w:val="21"/>
          <w:szCs w:val="21"/>
          <w:highlight w:val="none"/>
          <w:lang w:val="en-US" w:eastAsia="zh-CN" w:bidi="ar-SA"/>
        </w:rPr>
        <w:t>乙方未按合同规定的服务条款提供服务，应向甲方支付违约金，每发现一次，甲方根据乙方违约行为给甲方造成的损失情况和产生不良影响的程度，在合同款总额3‰-3%的范围内，决定乙方应支付违约金的数额</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给甲方造成损失的，还须承担赔偿责任。违约金和赔偿金的支付并没有免除乙方继续履行合同的义务。</w:t>
      </w:r>
      <w:r>
        <w:rPr>
          <w:rFonts w:hint="eastAsia" w:ascii="宋体" w:hAnsi="宋体" w:eastAsia="宋体" w:cs="宋体"/>
          <w:color w:val="auto"/>
          <w:sz w:val="21"/>
          <w:szCs w:val="21"/>
          <w:highlight w:val="none"/>
        </w:rPr>
        <w:t>情节严重的，甲方</w:t>
      </w:r>
      <w:r>
        <w:rPr>
          <w:rFonts w:hint="eastAsia" w:ascii="宋体" w:hAnsi="宋体" w:eastAsia="宋体" w:cs="宋体"/>
          <w:color w:val="auto"/>
          <w:sz w:val="21"/>
          <w:szCs w:val="21"/>
          <w:highlight w:val="none"/>
          <w:lang w:eastAsia="zh-CN"/>
        </w:rPr>
        <w:t>有权单方</w:t>
      </w:r>
      <w:r>
        <w:rPr>
          <w:rFonts w:hint="eastAsia" w:ascii="宋体" w:hAnsi="宋体" w:eastAsia="宋体" w:cs="宋体"/>
          <w:color w:val="auto"/>
          <w:sz w:val="21"/>
          <w:szCs w:val="21"/>
          <w:highlight w:val="none"/>
        </w:rPr>
        <w:t>解除合同</w:t>
      </w:r>
      <w:r>
        <w:rPr>
          <w:rFonts w:hint="eastAsia" w:ascii="宋体" w:hAnsi="宋体" w:cs="宋体"/>
          <w:color w:val="auto"/>
          <w:szCs w:val="21"/>
          <w:highlight w:val="none"/>
        </w:rPr>
        <w:t>。</w:t>
      </w:r>
    </w:p>
    <w:p w14:paraId="03271493">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3. </w:t>
      </w:r>
      <w:r>
        <w:rPr>
          <w:rFonts w:hint="eastAsia" w:ascii="宋体" w:hAnsi="宋体" w:eastAsia="宋体" w:cs="宋体"/>
          <w:color w:val="auto"/>
          <w:kern w:val="2"/>
          <w:sz w:val="21"/>
          <w:szCs w:val="21"/>
          <w:highlight w:val="none"/>
          <w:lang w:val="en-US" w:eastAsia="zh-CN" w:bidi="ar-SA"/>
        </w:rPr>
        <w:t>乙方违反本合同所规定的保密义务</w:t>
      </w:r>
      <w:r>
        <w:rPr>
          <w:rFonts w:hint="eastAsia" w:ascii="宋体" w:hAnsi="宋体" w:eastAsia="宋体" w:cs="宋体"/>
          <w:color w:val="auto"/>
          <w:szCs w:val="21"/>
          <w:highlight w:val="none"/>
        </w:rPr>
        <w:t>和知识产权条款</w:t>
      </w:r>
      <w:r>
        <w:rPr>
          <w:rFonts w:hint="eastAsia" w:ascii="宋体" w:hAnsi="宋体" w:eastAsia="宋体" w:cs="宋体"/>
          <w:color w:val="auto"/>
          <w:kern w:val="2"/>
          <w:sz w:val="21"/>
          <w:szCs w:val="21"/>
          <w:highlight w:val="none"/>
          <w:lang w:val="en-US" w:eastAsia="zh-CN" w:bidi="ar-SA"/>
        </w:rPr>
        <w:t>，乙方应立即采取补救措施，</w:t>
      </w:r>
      <w:r>
        <w:rPr>
          <w:rFonts w:hint="eastAsia" w:ascii="宋体" w:hAnsi="宋体" w:eastAsia="宋体" w:cs="宋体"/>
          <w:color w:val="auto"/>
          <w:kern w:val="2"/>
          <w:sz w:val="21"/>
          <w:szCs w:val="21"/>
          <w:highlight w:val="none"/>
          <w:lang w:val="en-US" w:eastAsia="zh-Hans" w:bidi="ar-SA"/>
        </w:rPr>
        <w:t>乙方应</w:t>
      </w:r>
      <w:r>
        <w:rPr>
          <w:rFonts w:hint="eastAsia" w:ascii="宋体" w:hAnsi="宋体" w:eastAsia="宋体" w:cs="宋体"/>
          <w:color w:val="auto"/>
          <w:kern w:val="2"/>
          <w:sz w:val="21"/>
          <w:szCs w:val="21"/>
          <w:highlight w:val="none"/>
          <w:lang w:val="en-US" w:eastAsia="zh-CN" w:bidi="ar-SA"/>
        </w:rPr>
        <w:t>支付违约金（合同款总额的20%），甲方有权单方解除合同，并可提请司法机关依法追究乙方及相关人员的刑事责任。</w:t>
      </w:r>
    </w:p>
    <w:p w14:paraId="7AB0C5DE">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4. </w:t>
      </w:r>
      <w:r>
        <w:rPr>
          <w:rFonts w:hint="eastAsia" w:ascii="宋体" w:hAnsi="宋体" w:eastAsia="宋体" w:cs="宋体"/>
          <w:color w:val="auto"/>
          <w:kern w:val="2"/>
          <w:sz w:val="21"/>
          <w:szCs w:val="21"/>
          <w:highlight w:val="none"/>
          <w:lang w:val="en-US" w:eastAsia="zh-CN" w:bidi="ar-SA"/>
        </w:rPr>
        <w:t>乙方违反约定转让、转包、分包，</w:t>
      </w:r>
      <w:r>
        <w:rPr>
          <w:rFonts w:hint="eastAsia" w:ascii="宋体" w:hAnsi="宋体" w:eastAsia="宋体" w:cs="宋体"/>
          <w:color w:val="auto"/>
          <w:kern w:val="2"/>
          <w:sz w:val="21"/>
          <w:szCs w:val="21"/>
          <w:highlight w:val="none"/>
          <w:lang w:val="en-US" w:eastAsia="zh-Hans" w:bidi="ar-SA"/>
        </w:rPr>
        <w:t>乙方应</w:t>
      </w:r>
      <w:r>
        <w:rPr>
          <w:rFonts w:hint="eastAsia" w:ascii="宋体" w:hAnsi="宋体" w:eastAsia="宋体" w:cs="宋体"/>
          <w:color w:val="auto"/>
          <w:kern w:val="2"/>
          <w:sz w:val="21"/>
          <w:szCs w:val="21"/>
          <w:highlight w:val="none"/>
          <w:lang w:val="en-US" w:eastAsia="zh-CN" w:bidi="ar-SA"/>
        </w:rPr>
        <w:t>支付违约金（合同款总额的20%），甲方有权单方解除合同。</w:t>
      </w:r>
    </w:p>
    <w:p w14:paraId="18EC91FF">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 xml:space="preserve">5. </w:t>
      </w:r>
      <w:r>
        <w:rPr>
          <w:rFonts w:hint="eastAsia" w:ascii="宋体" w:hAnsi="宋体" w:eastAsia="宋体" w:cs="宋体"/>
          <w:color w:val="auto"/>
          <w:kern w:val="2"/>
          <w:sz w:val="21"/>
          <w:szCs w:val="21"/>
          <w:highlight w:val="none"/>
          <w:lang w:val="en-US" w:eastAsia="zh-CN" w:bidi="ar-SA"/>
        </w:rPr>
        <w:t>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03D94E95">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 xml:space="preserve">6. </w:t>
      </w:r>
      <w:r>
        <w:rPr>
          <w:rFonts w:hint="eastAsia" w:ascii="宋体" w:hAnsi="宋体" w:eastAsia="宋体" w:cs="宋体"/>
          <w:color w:val="auto"/>
          <w:kern w:val="2"/>
          <w:sz w:val="21"/>
          <w:szCs w:val="21"/>
          <w:highlight w:val="none"/>
          <w:lang w:val="en-US" w:eastAsia="zh-CN" w:bidi="ar-SA"/>
        </w:rPr>
        <w:t>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1F01FA7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7. </w:t>
      </w:r>
      <w:r>
        <w:rPr>
          <w:rFonts w:hint="eastAsia" w:ascii="宋体" w:hAnsi="宋体" w:eastAsia="宋体" w:cs="宋体"/>
          <w:color w:val="auto"/>
          <w:kern w:val="2"/>
          <w:sz w:val="21"/>
          <w:szCs w:val="21"/>
          <w:highlight w:val="none"/>
          <w:lang w:val="en-US" w:eastAsia="zh-CN" w:bidi="ar-SA"/>
        </w:rPr>
        <w:t>甲方因乙方原因扣减合同款并要求乙方支付违约金、赔偿金时，乙方不能因为甲方扣减合同款而</w:t>
      </w:r>
      <w:r>
        <w:rPr>
          <w:rFonts w:hint="eastAsia" w:ascii="宋体" w:hAnsi="宋体" w:eastAsia="宋体" w:cs="宋体"/>
          <w:color w:val="auto"/>
          <w:szCs w:val="21"/>
          <w:highlight w:val="none"/>
        </w:rPr>
        <w:t>终止/中断</w:t>
      </w:r>
      <w:r>
        <w:rPr>
          <w:rFonts w:hint="eastAsia" w:ascii="宋体" w:hAnsi="宋体" w:eastAsia="宋体" w:cs="宋体"/>
          <w:color w:val="auto"/>
          <w:kern w:val="2"/>
          <w:sz w:val="21"/>
          <w:szCs w:val="21"/>
          <w:highlight w:val="none"/>
          <w:lang w:val="en-US" w:eastAsia="zh-CN" w:bidi="ar-SA"/>
        </w:rPr>
        <w:t>服务。若乙方违反本条约定或擅自终止/中断本合同的，乙方除支付违约金（</w:t>
      </w:r>
      <w:r>
        <w:rPr>
          <w:rFonts w:hint="eastAsia" w:ascii="宋体" w:hAnsi="宋体" w:eastAsia="宋体" w:cs="宋体"/>
          <w:color w:val="auto"/>
          <w:kern w:val="2"/>
          <w:sz w:val="21"/>
          <w:szCs w:val="21"/>
          <w:highlight w:val="none"/>
          <w:lang w:val="en-US" w:eastAsia="zh-Hans" w:bidi="ar-SA"/>
        </w:rPr>
        <w:t>合同款总额</w:t>
      </w:r>
      <w:r>
        <w:rPr>
          <w:rFonts w:hint="eastAsia" w:ascii="宋体" w:hAnsi="宋体" w:eastAsia="宋体" w:cs="宋体"/>
          <w:color w:val="auto"/>
          <w:kern w:val="2"/>
          <w:sz w:val="21"/>
          <w:szCs w:val="21"/>
          <w:highlight w:val="none"/>
          <w:lang w:val="en-US" w:eastAsia="zh-CN" w:bidi="ar-SA"/>
        </w:rPr>
        <w:t>的20%）、赔偿金外，还应退回已收取的全部</w:t>
      </w:r>
      <w:r>
        <w:rPr>
          <w:rFonts w:hint="eastAsia" w:ascii="宋体" w:hAnsi="宋体" w:eastAsia="宋体" w:cs="宋体"/>
          <w:color w:val="auto"/>
          <w:kern w:val="2"/>
          <w:sz w:val="21"/>
          <w:szCs w:val="21"/>
          <w:highlight w:val="none"/>
          <w:lang w:val="en-US" w:eastAsia="zh-Hans" w:bidi="ar-SA"/>
        </w:rPr>
        <w:t>合同款</w:t>
      </w:r>
      <w:r>
        <w:rPr>
          <w:rFonts w:hint="eastAsia" w:ascii="宋体" w:hAnsi="宋体" w:eastAsia="宋体" w:cs="宋体"/>
          <w:color w:val="auto"/>
          <w:kern w:val="2"/>
          <w:sz w:val="21"/>
          <w:szCs w:val="21"/>
          <w:highlight w:val="none"/>
          <w:lang w:val="en-US" w:eastAsia="zh-CN" w:bidi="ar-SA"/>
        </w:rPr>
        <w:t>。</w:t>
      </w:r>
    </w:p>
    <w:p w14:paraId="6B32EF1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甲方未按约定支付合同款</w:t>
      </w:r>
    </w:p>
    <w:p w14:paraId="1BCB84D9">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如果甲方不能按期支付乙方合同款，则应从逾期支付的第31个工作日起，每日按迟延支付金额的0.5‰向乙方支付违约金。此项违约金总额不超过迟延支付金额的5‰。超过5‰的，乙方有权收取</w:t>
      </w:r>
      <w:r>
        <w:rPr>
          <w:rFonts w:hint="eastAsia" w:ascii="宋体" w:hAnsi="宋体" w:cs="宋体"/>
          <w:color w:val="auto"/>
          <w:kern w:val="2"/>
          <w:sz w:val="21"/>
          <w:szCs w:val="21"/>
          <w:highlight w:val="none"/>
          <w:lang w:val="en-US" w:eastAsia="zh-CN" w:bidi="ar-SA"/>
        </w:rPr>
        <w:t>已完成服务</w:t>
      </w:r>
      <w:r>
        <w:rPr>
          <w:rFonts w:hint="eastAsia" w:ascii="宋体" w:hAnsi="宋体" w:eastAsia="宋体" w:cs="宋体"/>
          <w:color w:val="auto"/>
          <w:kern w:val="2"/>
          <w:sz w:val="21"/>
          <w:szCs w:val="21"/>
          <w:highlight w:val="none"/>
          <w:lang w:val="en-US" w:eastAsia="zh-CN" w:bidi="ar-SA"/>
        </w:rPr>
        <w:t>的费用，并有权对由此引起的损失要求甲方予以赔偿</w:t>
      </w:r>
      <w:r>
        <w:rPr>
          <w:rFonts w:hint="eastAsia" w:ascii="宋体" w:hAnsi="宋体" w:cs="宋体"/>
          <w:color w:val="auto"/>
          <w:kern w:val="2"/>
          <w:sz w:val="21"/>
          <w:szCs w:val="21"/>
          <w:highlight w:val="none"/>
          <w:lang w:val="en-US" w:eastAsia="zh-CN" w:bidi="ar-SA"/>
        </w:rPr>
        <w:t>，但不得</w:t>
      </w:r>
      <w:r>
        <w:rPr>
          <w:rFonts w:hint="eastAsia" w:ascii="宋体" w:hAnsi="宋体" w:eastAsia="宋体" w:cs="宋体"/>
          <w:color w:val="auto"/>
          <w:kern w:val="2"/>
          <w:sz w:val="21"/>
          <w:szCs w:val="21"/>
          <w:highlight w:val="none"/>
          <w:lang w:val="en-US" w:eastAsia="zh-CN" w:bidi="ar-SA"/>
        </w:rPr>
        <w:t>暂停服务</w:t>
      </w:r>
      <w:r>
        <w:rPr>
          <w:rFonts w:hint="eastAsia" w:ascii="宋体" w:hAnsi="宋体" w:cs="宋体"/>
          <w:color w:val="auto"/>
          <w:kern w:val="2"/>
          <w:sz w:val="21"/>
          <w:szCs w:val="21"/>
          <w:highlight w:val="none"/>
          <w:lang w:val="en-US" w:eastAsia="zh-CN" w:bidi="ar-SA"/>
        </w:rPr>
        <w:t>或解除合同</w:t>
      </w:r>
      <w:r>
        <w:rPr>
          <w:rFonts w:hint="eastAsia" w:ascii="宋体" w:hAnsi="宋体" w:eastAsia="宋体" w:cs="宋体"/>
          <w:color w:val="auto"/>
          <w:kern w:val="2"/>
          <w:sz w:val="21"/>
          <w:szCs w:val="21"/>
          <w:highlight w:val="none"/>
          <w:lang w:val="en-US" w:eastAsia="zh-CN" w:bidi="ar-SA"/>
        </w:rPr>
        <w:t>。</w:t>
      </w:r>
    </w:p>
    <w:p w14:paraId="67231AC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九、</w:t>
      </w:r>
      <w:r>
        <w:rPr>
          <w:rFonts w:hint="eastAsia" w:ascii="宋体" w:hAnsi="宋体" w:cs="宋体"/>
          <w:b/>
          <w:color w:val="auto"/>
          <w:szCs w:val="21"/>
          <w:highlight w:val="none"/>
          <w:lang w:eastAsia="zh-CN"/>
        </w:rPr>
        <w:t>验收</w:t>
      </w:r>
    </w:p>
    <w:p w14:paraId="727FF54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 </w:t>
      </w:r>
      <w:r>
        <w:rPr>
          <w:rFonts w:hint="eastAsia" w:ascii="宋体" w:hAnsi="宋体" w:eastAsia="宋体" w:cs="宋体"/>
          <w:color w:val="auto"/>
          <w:szCs w:val="21"/>
          <w:highlight w:val="none"/>
        </w:rPr>
        <w:t>乙方应在</w:t>
      </w:r>
      <w:r>
        <w:rPr>
          <w:rFonts w:hint="eastAsia" w:ascii="宋体" w:hAnsi="宋体" w:cs="宋体"/>
          <w:color w:val="auto"/>
          <w:szCs w:val="21"/>
          <w:highlight w:val="none"/>
          <w:lang w:eastAsia="zh-CN"/>
        </w:rPr>
        <w:t>全部测试、测评工作结束后</w:t>
      </w:r>
      <w:r>
        <w:rPr>
          <w:rFonts w:hint="eastAsia" w:ascii="宋体" w:hAnsi="宋体" w:eastAsia="宋体" w:cs="宋体"/>
          <w:color w:val="auto"/>
          <w:szCs w:val="21"/>
          <w:highlight w:val="none"/>
        </w:rPr>
        <w:t>，向甲方提交</w:t>
      </w:r>
      <w:r>
        <w:rPr>
          <w:rFonts w:hint="eastAsia" w:ascii="宋体" w:hAnsi="宋体" w:cs="宋体"/>
          <w:color w:val="auto"/>
          <w:szCs w:val="21"/>
          <w:highlight w:val="none"/>
          <w:lang w:eastAsia="zh-CN"/>
        </w:rPr>
        <w:t>验收材料，包括但不限于：《</w:t>
      </w:r>
      <w:r>
        <w:rPr>
          <w:rFonts w:hint="eastAsia" w:ascii="宋体" w:hAnsi="宋体" w:cs="宋体"/>
          <w:color w:val="auto"/>
          <w:szCs w:val="21"/>
          <w:highlight w:val="none"/>
        </w:rPr>
        <w:t>积分落户管理信息系统软件测评报告</w:t>
      </w:r>
      <w:r>
        <w:rPr>
          <w:rFonts w:hint="eastAsia" w:ascii="宋体" w:hAnsi="宋体" w:cs="宋体"/>
          <w:color w:val="auto"/>
          <w:szCs w:val="21"/>
          <w:highlight w:val="none"/>
          <w:lang w:eastAsia="zh-CN"/>
        </w:rPr>
        <w:t>》和《</w:t>
      </w:r>
      <w:r>
        <w:rPr>
          <w:rFonts w:hint="eastAsia" w:ascii="宋体" w:hAnsi="宋体" w:cs="宋体"/>
          <w:color w:val="auto"/>
          <w:szCs w:val="21"/>
          <w:highlight w:val="none"/>
        </w:rPr>
        <w:t>积分落户管理信息系统安全测评报告</w:t>
      </w:r>
      <w:r>
        <w:rPr>
          <w:rFonts w:hint="eastAsia" w:ascii="宋体" w:hAnsi="宋体" w:cs="宋体"/>
          <w:color w:val="auto"/>
          <w:szCs w:val="21"/>
          <w:highlight w:val="none"/>
          <w:lang w:eastAsia="zh-CN"/>
        </w:rPr>
        <w:t>》等。</w:t>
      </w:r>
      <w:r>
        <w:rPr>
          <w:rFonts w:hint="eastAsia" w:ascii="宋体" w:hAnsi="宋体" w:eastAsia="宋体" w:cs="宋体"/>
          <w:color w:val="auto"/>
          <w:kern w:val="2"/>
          <w:sz w:val="21"/>
          <w:szCs w:val="21"/>
          <w:highlight w:val="none"/>
          <w:lang w:val="en-US" w:eastAsia="zh-CN" w:bidi="ar-SA"/>
        </w:rPr>
        <w:t>甲方</w:t>
      </w:r>
      <w:r>
        <w:rPr>
          <w:rFonts w:hint="eastAsia" w:ascii="宋体" w:hAnsi="宋体" w:cs="宋体"/>
          <w:color w:val="auto"/>
          <w:szCs w:val="21"/>
          <w:highlight w:val="none"/>
          <w:lang w:eastAsia="zh-CN"/>
        </w:rPr>
        <w:t>组织开展项目验收并完成</w:t>
      </w:r>
      <w:r>
        <w:rPr>
          <w:rFonts w:hint="eastAsia" w:ascii="宋体" w:hAnsi="宋体" w:cs="宋体"/>
          <w:color w:val="auto"/>
          <w:szCs w:val="21"/>
          <w:highlight w:val="none"/>
        </w:rPr>
        <w:t>验收报告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w:t>
      </w:r>
      <w:r>
        <w:rPr>
          <w:rFonts w:hint="eastAsia" w:ascii="宋体" w:hAnsi="宋体" w:eastAsia="宋体" w:cs="宋体"/>
          <w:color w:val="auto"/>
          <w:szCs w:val="21"/>
          <w:highlight w:val="none"/>
        </w:rPr>
        <w:t>，视为</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通过</w:t>
      </w:r>
      <w:r>
        <w:rPr>
          <w:rFonts w:hint="eastAsia" w:ascii="宋体" w:hAnsi="宋体" w:eastAsia="宋体" w:cs="宋体"/>
          <w:color w:val="auto"/>
          <w:kern w:val="2"/>
          <w:sz w:val="21"/>
          <w:szCs w:val="21"/>
          <w:highlight w:val="none"/>
          <w:lang w:val="en-US" w:eastAsia="zh-CN" w:bidi="ar-SA"/>
        </w:rPr>
        <w:t>。</w:t>
      </w:r>
    </w:p>
    <w:p w14:paraId="1D00EDC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2. </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不合格的，</w:t>
      </w:r>
      <w:r>
        <w:rPr>
          <w:rFonts w:hint="eastAsia" w:ascii="宋体" w:hAnsi="宋体" w:cs="宋体"/>
          <w:color w:val="auto"/>
          <w:szCs w:val="21"/>
          <w:highlight w:val="none"/>
        </w:rPr>
        <w:t>乙方需在甲方要求的时间内整改并重新提交验收，直至验收合格</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向甲方</w:t>
      </w:r>
      <w:r>
        <w:rPr>
          <w:rFonts w:hint="eastAsia" w:ascii="宋体" w:hAnsi="宋体" w:eastAsia="宋体" w:cs="宋体"/>
          <w:color w:val="auto"/>
          <w:kern w:val="2"/>
          <w:sz w:val="21"/>
          <w:szCs w:val="21"/>
          <w:highlight w:val="none"/>
          <w:lang w:val="en-US" w:eastAsia="zh-CN" w:bidi="ar-SA"/>
        </w:rPr>
        <w:t>支付</w:t>
      </w:r>
      <w:r>
        <w:rPr>
          <w:rFonts w:hint="eastAsia" w:ascii="宋体" w:hAnsi="宋体" w:eastAsia="宋体" w:cs="宋体"/>
          <w:color w:val="auto"/>
          <w:szCs w:val="21"/>
          <w:highlight w:val="none"/>
        </w:rPr>
        <w:t>合同款总额20%的</w:t>
      </w:r>
      <w:r>
        <w:rPr>
          <w:rFonts w:hint="eastAsia" w:ascii="宋体" w:hAnsi="宋体" w:eastAsia="宋体" w:cs="宋体"/>
          <w:color w:val="auto"/>
          <w:kern w:val="2"/>
          <w:sz w:val="21"/>
          <w:szCs w:val="21"/>
          <w:highlight w:val="none"/>
          <w:lang w:val="en-US" w:eastAsia="zh-CN" w:bidi="ar-SA"/>
        </w:rPr>
        <w:t>违约金，给甲方造成损失的，还应赔偿甲方的全部损失。</w:t>
      </w:r>
    </w:p>
    <w:p w14:paraId="6E32664B">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十、知识产权</w:t>
      </w:r>
    </w:p>
    <w:p w14:paraId="1DB270B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保证甲方在使用乙方提供的任何产品、服务时，不受第三方提出侵犯知识产权指控。如果任何第三方提出与乙方提供的任何产品、服务有关的侵权指控，乙方须与第三方交涉并承担因此发生的一切法律责任和费用。如因此给甲方造成损失的，乙方应予全额赔偿。</w:t>
      </w:r>
    </w:p>
    <w:p w14:paraId="587101C4">
      <w:pPr>
        <w:pStyle w:val="14"/>
        <w:numPr>
          <w:ilvl w:val="-1"/>
          <w:numId w:val="0"/>
        </w:numPr>
        <w:shd w:val="clear"/>
        <w:adjustRightInd w:val="0"/>
        <w:snapToGrid w:val="0"/>
        <w:spacing w:line="480" w:lineRule="exact"/>
        <w:ind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双方</w:t>
      </w:r>
      <w:r>
        <w:rPr>
          <w:rFonts w:hint="eastAsia" w:ascii="宋体" w:hAnsi="宋体" w:eastAsia="宋体" w:cs="宋体"/>
          <w:color w:val="auto"/>
          <w:kern w:val="2"/>
          <w:sz w:val="21"/>
          <w:szCs w:val="21"/>
          <w:highlight w:val="none"/>
          <w:lang w:val="en-US" w:eastAsia="zh-CN"/>
        </w:rPr>
        <w:t>确认</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乙方为履</w:t>
      </w:r>
      <w:r>
        <w:rPr>
          <w:rFonts w:hint="eastAsia" w:ascii="宋体" w:hAnsi="宋体" w:eastAsia="宋体" w:cs="宋体"/>
          <w:color w:val="auto"/>
          <w:kern w:val="2"/>
          <w:sz w:val="21"/>
          <w:szCs w:val="21"/>
          <w:highlight w:val="none"/>
        </w:rPr>
        <w:t>行本合同</w:t>
      </w:r>
      <w:r>
        <w:rPr>
          <w:rFonts w:hint="eastAsia" w:ascii="宋体" w:hAnsi="宋体" w:eastAsia="宋体" w:cs="宋体"/>
          <w:color w:val="auto"/>
          <w:kern w:val="2"/>
          <w:sz w:val="21"/>
          <w:szCs w:val="21"/>
          <w:highlight w:val="none"/>
          <w:lang w:val="en-US" w:eastAsia="zh-CN"/>
        </w:rPr>
        <w:t>所</w:t>
      </w:r>
      <w:r>
        <w:rPr>
          <w:rFonts w:hint="eastAsia" w:ascii="宋体" w:hAnsi="宋体" w:eastAsia="宋体" w:cs="宋体"/>
          <w:color w:val="auto"/>
          <w:kern w:val="2"/>
          <w:sz w:val="21"/>
          <w:szCs w:val="21"/>
          <w:highlight w:val="none"/>
        </w:rPr>
        <w:t>产生的</w:t>
      </w:r>
      <w:r>
        <w:rPr>
          <w:rFonts w:hint="eastAsia" w:ascii="宋体" w:hAnsi="宋体" w:eastAsia="宋体" w:cs="宋体"/>
          <w:color w:val="auto"/>
          <w:kern w:val="2"/>
          <w:sz w:val="21"/>
          <w:szCs w:val="21"/>
          <w:highlight w:val="none"/>
          <w:lang w:val="en-US" w:eastAsia="zh-CN"/>
        </w:rPr>
        <w:t>所有</w:t>
      </w:r>
      <w:r>
        <w:rPr>
          <w:rFonts w:hint="eastAsia" w:ascii="宋体" w:hAnsi="宋体" w:eastAsia="宋体" w:cs="宋体"/>
          <w:color w:val="auto"/>
          <w:kern w:val="2"/>
          <w:sz w:val="21"/>
          <w:szCs w:val="21"/>
          <w:highlight w:val="none"/>
        </w:rPr>
        <w:t>交付</w:t>
      </w:r>
      <w:r>
        <w:rPr>
          <w:rFonts w:hint="eastAsia" w:ascii="宋体" w:hAnsi="宋体" w:eastAsia="宋体" w:cs="宋体"/>
          <w:color w:val="auto"/>
          <w:kern w:val="2"/>
          <w:sz w:val="21"/>
          <w:szCs w:val="21"/>
          <w:highlight w:val="none"/>
          <w:lang w:val="en-US" w:eastAsia="zh-CN"/>
        </w:rPr>
        <w:t>成果</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包括但不限于</w:t>
      </w:r>
      <w:r>
        <w:rPr>
          <w:rFonts w:hint="eastAsia" w:ascii="宋体" w:hAnsi="宋体" w:eastAsia="宋体" w:cs="宋体"/>
          <w:color w:val="auto"/>
          <w:kern w:val="2"/>
          <w:sz w:val="21"/>
          <w:szCs w:val="21"/>
          <w:highlight w:val="none"/>
          <w:lang w:eastAsia="zh-CN"/>
        </w:rPr>
        <w:t>测试、</w:t>
      </w:r>
      <w:r>
        <w:rPr>
          <w:rFonts w:hint="eastAsia" w:ascii="宋体" w:hAnsi="宋体" w:eastAsia="宋体" w:cs="宋体"/>
          <w:color w:val="auto"/>
          <w:kern w:val="2"/>
          <w:sz w:val="21"/>
          <w:szCs w:val="21"/>
          <w:highlight w:val="none"/>
        </w:rPr>
        <w:t>测评方案</w:t>
      </w:r>
      <w:r>
        <w:rPr>
          <w:rFonts w:hint="eastAsia" w:ascii="宋体" w:hAnsi="宋体" w:eastAsia="宋体" w:cs="宋体"/>
          <w:color w:val="auto"/>
          <w:kern w:val="2"/>
          <w:sz w:val="21"/>
          <w:szCs w:val="21"/>
          <w:highlight w:val="none"/>
          <w:lang w:eastAsia="zh-CN"/>
        </w:rPr>
        <w:t>，测试、</w:t>
      </w:r>
      <w:r>
        <w:rPr>
          <w:rFonts w:hint="eastAsia" w:ascii="宋体" w:hAnsi="宋体" w:eastAsia="宋体" w:cs="宋体"/>
          <w:color w:val="auto"/>
          <w:kern w:val="2"/>
          <w:sz w:val="21"/>
          <w:szCs w:val="21"/>
          <w:highlight w:val="none"/>
        </w:rPr>
        <w:t>测评报告等文档</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以下简称</w:t>
      </w:r>
      <w:r>
        <w:rPr>
          <w:rFonts w:hint="eastAsia"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工作成果</w:t>
      </w:r>
      <w:r>
        <w:rPr>
          <w:rFonts w:hint="eastAsia"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知识产权归甲方所有</w:t>
      </w:r>
      <w:r>
        <w:rPr>
          <w:rFonts w:hint="eastAsia" w:ascii="宋体" w:hAnsi="宋体" w:eastAsia="宋体" w:cs="宋体"/>
          <w:color w:val="auto"/>
          <w:kern w:val="2"/>
          <w:sz w:val="21"/>
          <w:szCs w:val="21"/>
          <w:highlight w:val="none"/>
          <w:lang w:eastAsia="zh-CN"/>
        </w:rPr>
        <w:t>。</w:t>
      </w:r>
    </w:p>
    <w:p w14:paraId="53837EDC">
      <w:pPr>
        <w:pStyle w:val="27"/>
        <w:shd w:val="clear"/>
        <w:adjustRightInd w:val="0"/>
        <w:snapToGrid w:val="0"/>
        <w:spacing w:after="0" w:line="480" w:lineRule="exact"/>
        <w:ind w:left="0" w:leftChars="0" w:firstLine="480" w:firstLineChars="200"/>
        <w:jc w:val="both"/>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color w:val="auto"/>
          <w:szCs w:val="21"/>
          <w:highlight w:val="none"/>
        </w:rPr>
        <w:t xml:space="preserve">3. </w:t>
      </w:r>
      <w:r>
        <w:rPr>
          <w:rFonts w:hint="eastAsia" w:ascii="宋体" w:hAnsi="宋体" w:eastAsia="宋体" w:cs="宋体"/>
          <w:i w:val="0"/>
          <w:iCs w:val="0"/>
          <w:caps w:val="0"/>
          <w:color w:val="auto"/>
          <w:spacing w:val="0"/>
          <w:sz w:val="21"/>
          <w:szCs w:val="21"/>
          <w:highlight w:val="none"/>
          <w:shd w:val="clear"/>
        </w:rPr>
        <w:t>乙方为完成本合同而使用的其在本合同签订前已拥有的知识产权（包括但不限于测试流程、测评方法、方案模板、报告模板等，以下简称“乙方背景知识产权”）仍归乙方所有。乙方在此授予甲方一项永久的、免费的、不可撤销的许可，以便甲方可以不受限制地使用与本项目工作成果一同交付的乙方背景知识产权。</w:t>
      </w:r>
    </w:p>
    <w:p w14:paraId="5E1A01B6">
      <w:pPr>
        <w:pStyle w:val="27"/>
        <w:shd w:val="clear"/>
        <w:adjustRightInd w:val="0"/>
        <w:snapToGrid w:val="0"/>
        <w:spacing w:after="0" w:line="480" w:lineRule="exact"/>
        <w:ind w:left="0" w:leftChars="0" w:firstLine="420" w:firstLineChars="200"/>
        <w:jc w:val="both"/>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lang w:val="en-US" w:eastAsia="zh-CN"/>
        </w:rPr>
        <w:t xml:space="preserve">4. </w:t>
      </w:r>
      <w:r>
        <w:rPr>
          <w:rFonts w:hint="eastAsia" w:ascii="宋体" w:hAnsi="宋体" w:eastAsia="宋体" w:cs="宋体"/>
          <w:i w:val="0"/>
          <w:iCs w:val="0"/>
          <w:caps w:val="0"/>
          <w:color w:val="auto"/>
          <w:spacing w:val="0"/>
          <w:sz w:val="21"/>
          <w:szCs w:val="21"/>
          <w:highlight w:val="none"/>
          <w:shd w:val="clear"/>
        </w:rPr>
        <w:t>乙方保证其提供的工作成果及所使用的乙方背景知识产权不侵犯任何第三方的合法权益。如有任何第三方就甲方对工作成果的使用提出知识产权侵权指控，乙方应负责处理并承担由此给甲方造成的全部损失。</w:t>
      </w:r>
    </w:p>
    <w:p w14:paraId="15D7CE42">
      <w:pPr>
        <w:pStyle w:val="27"/>
        <w:shd w:val="clear"/>
        <w:adjustRightInd w:val="0"/>
        <w:snapToGrid w:val="0"/>
        <w:spacing w:after="0" w:line="480" w:lineRule="exact"/>
        <w:ind w:left="0" w:leftChars="0" w:firstLine="420" w:firstLineChars="200"/>
        <w:jc w:val="both"/>
        <w:rPr>
          <w:rFonts w:hint="default" w:eastAsia="宋体"/>
          <w:color w:val="auto"/>
          <w:highlight w:val="none"/>
          <w:lang w:val="en-US" w:eastAsia="zh-CN"/>
        </w:rPr>
      </w:pPr>
      <w:r>
        <w:rPr>
          <w:rFonts w:hint="eastAsia" w:ascii="宋体" w:hAnsi="宋体" w:eastAsia="宋体" w:cs="宋体"/>
          <w:i w:val="0"/>
          <w:iCs w:val="0"/>
          <w:caps w:val="0"/>
          <w:color w:val="auto"/>
          <w:spacing w:val="0"/>
          <w:kern w:val="2"/>
          <w:sz w:val="21"/>
          <w:szCs w:val="21"/>
          <w:highlight w:val="none"/>
          <w:shd w:val="clear"/>
          <w:lang w:val="en-US" w:eastAsia="zh-CN"/>
        </w:rPr>
        <w:t xml:space="preserve">5. </w:t>
      </w:r>
      <w:r>
        <w:rPr>
          <w:rFonts w:hint="eastAsia" w:ascii="宋体" w:hAnsi="宋体" w:eastAsia="宋体" w:cs="宋体"/>
          <w:color w:val="auto"/>
          <w:kern w:val="2"/>
          <w:sz w:val="21"/>
          <w:szCs w:val="21"/>
          <w:highlight w:val="none"/>
          <w:lang w:eastAsia="zh-CN"/>
        </w:rPr>
        <w:t>乙方</w:t>
      </w:r>
      <w:r>
        <w:rPr>
          <w:rFonts w:hint="eastAsia" w:ascii="宋体" w:hAnsi="宋体" w:cs="宋体"/>
          <w:color w:val="auto"/>
          <w:szCs w:val="21"/>
          <w:highlight w:val="none"/>
        </w:rPr>
        <w:t>对在</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过程中获知的甲方或为甲方提供服务的第三方的知识产权，都受本条款的保护。</w:t>
      </w:r>
    </w:p>
    <w:p w14:paraId="4AB7DBF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十一、保密条款</w:t>
      </w:r>
    </w:p>
    <w:p w14:paraId="5CA577B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w:t>
      </w:r>
      <w:r>
        <w:rPr>
          <w:rFonts w:hint="eastAsia" w:ascii="宋体" w:hAnsi="宋体" w:eastAsia="宋体" w:cs="宋体"/>
          <w:color w:val="auto"/>
          <w:sz w:val="21"/>
          <w:szCs w:val="21"/>
          <w:highlight w:val="none"/>
        </w:rPr>
        <w:t>如有违反，乙方应承担相应的法律责任。此保密义务不因合同的终止而免除。</w:t>
      </w:r>
    </w:p>
    <w:p w14:paraId="3C5C65E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乙方必须与甲方签订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安全保密协议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（详见附件三）。</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5ED6C75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乙方应严格遵守合同规定，执行有关保密的法律法规，选派具有良好职业道德的人员参与和从事本项目工作，教育相关人员恪守职业道德，服从甲方的管理，严格遵守甲方的保密规定和工作制度，并承担相应的保密责任。</w:t>
      </w:r>
    </w:p>
    <w:p w14:paraId="6B31E74A">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十二、合同廉政承诺</w:t>
      </w:r>
    </w:p>
    <w:p w14:paraId="0CA13A3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合同双方承诺共同加强廉洁自律、反对商业贿赂。</w:t>
      </w:r>
    </w:p>
    <w:p w14:paraId="51563B2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甲方及其工作人员不得索要礼金、有价证券和贵重物品；不得在乙方报销应由本单位或个人支付的费用；不得以参与项目实施为名，接受乙方从该</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中支取的劳务报酬；不得参加乙方安排的超标准宴请和娱乐活动。</w:t>
      </w:r>
    </w:p>
    <w:p w14:paraId="638E96C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13430BD0">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十三、不可抗力</w:t>
      </w:r>
    </w:p>
    <w:p w14:paraId="2C3DDD0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23F8F3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4D6794C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如果不可抗力事件后果影响合同执行超过90天，双方则就未来合同的履行另行商议。</w:t>
      </w:r>
    </w:p>
    <w:p w14:paraId="5E5D579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十四、争议的解决</w:t>
      </w:r>
    </w:p>
    <w:p w14:paraId="23E72EC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本合同按中华人民共和国相关法律、法规进行解决。</w:t>
      </w:r>
    </w:p>
    <w:p w14:paraId="640541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因履行合同所发生的一切争议，双方应友好协商解决，协商不成的按下列第（1）种方式解决：</w:t>
      </w:r>
    </w:p>
    <w:p w14:paraId="52B91D7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（1）提交北京仲裁委员会仲裁，仲裁裁决为终局裁决；</w:t>
      </w:r>
    </w:p>
    <w:p w14:paraId="51BBCFD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（2）依法向甲方所在地有管辖权的人民法院起诉。</w:t>
      </w:r>
    </w:p>
    <w:p w14:paraId="0B8565E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发生争议期间，乙方有义务继续按照服务内容条款中的要求提供服务，不得中断。</w:t>
      </w:r>
    </w:p>
    <w:p w14:paraId="1F632E89">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十五、合同的</w:t>
      </w:r>
      <w:r>
        <w:rPr>
          <w:rFonts w:hint="eastAsia" w:ascii="宋体" w:hAnsi="宋体" w:cs="宋体"/>
          <w:b/>
          <w:color w:val="auto"/>
          <w:sz w:val="21"/>
          <w:szCs w:val="21"/>
          <w:highlight w:val="none"/>
          <w:lang w:eastAsia="zh-CN"/>
        </w:rPr>
        <w:t>有效期、</w:t>
      </w:r>
      <w:r>
        <w:rPr>
          <w:rFonts w:hint="eastAsia" w:ascii="宋体" w:hAnsi="宋体" w:eastAsia="宋体" w:cs="宋体"/>
          <w:b/>
          <w:color w:val="auto"/>
          <w:sz w:val="21"/>
          <w:szCs w:val="21"/>
          <w:highlight w:val="none"/>
        </w:rPr>
        <w:t>终止与解除</w:t>
      </w:r>
    </w:p>
    <w:p w14:paraId="0292AF7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cs="宋体"/>
          <w:color w:val="auto"/>
          <w:sz w:val="21"/>
          <w:szCs w:val="21"/>
          <w:highlight w:val="none"/>
          <w:lang w:val="en-US" w:eastAsia="zh-CN"/>
        </w:rPr>
        <w:t>合同有效</w:t>
      </w:r>
      <w:r>
        <w:rPr>
          <w:rFonts w:hint="eastAsia" w:ascii="宋体" w:hAnsi="宋体" w:eastAsia="宋体" w:cs="宋体"/>
          <w:color w:val="auto"/>
          <w:sz w:val="21"/>
          <w:szCs w:val="21"/>
          <w:highlight w:val="none"/>
        </w:rPr>
        <w:t>期</w:t>
      </w:r>
    </w:p>
    <w:p w14:paraId="6BD937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的有效</w:t>
      </w:r>
      <w:r>
        <w:rPr>
          <w:rFonts w:hint="eastAsia" w:ascii="宋体" w:hAnsi="宋体" w:eastAsia="宋体" w:cs="宋体"/>
          <w:color w:val="auto"/>
          <w:sz w:val="21"/>
          <w:szCs w:val="21"/>
          <w:highlight w:val="none"/>
        </w:rPr>
        <w:t>期</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本合同的有效期自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生效之日起，至项目验收合格</w:t>
      </w:r>
      <w:r>
        <w:rPr>
          <w:rFonts w:hint="eastAsia" w:ascii="宋体" w:hAnsi="宋体" w:cs="宋体"/>
          <w:color w:val="auto"/>
          <w:szCs w:val="21"/>
          <w:highlight w:val="none"/>
          <w:lang w:val="en-US" w:eastAsia="zh-CN"/>
        </w:rPr>
        <w:t>之日止</w:t>
      </w:r>
      <w:r>
        <w:rPr>
          <w:rFonts w:hint="eastAsia" w:ascii="宋体" w:hAnsi="宋体" w:eastAsia="宋体" w:cs="宋体"/>
          <w:color w:val="auto"/>
          <w:sz w:val="21"/>
          <w:szCs w:val="21"/>
          <w:highlight w:val="none"/>
        </w:rPr>
        <w:t>。</w:t>
      </w:r>
    </w:p>
    <w:p w14:paraId="3DECC44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2. 本合同终止：</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63F9846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3CC0DF43">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3. </w:t>
      </w:r>
      <w:r>
        <w:rPr>
          <w:rFonts w:hint="eastAsia" w:ascii="宋体" w:hAnsi="宋体" w:eastAsia="宋体" w:cs="宋体"/>
          <w:color w:val="auto"/>
          <w:kern w:val="2"/>
          <w:sz w:val="21"/>
          <w:szCs w:val="21"/>
          <w:highlight w:val="none"/>
          <w:lang w:val="en-US" w:eastAsia="zh-CN" w:bidi="ar-SA"/>
        </w:rPr>
        <w:t>违约解除的情形</w:t>
      </w:r>
    </w:p>
    <w:p w14:paraId="6C9893D6">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甲方违反合同的约定未及时支付乙方合同款，甲方在乙方发出要求甲方纠正违约行为的书面通知之日起30天内未能纠正违约行为并赔偿损失的，乙方有权单方解除合同。</w:t>
      </w:r>
    </w:p>
    <w:p w14:paraId="60D866C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乙方有下列情形之一的，甲方有权单方解除合同：</w:t>
      </w:r>
    </w:p>
    <w:p w14:paraId="1E147908">
      <w:pPr>
        <w:widowControl w:val="0"/>
        <w:shd w:val="clear"/>
        <w:adjustRightInd w:val="0"/>
        <w:snapToGrid w:val="0"/>
        <w:spacing w:after="0" w:line="480" w:lineRule="exact"/>
        <w:ind w:left="0" w:leftChars="0"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w:t>
      </w:r>
      <w:r>
        <w:rPr>
          <w:rFonts w:hint="eastAsia" w:ascii="宋体" w:hAnsi="宋体" w:cs="宋体"/>
          <w:color w:val="auto"/>
          <w:kern w:val="2"/>
          <w:sz w:val="21"/>
          <w:szCs w:val="21"/>
          <w:highlight w:val="none"/>
          <w:lang w:val="en-US" w:eastAsia="zh-CN" w:bidi="ar-SA"/>
        </w:rPr>
        <w:t>逾期未提供服务超过10日</w:t>
      </w:r>
      <w:r>
        <w:rPr>
          <w:rFonts w:hint="eastAsia" w:ascii="宋体" w:hAnsi="宋体" w:eastAsia="宋体" w:cs="宋体"/>
          <w:color w:val="auto"/>
          <w:kern w:val="2"/>
          <w:sz w:val="21"/>
          <w:szCs w:val="21"/>
          <w:highlight w:val="none"/>
          <w:lang w:val="en-US" w:eastAsia="zh-CN" w:bidi="ar-SA"/>
        </w:rPr>
        <w:t>；</w:t>
      </w:r>
    </w:p>
    <w:p w14:paraId="425FF18C">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（2）乙方在服务期内出现</w:t>
      </w:r>
      <w:r>
        <w:rPr>
          <w:rFonts w:hint="eastAsia" w:ascii="宋体" w:hAnsi="宋体" w:cs="宋体"/>
          <w:color w:val="auto"/>
          <w:szCs w:val="21"/>
          <w:highlight w:val="none"/>
          <w:lang w:val="en-US" w:eastAsia="zh-CN"/>
        </w:rPr>
        <w:t>不符合本合同及甲方要求累计</w:t>
      </w:r>
      <w:r>
        <w:rPr>
          <w:rFonts w:hint="eastAsia" w:ascii="宋体" w:hAnsi="宋体" w:eastAsia="宋体" w:cs="宋体"/>
          <w:color w:val="auto"/>
          <w:kern w:val="2"/>
          <w:sz w:val="21"/>
          <w:szCs w:val="21"/>
          <w:highlight w:val="none"/>
          <w:lang w:val="en-US" w:eastAsia="zh-CN" w:bidi="ar-SA"/>
        </w:rPr>
        <w:t>超过5次</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w:t>
      </w:r>
    </w:p>
    <w:p w14:paraId="098392C7">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（3）乙方违反保密义务和知识产权条款的；</w:t>
      </w:r>
    </w:p>
    <w:p w14:paraId="0987C03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（4）乙方违反约定转让、转包、分包的；</w:t>
      </w:r>
    </w:p>
    <w:p w14:paraId="20CFF48B">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（5）乙方未经甲方同意对系统数据进行使用、存储、处理，给甲方造成损失的；</w:t>
      </w:r>
    </w:p>
    <w:p w14:paraId="232A579E">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）乙方在提供服务过程中，出现重大安全事件的。</w:t>
      </w:r>
    </w:p>
    <w:p w14:paraId="50377123">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十六、</w:t>
      </w:r>
      <w:r>
        <w:rPr>
          <w:rFonts w:hint="eastAsia" w:ascii="宋体" w:hAnsi="宋体" w:cs="宋体"/>
          <w:b/>
          <w:color w:val="auto"/>
          <w:szCs w:val="21"/>
          <w:highlight w:val="none"/>
          <w:lang w:eastAsia="zh-CN"/>
        </w:rPr>
        <w:t>其他</w:t>
      </w:r>
      <w:r>
        <w:rPr>
          <w:rFonts w:hint="eastAsia" w:ascii="宋体" w:hAnsi="宋体" w:eastAsia="宋体" w:cs="宋体"/>
          <w:b/>
          <w:color w:val="auto"/>
          <w:szCs w:val="21"/>
          <w:highlight w:val="none"/>
        </w:rPr>
        <w:t>条款</w:t>
      </w:r>
    </w:p>
    <w:p w14:paraId="2FA85738">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在合同履行过程中，甲乙双方均不得任意修改合同内容，一方如需修改合同某项条款，需经双方协商同意并签订补充协议后方可实施，在达成新的协议之前，双方仍按原合同条款进行，否则，后果由自行修改条款一方负责。</w:t>
      </w:r>
    </w:p>
    <w:p w14:paraId="41FAA8F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本合同的附件为本合同不可分割的部分，与合同正文具有同等效力。</w:t>
      </w:r>
    </w:p>
    <w:p w14:paraId="5959636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如本合同附件中的条款或本合同签署之前所签署的任何文件与本合同的条款相冲突或不一致，以本合同为准。</w:t>
      </w:r>
    </w:p>
    <w:p w14:paraId="2ED6D07D">
      <w:pPr>
        <w:keepNext w:val="0"/>
        <w:keepLines w:val="0"/>
        <w:pageBreakBefore w:val="0"/>
        <w:widowControl w:val="0"/>
        <w:shd w:val="clear"/>
        <w:kinsoku/>
        <w:wordWrap/>
        <w:overflowPunct/>
        <w:topLinePunct w:val="0"/>
        <w:bidi w:val="0"/>
        <w:adjustRightInd w:val="0"/>
        <w:snapToGrid w:val="0"/>
        <w:spacing w:line="480" w:lineRule="exact"/>
        <w:ind w:left="0"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5349A3F8">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w:t>
      </w:r>
      <w:r>
        <w:rPr>
          <w:rFonts w:hint="eastAsia" w:ascii="宋体" w:hAnsi="宋体" w:cs="宋体"/>
          <w:b/>
          <w:color w:val="auto"/>
          <w:szCs w:val="21"/>
          <w:highlight w:val="none"/>
          <w:lang w:eastAsia="zh-CN"/>
        </w:rPr>
        <w:t>七</w:t>
      </w:r>
      <w:r>
        <w:rPr>
          <w:rFonts w:hint="eastAsia" w:ascii="宋体" w:hAnsi="宋体" w:eastAsia="宋体" w:cs="宋体"/>
          <w:b/>
          <w:color w:val="auto"/>
          <w:szCs w:val="21"/>
          <w:highlight w:val="none"/>
        </w:rPr>
        <w:t>、合同的生效</w:t>
      </w:r>
    </w:p>
    <w:p w14:paraId="4977661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p>
    <w:p w14:paraId="641602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本合同一式</w:t>
      </w:r>
      <w:r>
        <w:rPr>
          <w:rFonts w:hint="eastAsia" w:ascii="宋体" w:hAnsi="宋体" w:cs="宋体"/>
          <w:color w:val="auto"/>
          <w:sz w:val="21"/>
          <w:szCs w:val="21"/>
          <w:highlight w:val="none"/>
          <w:lang w:eastAsia="zh-CN"/>
        </w:rPr>
        <w:t>肆</w:t>
      </w:r>
      <w:r>
        <w:rPr>
          <w:rFonts w:hint="eastAsia" w:ascii="宋体" w:hAnsi="宋体" w:eastAsia="宋体" w:cs="宋体"/>
          <w:color w:val="auto"/>
          <w:sz w:val="21"/>
          <w:szCs w:val="21"/>
          <w:highlight w:val="none"/>
        </w:rPr>
        <w:t>份，甲乙双方各执</w:t>
      </w:r>
      <w:r>
        <w:rPr>
          <w:rFonts w:hint="eastAsia" w:ascii="宋体" w:hAnsi="宋体" w:cs="宋体"/>
          <w:color w:val="auto"/>
          <w:sz w:val="21"/>
          <w:szCs w:val="21"/>
          <w:highlight w:val="none"/>
          <w:lang w:eastAsia="zh-CN"/>
        </w:rPr>
        <w:t>贰</w:t>
      </w:r>
      <w:r>
        <w:rPr>
          <w:rFonts w:hint="eastAsia" w:ascii="宋体" w:hAnsi="宋体" w:eastAsia="宋体" w:cs="宋体"/>
          <w:color w:val="auto"/>
          <w:sz w:val="21"/>
          <w:szCs w:val="21"/>
          <w:highlight w:val="none"/>
        </w:rPr>
        <w:t>份。具有同等法律效力。</w:t>
      </w:r>
    </w:p>
    <w:p w14:paraId="5B5CA108">
      <w:pPr>
        <w:pStyle w:val="14"/>
        <w:keepNext w:val="0"/>
        <w:keepLines w:val="0"/>
        <w:pageBreakBefore w:val="0"/>
        <w:widowControl w:val="0"/>
        <w:shd w:val="clear"/>
        <w:kinsoku/>
        <w:wordWrap/>
        <w:overflowPunct/>
        <w:topLinePunct w:val="0"/>
        <w:bidi w:val="0"/>
        <w:adjustRightInd w:val="0"/>
        <w:snapToGrid w:val="0"/>
        <w:spacing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本合同未尽事宜，应经双方协商后以补充协议方式明确。补充协议自双方法定代表人或授权代表签字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p>
    <w:p w14:paraId="4D976278">
      <w:pPr>
        <w:pStyle w:val="27"/>
        <w:shd w:val="clear"/>
        <w:adjustRightInd w:val="0"/>
        <w:snapToGrid w:val="0"/>
        <w:spacing w:after="0" w:line="480" w:lineRule="exact"/>
        <w:ind w:left="0" w:leftChars="0" w:firstLine="480" w:firstLineChars="200"/>
        <w:jc w:val="left"/>
        <w:rPr>
          <w:rFonts w:hint="eastAsia" w:ascii="宋体" w:hAnsi="宋体" w:cs="宋体"/>
          <w:color w:val="auto"/>
          <w:szCs w:val="21"/>
          <w:highlight w:val="none"/>
        </w:rPr>
      </w:pPr>
    </w:p>
    <w:p w14:paraId="5B609E63">
      <w:pPr>
        <w:shd w:val="clear"/>
        <w:adjustRightInd w:val="0"/>
        <w:snapToGrid w:val="0"/>
        <w:spacing w:line="48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合同特殊条款</w:t>
      </w:r>
    </w:p>
    <w:p w14:paraId="77FCFFFF">
      <w:pPr>
        <w:pStyle w:val="14"/>
        <w:shd w:val="clear"/>
        <w:adjustRightInd w:val="0"/>
        <w:snapToGrid w:val="0"/>
        <w:spacing w:line="480" w:lineRule="exact"/>
        <w:ind w:left="0" w:leftChars="0" w:firstLine="0"/>
        <w:rPr>
          <w:rFonts w:hint="eastAsia" w:ascii="宋体" w:hAnsi="宋体" w:cstheme="minorEastAsia"/>
          <w:color w:val="auto"/>
          <w:sz w:val="21"/>
          <w:szCs w:val="21"/>
          <w:highlight w:val="none"/>
        </w:rPr>
      </w:pPr>
      <w:r>
        <w:rPr>
          <w:rFonts w:hint="eastAsia" w:ascii="宋体" w:hAnsi="宋体" w:cstheme="minorEastAsia"/>
          <w:color w:val="auto"/>
          <w:sz w:val="21"/>
          <w:szCs w:val="21"/>
          <w:highlight w:val="none"/>
        </w:rPr>
        <w:t>无。</w:t>
      </w:r>
    </w:p>
    <w:p w14:paraId="4A4BB723">
      <w:pPr>
        <w:shd w:val="clear"/>
        <w:adjustRightInd w:val="0"/>
        <w:snapToGrid w:val="0"/>
        <w:spacing w:line="480" w:lineRule="exact"/>
        <w:jc w:val="center"/>
        <w:rPr>
          <w:rFonts w:hint="eastAsia"/>
          <w:color w:val="auto"/>
          <w:szCs w:val="21"/>
          <w:highlight w:val="none"/>
        </w:rPr>
      </w:pPr>
      <w:r>
        <w:rPr>
          <w:rFonts w:hint="eastAsia"/>
          <w:color w:val="auto"/>
          <w:szCs w:val="21"/>
          <w:highlight w:val="none"/>
        </w:rPr>
        <w:t>（本页以下无正文）</w:t>
      </w:r>
    </w:p>
    <w:p w14:paraId="5F1D9440">
      <w:pPr>
        <w:pStyle w:val="2"/>
        <w:shd w:val="clear"/>
        <w:adjustRightInd w:val="0"/>
        <w:snapToGrid w:val="0"/>
        <w:spacing w:after="0" w:line="480" w:lineRule="exact"/>
        <w:rPr>
          <w:rFonts w:hint="eastAsia"/>
          <w:color w:val="auto"/>
          <w:szCs w:val="21"/>
          <w:highlight w:val="none"/>
        </w:rPr>
      </w:pPr>
    </w:p>
    <w:p w14:paraId="192EC0C5">
      <w:pPr>
        <w:shd w:val="clear"/>
        <w:adjustRightInd w:val="0"/>
        <w:snapToGrid w:val="0"/>
        <w:spacing w:line="480" w:lineRule="exact"/>
        <w:rPr>
          <w:rFonts w:hint="eastAsia"/>
          <w:color w:val="auto"/>
          <w:szCs w:val="21"/>
          <w:highlight w:val="none"/>
        </w:rPr>
      </w:pPr>
    </w:p>
    <w:tbl>
      <w:tblPr>
        <w:tblStyle w:val="44"/>
        <w:tblW w:w="0" w:type="auto"/>
        <w:tblInd w:w="113" w:type="dxa"/>
        <w:tblLayout w:type="fixed"/>
        <w:tblCellMar>
          <w:top w:w="0" w:type="dxa"/>
          <w:left w:w="108" w:type="dxa"/>
          <w:bottom w:w="0" w:type="dxa"/>
          <w:right w:w="108" w:type="dxa"/>
        </w:tblCellMar>
      </w:tblPr>
      <w:tblGrid>
        <w:gridCol w:w="4203"/>
        <w:gridCol w:w="4097"/>
      </w:tblGrid>
      <w:tr w14:paraId="32B9408F">
        <w:tblPrEx>
          <w:tblCellMar>
            <w:top w:w="0" w:type="dxa"/>
            <w:left w:w="108" w:type="dxa"/>
            <w:bottom w:w="0" w:type="dxa"/>
            <w:right w:w="108" w:type="dxa"/>
          </w:tblCellMar>
        </w:tblPrEx>
        <w:trPr>
          <w:trHeight w:val="884" w:hRule="atLeast"/>
        </w:trPr>
        <w:tc>
          <w:tcPr>
            <w:tcW w:w="4203" w:type="dxa"/>
            <w:noWrap w:val="0"/>
            <w:vAlign w:val="top"/>
          </w:tcPr>
          <w:p w14:paraId="31C8D7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2D6105F9">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25124829">
        <w:tblPrEx>
          <w:tblCellMar>
            <w:top w:w="0" w:type="dxa"/>
            <w:left w:w="108" w:type="dxa"/>
            <w:bottom w:w="0" w:type="dxa"/>
            <w:right w:w="108" w:type="dxa"/>
          </w:tblCellMar>
        </w:tblPrEx>
        <w:trPr>
          <w:trHeight w:val="3060" w:hRule="atLeast"/>
        </w:trPr>
        <w:tc>
          <w:tcPr>
            <w:tcW w:w="4203" w:type="dxa"/>
            <w:noWrap w:val="0"/>
            <w:vAlign w:val="top"/>
          </w:tcPr>
          <w:p w14:paraId="2E88B8B5">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2FF3FC6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089D8839">
        <w:tblPrEx>
          <w:tblCellMar>
            <w:top w:w="0" w:type="dxa"/>
            <w:left w:w="108" w:type="dxa"/>
            <w:bottom w:w="0" w:type="dxa"/>
            <w:right w:w="108" w:type="dxa"/>
          </w:tblCellMar>
        </w:tblPrEx>
        <w:trPr>
          <w:trHeight w:val="3301" w:hRule="atLeast"/>
        </w:trPr>
        <w:tc>
          <w:tcPr>
            <w:tcW w:w="4203" w:type="dxa"/>
            <w:noWrap w:val="0"/>
            <w:vAlign w:val="top"/>
          </w:tcPr>
          <w:p w14:paraId="24063B13">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3EC5E00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5C85A953">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FEDF0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8C4AE0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2D2509F">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61B67C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6D44FE35">
        <w:tblPrEx>
          <w:tblCellMar>
            <w:top w:w="0" w:type="dxa"/>
            <w:left w:w="108" w:type="dxa"/>
            <w:bottom w:w="0" w:type="dxa"/>
            <w:right w:w="108" w:type="dxa"/>
          </w:tblCellMar>
        </w:tblPrEx>
        <w:trPr>
          <w:trHeight w:val="845" w:hRule="atLeast"/>
        </w:trPr>
        <w:tc>
          <w:tcPr>
            <w:tcW w:w="4203" w:type="dxa"/>
            <w:noWrap w:val="0"/>
            <w:vAlign w:val="bottom"/>
          </w:tcPr>
          <w:p w14:paraId="0BB3B589">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47AA1DBC">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1D71F4AC">
        <w:tblPrEx>
          <w:tblCellMar>
            <w:top w:w="0" w:type="dxa"/>
            <w:left w:w="108" w:type="dxa"/>
            <w:bottom w:w="0" w:type="dxa"/>
            <w:right w:w="108" w:type="dxa"/>
          </w:tblCellMar>
        </w:tblPrEx>
        <w:trPr>
          <w:trHeight w:val="646" w:hRule="atLeast"/>
        </w:trPr>
        <w:tc>
          <w:tcPr>
            <w:tcW w:w="4203" w:type="dxa"/>
            <w:noWrap w:val="0"/>
            <w:vAlign w:val="top"/>
          </w:tcPr>
          <w:p w14:paraId="5D16455A">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741E3994">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368C48FE">
        <w:tblPrEx>
          <w:tblCellMar>
            <w:top w:w="0" w:type="dxa"/>
            <w:left w:w="108" w:type="dxa"/>
            <w:bottom w:w="0" w:type="dxa"/>
            <w:right w:w="108" w:type="dxa"/>
          </w:tblCellMar>
        </w:tblPrEx>
        <w:trPr>
          <w:trHeight w:val="646" w:hRule="atLeast"/>
        </w:trPr>
        <w:tc>
          <w:tcPr>
            <w:tcW w:w="4203" w:type="dxa"/>
            <w:noWrap w:val="0"/>
            <w:vAlign w:val="top"/>
          </w:tcPr>
          <w:p w14:paraId="0BA37B3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79E60C7C">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58DE8E7E">
        <w:tblPrEx>
          <w:tblCellMar>
            <w:top w:w="0" w:type="dxa"/>
            <w:left w:w="108" w:type="dxa"/>
            <w:bottom w:w="0" w:type="dxa"/>
            <w:right w:w="108" w:type="dxa"/>
          </w:tblCellMar>
        </w:tblPrEx>
        <w:trPr>
          <w:trHeight w:val="646" w:hRule="atLeast"/>
        </w:trPr>
        <w:tc>
          <w:tcPr>
            <w:tcW w:w="4203" w:type="dxa"/>
            <w:noWrap w:val="0"/>
            <w:vAlign w:val="top"/>
          </w:tcPr>
          <w:p w14:paraId="7DBAF62C">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2CC68B63">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15799B33">
      <w:pPr>
        <w:shd w:val="clear"/>
        <w:adjustRightInd w:val="0"/>
        <w:snapToGrid w:val="0"/>
        <w:spacing w:line="480" w:lineRule="exact"/>
        <w:rPr>
          <w:rFonts w:hint="eastAsia" w:hAnsi="宋体" w:cstheme="minorEastAsia"/>
          <w:color w:val="auto"/>
          <w:sz w:val="21"/>
          <w:szCs w:val="21"/>
          <w:highlight w:val="none"/>
          <w:lang w:val="en-US" w:eastAsia="zh-CN"/>
        </w:rPr>
      </w:pPr>
      <w:r>
        <w:rPr>
          <w:rFonts w:hint="eastAsia" w:hAnsi="宋体" w:cstheme="minorEastAsia"/>
          <w:color w:val="auto"/>
          <w:sz w:val="21"/>
          <w:szCs w:val="21"/>
          <w:highlight w:val="none"/>
          <w:lang w:val="en-US" w:eastAsia="zh-CN"/>
        </w:rPr>
        <w:br w:type="page"/>
      </w:r>
    </w:p>
    <w:p w14:paraId="30F43BB6">
      <w:pPr>
        <w:shd w:val="clear"/>
        <w:adjustRightInd w:val="0"/>
        <w:snapToGrid w:val="0"/>
        <w:spacing w:line="480" w:lineRule="exact"/>
        <w:jc w:val="left"/>
        <w:rPr>
          <w:rFonts w:hint="eastAsia"/>
          <w:color w:val="auto"/>
          <w:highlight w:val="none"/>
        </w:rPr>
      </w:pPr>
      <w:r>
        <w:rPr>
          <w:rFonts w:hint="eastAsia" w:ascii="宋体" w:hAnsi="宋体" w:eastAsia="宋体" w:cs="宋体"/>
          <w:color w:val="auto"/>
          <w:szCs w:val="21"/>
          <w:highlight w:val="none"/>
        </w:rPr>
        <w:t>附件一：</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w:t>
      </w:r>
    </w:p>
    <w:p w14:paraId="12503256">
      <w:pPr>
        <w:shd w:val="clear"/>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附件二：服务内容和方案</w:t>
      </w:r>
    </w:p>
    <w:p w14:paraId="76B05034">
      <w:pPr>
        <w:shd w:val="clear"/>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附件三：安全保密协议</w:t>
      </w:r>
    </w:p>
    <w:p w14:paraId="3D3B96E0">
      <w:pPr>
        <w:widowControl w:val="0"/>
        <w:shd w:val="clear"/>
        <w:adjustRightInd w:val="0"/>
        <w:snapToGrid w:val="0"/>
        <w:spacing w:after="0" w:line="480" w:lineRule="exact"/>
        <w:ind w:left="0" w:leftChars="0" w:firstLine="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安 全 保 密 协 议</w:t>
      </w:r>
    </w:p>
    <w:p w14:paraId="53C20990">
      <w:pPr>
        <w:pStyle w:val="2"/>
        <w:shd w:val="clear"/>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3CE786E2">
      <w:pPr>
        <w:pStyle w:val="2"/>
        <w:shd w:val="clear"/>
        <w:adjustRightInd w:val="0"/>
        <w:snapToGrid w:val="0"/>
        <w:spacing w:after="0" w:line="480" w:lineRule="exact"/>
        <w:ind w:left="0" w:leftChars="0" w:firstLine="48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乙方：</w:t>
      </w:r>
    </w:p>
    <w:p w14:paraId="19BED30B">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一、目的</w:t>
      </w:r>
    </w:p>
    <w:p w14:paraId="04DF321E">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ascii="宋体" w:hAnsi="宋体"/>
          <w:color w:val="auto"/>
          <w:szCs w:val="21"/>
          <w:highlight w:val="none"/>
          <w:u w:val="single"/>
        </w:rPr>
        <w:t>积分落户管理信息系统适配能力提升项目（第2包：测评服务）</w:t>
      </w:r>
      <w:r>
        <w:rPr>
          <w:rFonts w:hint="eastAsia" w:ascii="宋体" w:hAnsi="宋体" w:cs="宋体"/>
          <w:color w:val="auto"/>
          <w:szCs w:val="21"/>
          <w:highlight w:val="none"/>
        </w:rPr>
        <w:t>”事宜达成一致，并签订了《政府采购合同》。为确保本项目的安全保密，经双方协商，特制定本协议。</w:t>
      </w:r>
    </w:p>
    <w:p w14:paraId="63EEFA2F">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70DA8F1B">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1. 相关工作合同、方案、系统数据，以及有关会议文件、会议纪要和领导批示。</w:t>
      </w:r>
    </w:p>
    <w:p w14:paraId="034851C7">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2. 相关工作人员之间往来的传真、信函、电子邮件等。</w:t>
      </w:r>
    </w:p>
    <w:p w14:paraId="4567D4FE">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3. 相关工作实施过程中涉及的信息和资料以及可能产生的新的信息和资料。</w:t>
      </w:r>
    </w:p>
    <w:p w14:paraId="533D3EE0">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4. 相关工作实施过程中各方拥有的知识产权信息，已经公开的知识产权信息除外。</w:t>
      </w:r>
    </w:p>
    <w:p w14:paraId="6558EC60">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5. 经甲乙双方在该工作实施过程中确认的需要保密的其他信息。</w:t>
      </w:r>
    </w:p>
    <w:p w14:paraId="47D41A4C">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6. 保密义务在双方的服务合同结束后仍然有效。</w:t>
      </w:r>
    </w:p>
    <w:p w14:paraId="6E0E0ABE">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三、乙方责任</w:t>
      </w:r>
    </w:p>
    <w:p w14:paraId="75732945">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1. 乙方为保密资料接受方，负有保密义务，承担保密责任。</w:t>
      </w:r>
    </w:p>
    <w:p w14:paraId="0DD4ED8B">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2. 乙方未经甲方书面同意不得向第三方（包括新闻界人士）公开和披露任何保密资料或以其他方式使用保密资料。</w:t>
      </w:r>
    </w:p>
    <w:p w14:paraId="2366C504">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3. 乙方须把保密资料的接触范围严格限制在因本协议规定目的而需接触保密资料的负责任的雇员的范围内。</w:t>
      </w:r>
    </w:p>
    <w:p w14:paraId="4A8C59B9">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4. 除经过甲方书面同意而必要进行披露外，乙方不得将含有甲方或其雇员披露的保密资料复印或复制或者有意无意地提供给他人。</w:t>
      </w:r>
    </w:p>
    <w:p w14:paraId="69527413">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5.</w:t>
      </w:r>
      <w:r>
        <w:rPr>
          <w:rFonts w:hint="eastAsia" w:ascii="宋体" w:hAnsi="宋体" w:cs="宋体"/>
          <w:color w:val="auto"/>
          <w:szCs w:val="21"/>
          <w:highlight w:val="none"/>
        </w:rPr>
        <w:t xml:space="preserve"> </w:t>
      </w:r>
      <w:r>
        <w:rPr>
          <w:rFonts w:hint="eastAsia" w:ascii="宋体" w:hAnsi="宋体" w:eastAsia="宋体" w:cstheme="minorEastAsia"/>
          <w:color w:val="auto"/>
          <w:sz w:val="21"/>
          <w:szCs w:val="21"/>
          <w:highlight w:val="none"/>
        </w:rPr>
        <w:t>如果甲乙双方合作不再继续进行，经甲方在任何时候提出书面要求，乙方应当、并应促使其代表在五（5）个工作日内销毁或向甲方返还其占有的或控制的全部保密资料以及包含或体现了保密资料的全部文件和其</w:t>
      </w:r>
      <w:r>
        <w:rPr>
          <w:rFonts w:hint="eastAsia" w:hAnsi="宋体" w:cstheme="minorEastAsia"/>
          <w:color w:val="auto"/>
          <w:sz w:val="21"/>
          <w:szCs w:val="21"/>
          <w:highlight w:val="none"/>
          <w:lang w:eastAsia="zh-CN"/>
        </w:rPr>
        <w:t>他</w:t>
      </w:r>
      <w:r>
        <w:rPr>
          <w:rFonts w:hint="eastAsia" w:ascii="宋体" w:hAnsi="宋体" w:eastAsia="宋体" w:cstheme="minorEastAsia"/>
          <w:color w:val="auto"/>
          <w:sz w:val="21"/>
          <w:szCs w:val="21"/>
          <w:highlight w:val="none"/>
        </w:rPr>
        <w:t>材料并连同全部副本。</w:t>
      </w:r>
    </w:p>
    <w:p w14:paraId="6602A448">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4CEF435A">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7. 乙方违反保密义务，参照主合同违约责任条款承担违约责任。</w:t>
      </w:r>
    </w:p>
    <w:p w14:paraId="3C51A4C6">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21FCC21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 双方确认，任何一方接触并知悉本协议保密信息的人员对保密信息均负有保密义务，任何一方人员违反保密协议，将由该方承担泄密责任。</w:t>
      </w:r>
    </w:p>
    <w:p w14:paraId="182F9FB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67AA0F91">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五、其他</w:t>
      </w:r>
    </w:p>
    <w:p w14:paraId="4671EB61">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 本协议履行期间，双方如有任何修改或补充意见，应协商一致签订修改或补充协议。修改或补充协议是本协议的组成部分，签字盖章后与本协议具有同等法律效力。</w:t>
      </w:r>
    </w:p>
    <w:p w14:paraId="68071045">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本协议，</w:t>
      </w:r>
      <w:r>
        <w:rPr>
          <w:rFonts w:hint="eastAsia" w:ascii="宋体" w:hAnsi="宋体" w:eastAsia="宋体" w:cs="宋体"/>
          <w:color w:val="auto"/>
          <w:sz w:val="21"/>
          <w:szCs w:val="21"/>
          <w:highlight w:val="none"/>
        </w:rPr>
        <w:t>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r>
        <w:rPr>
          <w:rFonts w:hint="eastAsia" w:ascii="宋体" w:hAnsi="宋体" w:cs="宋体"/>
          <w:color w:val="auto"/>
          <w:szCs w:val="21"/>
          <w:highlight w:val="none"/>
        </w:rPr>
        <w:t>。</w:t>
      </w:r>
    </w:p>
    <w:p w14:paraId="02D28AF4">
      <w:pPr>
        <w:shd w:val="clear"/>
        <w:adjustRightInd w:val="0"/>
        <w:snapToGrid w:val="0"/>
        <w:spacing w:line="480" w:lineRule="exact"/>
        <w:jc w:val="center"/>
        <w:outlineLvl w:val="0"/>
        <w:rPr>
          <w:rFonts w:ascii="Times New Roman" w:hAnsi="Times New Roman" w:eastAsia="宋体" w:cs="Calibri"/>
          <w:color w:val="auto"/>
          <w:szCs w:val="21"/>
          <w:highlight w:val="none"/>
        </w:rPr>
      </w:pPr>
      <w:r>
        <w:rPr>
          <w:rFonts w:hint="eastAsia" w:ascii="Times New Roman" w:hAnsi="Times New Roman" w:eastAsia="宋体" w:cs="Calibri"/>
          <w:color w:val="auto"/>
          <w:szCs w:val="21"/>
          <w:highlight w:val="none"/>
        </w:rPr>
        <w:t>（本页以下无正文）</w:t>
      </w:r>
    </w:p>
    <w:p w14:paraId="69D09365">
      <w:pPr>
        <w:pStyle w:val="2"/>
        <w:shd w:val="clear"/>
        <w:adjustRightInd w:val="0"/>
        <w:snapToGrid w:val="0"/>
        <w:spacing w:after="0" w:line="480" w:lineRule="exact"/>
        <w:ind w:left="0" w:leftChars="0" w:firstLine="0"/>
        <w:rPr>
          <w:color w:val="auto"/>
          <w:highlight w:val="none"/>
          <w:lang w:val="en-US" w:eastAsia="zh-CN"/>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5024E946">
        <w:tblPrEx>
          <w:tblCellMar>
            <w:top w:w="0" w:type="dxa"/>
            <w:left w:w="108" w:type="dxa"/>
            <w:bottom w:w="0" w:type="dxa"/>
            <w:right w:w="108" w:type="dxa"/>
          </w:tblCellMar>
        </w:tblPrEx>
        <w:tc>
          <w:tcPr>
            <w:tcW w:w="4261" w:type="dxa"/>
            <w:noWrap w:val="0"/>
            <w:vAlign w:val="top"/>
          </w:tcPr>
          <w:p w14:paraId="586382DD">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p>
        </w:tc>
        <w:tc>
          <w:tcPr>
            <w:tcW w:w="4418" w:type="dxa"/>
            <w:noWrap w:val="0"/>
            <w:vAlign w:val="top"/>
          </w:tcPr>
          <w:p w14:paraId="0B8E27C3">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5B8E778F">
        <w:tblPrEx>
          <w:tblCellMar>
            <w:top w:w="0" w:type="dxa"/>
            <w:left w:w="108" w:type="dxa"/>
            <w:bottom w:w="0" w:type="dxa"/>
            <w:right w:w="108" w:type="dxa"/>
          </w:tblCellMar>
        </w:tblPrEx>
        <w:trPr>
          <w:trHeight w:val="1092" w:hRule="atLeast"/>
        </w:trPr>
        <w:tc>
          <w:tcPr>
            <w:tcW w:w="4261" w:type="dxa"/>
            <w:noWrap w:val="0"/>
            <w:vAlign w:val="top"/>
          </w:tcPr>
          <w:p w14:paraId="338C4A44">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法定代表人或授权代表： </w:t>
            </w:r>
          </w:p>
          <w:p w14:paraId="05189ADF">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72B525EB">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1625BE3C">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tc>
        <w:tc>
          <w:tcPr>
            <w:tcW w:w="4418" w:type="dxa"/>
            <w:noWrap w:val="0"/>
            <w:vAlign w:val="top"/>
          </w:tcPr>
          <w:p w14:paraId="43084CF1">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法定代表人或授权代表：</w:t>
            </w:r>
          </w:p>
        </w:tc>
      </w:tr>
      <w:tr w14:paraId="3CD36C6E">
        <w:tblPrEx>
          <w:tblCellMar>
            <w:top w:w="0" w:type="dxa"/>
            <w:left w:w="108" w:type="dxa"/>
            <w:bottom w:w="0" w:type="dxa"/>
            <w:right w:w="108" w:type="dxa"/>
          </w:tblCellMar>
        </w:tblPrEx>
        <w:tc>
          <w:tcPr>
            <w:tcW w:w="4261" w:type="dxa"/>
            <w:noWrap w:val="0"/>
            <w:vAlign w:val="top"/>
          </w:tcPr>
          <w:p w14:paraId="1EEDE134">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X</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XX</w:t>
            </w:r>
            <w:r>
              <w:rPr>
                <w:rFonts w:hint="eastAsia" w:ascii="宋体" w:hAnsi="宋体" w:eastAsia="宋体" w:cs="宋体"/>
                <w:color w:val="auto"/>
                <w:kern w:val="0"/>
                <w:sz w:val="21"/>
                <w:szCs w:val="21"/>
                <w:highlight w:val="none"/>
                <w:lang w:val="en-US" w:eastAsia="zh-CN" w:bidi="ar-SA"/>
              </w:rPr>
              <w:t>日</w:t>
            </w:r>
          </w:p>
        </w:tc>
        <w:tc>
          <w:tcPr>
            <w:tcW w:w="4418" w:type="dxa"/>
            <w:noWrap w:val="0"/>
            <w:vAlign w:val="top"/>
          </w:tcPr>
          <w:p w14:paraId="7E2E5FB8">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X</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XX</w:t>
            </w:r>
            <w:r>
              <w:rPr>
                <w:rFonts w:hint="eastAsia" w:ascii="宋体" w:hAnsi="宋体" w:eastAsia="宋体" w:cs="宋体"/>
                <w:color w:val="auto"/>
                <w:kern w:val="0"/>
                <w:sz w:val="21"/>
                <w:szCs w:val="21"/>
                <w:highlight w:val="none"/>
                <w:lang w:val="en-US" w:eastAsia="zh-CN" w:bidi="ar-SA"/>
              </w:rPr>
              <w:t>日</w:t>
            </w:r>
          </w:p>
        </w:tc>
      </w:tr>
    </w:tbl>
    <w:p w14:paraId="63B27E6D">
      <w:pPr>
        <w:shd w:val="clear"/>
        <w:adjustRightInd w:val="0"/>
        <w:snapToGrid w:val="0"/>
        <w:spacing w:line="480" w:lineRule="exact"/>
        <w:rPr>
          <w:rFonts w:ascii="宋体" w:hAnsi="宋体" w:cs="宋体"/>
          <w:color w:val="auto"/>
          <w:szCs w:val="21"/>
          <w:highlight w:val="none"/>
        </w:rPr>
      </w:pPr>
    </w:p>
    <w:p w14:paraId="022333AB">
      <w:pPr>
        <w:shd w:val="clear"/>
        <w:rPr>
          <w:color w:val="auto"/>
          <w:highlight w:val="none"/>
        </w:rPr>
      </w:pPr>
      <w:r>
        <w:rPr>
          <w:rFonts w:hint="eastAsia" w:ascii="宋体" w:hAnsi="宋体" w:eastAsia="宋体" w:cs="宋体"/>
          <w:color w:val="auto"/>
          <w:szCs w:val="21"/>
          <w:highlight w:val="none"/>
          <w:lang w:eastAsia="zh-CN"/>
        </w:rPr>
        <w:t>附件四：</w:t>
      </w:r>
      <w:r>
        <w:rPr>
          <w:rFonts w:hint="eastAsia" w:ascii="宋体" w:hAnsi="宋体" w:eastAsia="宋体" w:cs="宋体"/>
          <w:color w:val="auto"/>
          <w:szCs w:val="21"/>
          <w:highlight w:val="none"/>
        </w:rPr>
        <w:t>授权委托书</w:t>
      </w:r>
    </w:p>
    <w:p w14:paraId="1D29CB58">
      <w:pPr>
        <w:shd w:val="clear"/>
        <w:rPr>
          <w:color w:val="auto"/>
          <w:highlight w:val="none"/>
        </w:rPr>
      </w:pPr>
    </w:p>
    <w:p w14:paraId="51AC9335">
      <w:pPr>
        <w:shd w:val="clear"/>
        <w:rPr>
          <w:color w:val="auto"/>
          <w:highlight w:val="none"/>
        </w:rPr>
      </w:pPr>
    </w:p>
    <w:p w14:paraId="5E1AA902">
      <w:pPr>
        <w:shd w:val="clear"/>
        <w:jc w:val="left"/>
        <w:outlineLvl w:val="9"/>
        <w:rPr>
          <w:rFonts w:hint="eastAsia" w:ascii="宋体" w:hAnsi="宋体" w:eastAsia="宋体" w:cs="宋体"/>
          <w:color w:val="auto"/>
          <w:highlight w:val="none"/>
          <w:lang w:val="en-US" w:eastAsia="zh-CN"/>
        </w:rPr>
      </w:pPr>
    </w:p>
    <w:p w14:paraId="0F068B7C">
      <w:pPr>
        <w:shd w:val="clear"/>
        <w:rPr>
          <w:rFonts w:hint="eastAsia" w:ascii="宋体" w:hAnsi="宋体" w:eastAsia="宋体" w:cs="宋体"/>
          <w:color w:val="auto"/>
          <w:highlight w:val="none"/>
          <w:lang w:val="en-US" w:eastAsia="zh-CN"/>
        </w:rPr>
      </w:pPr>
    </w:p>
    <w:p w14:paraId="77037346">
      <w:pPr>
        <w:shd w:val="clear"/>
        <w:rPr>
          <w:rFonts w:hint="eastAsia" w:ascii="宋体" w:hAnsi="宋体" w:eastAsia="宋体" w:cs="宋体"/>
          <w:color w:val="auto"/>
          <w:highlight w:val="none"/>
          <w:lang w:val="en-US" w:eastAsia="zh-CN"/>
        </w:rPr>
      </w:pPr>
    </w:p>
    <w:p w14:paraId="59F243F9">
      <w:pPr>
        <w:shd w:val="clear"/>
        <w:rPr>
          <w:rFonts w:hint="default"/>
          <w:color w:val="auto"/>
          <w:highlight w:val="none"/>
          <w:lang w:val="en-US" w:eastAsia="zh-CN"/>
        </w:rPr>
      </w:pPr>
    </w:p>
    <w:p w14:paraId="35470373">
      <w:pPr>
        <w:shd w:val="clear"/>
        <w:spacing w:line="360" w:lineRule="auto"/>
        <w:rPr>
          <w:rFonts w:ascii="宋体" w:hAnsi="宋体" w:cs="宋体"/>
          <w:color w:val="auto"/>
          <w:sz w:val="24"/>
          <w:highlight w:val="none"/>
          <w:shd w:val="clear" w:color="auto" w:fill="FFFFFF"/>
        </w:rPr>
      </w:pPr>
    </w:p>
    <w:p w14:paraId="3E961ACC">
      <w:pPr>
        <w:shd w:val="clear"/>
        <w:spacing w:line="960" w:lineRule="exact"/>
        <w:jc w:val="center"/>
        <w:rPr>
          <w:rFonts w:ascii="宋体" w:hAnsi="宋体" w:cs="宋体"/>
          <w:b/>
          <w:color w:val="auto"/>
          <w:sz w:val="52"/>
          <w:szCs w:val="52"/>
          <w:highlight w:val="none"/>
        </w:rPr>
      </w:pPr>
    </w:p>
    <w:p w14:paraId="3AE4EF7A">
      <w:pPr>
        <w:shd w:val="clear"/>
        <w:rPr>
          <w:color w:val="auto"/>
          <w:highlight w:val="none"/>
        </w:rPr>
      </w:pPr>
    </w:p>
    <w:p w14:paraId="59E4E9BD">
      <w:pPr>
        <w:shd w:val="clear"/>
        <w:spacing w:line="360" w:lineRule="auto"/>
        <w:jc w:val="both"/>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第3包：</w:t>
      </w:r>
    </w:p>
    <w:p w14:paraId="1CA92FFE">
      <w:pPr>
        <w:shd w:val="clear"/>
        <w:rPr>
          <w:color w:val="auto"/>
          <w:highlight w:val="none"/>
        </w:rPr>
      </w:pPr>
    </w:p>
    <w:p w14:paraId="676A7A6F">
      <w:pPr>
        <w:shd w:val="clear"/>
        <w:rPr>
          <w:color w:val="auto"/>
          <w:highlight w:val="none"/>
        </w:rPr>
      </w:pPr>
    </w:p>
    <w:p w14:paraId="06FBB8E9">
      <w:pPr>
        <w:pStyle w:val="4"/>
        <w:shd w:val="clear"/>
        <w:snapToGrid w:val="0"/>
        <w:spacing w:line="288" w:lineRule="auto"/>
        <w:ind w:firstLine="0"/>
        <w:rPr>
          <w:rFonts w:hAnsi="宋体"/>
          <w:color w:val="auto"/>
          <w:sz w:val="28"/>
          <w:szCs w:val="28"/>
          <w:highlight w:val="none"/>
        </w:rPr>
      </w:pPr>
    </w:p>
    <w:p w14:paraId="09A6B3A7">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5E24DAB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0660EEE1">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391C7531">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30780813">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251194AB">
      <w:pPr>
        <w:pStyle w:val="5"/>
        <w:shd w:val="clear"/>
        <w:snapToGrid w:val="0"/>
        <w:spacing w:line="272" w:lineRule="atLeast"/>
        <w:ind w:firstLine="0"/>
        <w:rPr>
          <w:rFonts w:ascii="宋体" w:hAnsi="宋体" w:eastAsia="宋体"/>
          <w:color w:val="auto"/>
          <w:sz w:val="21"/>
          <w:szCs w:val="21"/>
          <w:highlight w:val="none"/>
        </w:rPr>
      </w:pPr>
    </w:p>
    <w:p w14:paraId="060CB6E6">
      <w:pPr>
        <w:pStyle w:val="5"/>
        <w:shd w:val="clear"/>
        <w:snapToGrid w:val="0"/>
        <w:spacing w:line="272" w:lineRule="atLeast"/>
        <w:ind w:firstLine="0"/>
        <w:rPr>
          <w:rFonts w:ascii="宋体" w:hAnsi="宋体" w:eastAsia="宋体"/>
          <w:color w:val="auto"/>
          <w:sz w:val="21"/>
          <w:szCs w:val="21"/>
          <w:highlight w:val="none"/>
        </w:rPr>
      </w:pPr>
    </w:p>
    <w:p w14:paraId="74902DEB">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61DAE0C3">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包：</w:t>
      </w:r>
      <w:r>
        <w:rPr>
          <w:rFonts w:hint="eastAsia" w:ascii="宋体" w:hAnsi="宋体"/>
          <w:color w:val="auto"/>
          <w:szCs w:val="21"/>
          <w:highlight w:val="none"/>
          <w:u w:val="single"/>
          <w:lang w:eastAsia="zh-CN"/>
        </w:rPr>
        <w:t>监理</w:t>
      </w:r>
      <w:r>
        <w:rPr>
          <w:rFonts w:hint="eastAsia" w:ascii="宋体" w:hAnsi="宋体"/>
          <w:color w:val="auto"/>
          <w:szCs w:val="21"/>
          <w:highlight w:val="none"/>
          <w:u w:val="single"/>
        </w:rPr>
        <w:t>服务）</w:t>
      </w:r>
      <w:r>
        <w:rPr>
          <w:rFonts w:hint="eastAsia" w:ascii="宋体" w:hAnsi="宋体"/>
          <w:color w:val="auto"/>
          <w:szCs w:val="21"/>
          <w:highlight w:val="none"/>
          <w:u w:val="single"/>
          <w:lang w:val="en-US" w:eastAsia="zh-CN"/>
        </w:rPr>
        <w:t xml:space="preserve">        </w:t>
      </w:r>
    </w:p>
    <w:p w14:paraId="23932D41">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4AF33F60">
      <w:pPr>
        <w:shd w:val="clear"/>
        <w:snapToGrid w:val="0"/>
        <w:spacing w:before="119" w:line="272" w:lineRule="atLeast"/>
        <w:rPr>
          <w:rFonts w:ascii="宋体" w:hAnsi="宋体"/>
          <w:color w:val="auto"/>
          <w:szCs w:val="21"/>
          <w:highlight w:val="none"/>
        </w:rPr>
      </w:pPr>
    </w:p>
    <w:p w14:paraId="4666682F">
      <w:pPr>
        <w:shd w:val="clear"/>
        <w:snapToGrid w:val="0"/>
        <w:spacing w:before="119" w:line="272" w:lineRule="atLeast"/>
        <w:rPr>
          <w:rFonts w:ascii="宋体" w:hAnsi="宋体"/>
          <w:color w:val="auto"/>
          <w:szCs w:val="21"/>
          <w:highlight w:val="none"/>
        </w:rPr>
      </w:pPr>
    </w:p>
    <w:p w14:paraId="401161DE">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CD30545">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22C97E23">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2FBE6940">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35E85A01">
      <w:pPr>
        <w:shd w:val="clear"/>
        <w:snapToGrid w:val="0"/>
        <w:spacing w:before="119" w:line="272" w:lineRule="atLeast"/>
        <w:ind w:left="958"/>
        <w:jc w:val="center"/>
        <w:rPr>
          <w:rFonts w:ascii="宋体" w:hAnsi="宋体"/>
          <w:color w:val="auto"/>
          <w:szCs w:val="21"/>
          <w:highlight w:val="none"/>
        </w:rPr>
      </w:pPr>
    </w:p>
    <w:p w14:paraId="4900D3F7">
      <w:pPr>
        <w:shd w:val="clear"/>
        <w:snapToGrid w:val="0"/>
        <w:spacing w:before="119" w:line="272" w:lineRule="atLeast"/>
        <w:ind w:left="958"/>
        <w:jc w:val="center"/>
        <w:rPr>
          <w:rFonts w:ascii="宋体" w:hAnsi="宋体"/>
          <w:color w:val="auto"/>
          <w:szCs w:val="21"/>
          <w:highlight w:val="none"/>
        </w:rPr>
      </w:pPr>
    </w:p>
    <w:p w14:paraId="6D5FA954">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ascii="宋体" w:hAnsi="宋体" w:cs="Times New Roman"/>
          <w:color w:val="auto"/>
          <w:szCs w:val="21"/>
          <w:highlight w:val="none"/>
        </w:rPr>
      </w:pPr>
      <w:r>
        <w:rPr>
          <w:rFonts w:ascii="宋体" w:hAnsi="宋体" w:cs="Times New Roman"/>
          <w:color w:val="auto"/>
          <w:szCs w:val="21"/>
          <w:highlight w:val="none"/>
        </w:rPr>
        <w:t>签署日期：</w:t>
      </w:r>
      <w:r>
        <w:rPr>
          <w:rFonts w:ascii="宋体" w:hAnsi="宋体" w:cs="Times New Roman"/>
          <w:color w:val="auto"/>
          <w:szCs w:val="21"/>
          <w:highlight w:val="none"/>
          <w:u w:val="single"/>
        </w:rPr>
        <w:t xml:space="preserve">              </w:t>
      </w:r>
      <w:r>
        <w:rPr>
          <w:rFonts w:hint="default" w:ascii="宋体" w:hAnsi="宋体" w:cs="Times New Roman"/>
          <w:color w:val="auto"/>
          <w:szCs w:val="21"/>
          <w:highlight w:val="none"/>
          <w:u w:val="single"/>
          <w:lang w:val="en"/>
        </w:rPr>
        <w:t xml:space="preserve"> </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p>
    <w:p w14:paraId="2431CF50">
      <w:pPr>
        <w:shd w:val="clear"/>
        <w:snapToGrid w:val="0"/>
        <w:spacing w:line="360" w:lineRule="auto"/>
        <w:ind w:left="958"/>
        <w:rPr>
          <w:rFonts w:ascii="宋体" w:hAnsi="宋体" w:cs="Times New Roman"/>
          <w:color w:val="auto"/>
          <w:szCs w:val="21"/>
          <w:highlight w:val="none"/>
        </w:rPr>
      </w:pPr>
      <w:r>
        <w:rPr>
          <w:rFonts w:ascii="宋体" w:hAnsi="宋体" w:cs="Times New Roman"/>
          <w:color w:val="auto"/>
          <w:szCs w:val="21"/>
          <w:highlight w:val="none"/>
        </w:rPr>
        <w:t xml:space="preserve">                                          </w:t>
      </w:r>
    </w:p>
    <w:p w14:paraId="577ED04F">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5AC79912">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（本合同为中小企业预留合同）</w:t>
      </w:r>
    </w:p>
    <w:p w14:paraId="072A325F">
      <w:pPr>
        <w:shd w:val="clear"/>
        <w:snapToGrid w:val="0"/>
        <w:spacing w:line="360" w:lineRule="auto"/>
        <w:jc w:val="center"/>
        <w:rPr>
          <w:rFonts w:ascii="宋体" w:hAnsi="宋体" w:cs="Times New Roman"/>
          <w:b/>
          <w:color w:val="auto"/>
          <w:szCs w:val="21"/>
          <w:highlight w:val="none"/>
        </w:rPr>
        <w:sectPr>
          <w:headerReference r:id="rId19" w:type="default"/>
          <w:pgSz w:w="11905" w:h="16838"/>
          <w:pgMar w:top="1440" w:right="1803" w:bottom="1440" w:left="1803" w:header="850" w:footer="992" w:gutter="0"/>
          <w:pgNumType w:fmt="decimal"/>
          <w:cols w:space="720" w:num="1"/>
          <w:rtlGutter w:val="0"/>
          <w:docGrid w:type="lines" w:linePitch="317" w:charSpace="0"/>
        </w:sectPr>
      </w:pPr>
    </w:p>
    <w:p w14:paraId="323DE504">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甲方：北京市人力资源和社会保障局（以下简称“甲方”）</w:t>
      </w:r>
    </w:p>
    <w:p w14:paraId="3B563748">
      <w:pPr>
        <w:shd w:val="clear"/>
        <w:adjustRightInd w:val="0"/>
        <w:snapToGrid w:val="0"/>
        <w:spacing w:line="48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法定代表人：</w:t>
      </w:r>
    </w:p>
    <w:p w14:paraId="050EF5D0">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办公地址：北京市通州区清风路33号院4号楼</w:t>
      </w:r>
    </w:p>
    <w:p w14:paraId="1D4666AE">
      <w:pPr>
        <w:shd w:val="clear"/>
        <w:adjustRightInd w:val="0"/>
        <w:snapToGrid w:val="0"/>
        <w:spacing w:line="480" w:lineRule="exact"/>
        <w:ind w:firstLine="420"/>
        <w:rPr>
          <w:rFonts w:ascii="宋体" w:hAnsi="宋体" w:cs="宋体"/>
          <w:color w:val="auto"/>
          <w:szCs w:val="21"/>
          <w:highlight w:val="none"/>
        </w:rPr>
      </w:pPr>
    </w:p>
    <w:p w14:paraId="42005883">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（以下简称“乙方”）</w:t>
      </w:r>
    </w:p>
    <w:p w14:paraId="1EF2D6B1">
      <w:pPr>
        <w:shd w:val="clear"/>
        <w:adjustRightInd w:val="0"/>
        <w:snapToGrid w:val="0"/>
        <w:spacing w:line="4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66A4EEBC">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办公地址：</w:t>
      </w:r>
    </w:p>
    <w:p w14:paraId="51D06183">
      <w:pPr>
        <w:shd w:val="clear"/>
        <w:autoSpaceDE w:val="0"/>
        <w:autoSpaceDN w:val="0"/>
        <w:adjustRightInd w:val="0"/>
        <w:snapToGrid w:val="0"/>
        <w:spacing w:line="480" w:lineRule="exact"/>
        <w:ind w:firstLine="420"/>
        <w:textAlignment w:val="baseline"/>
        <w:rPr>
          <w:rFonts w:ascii="仿宋" w:hAnsi="仿宋" w:eastAsia="仿宋"/>
          <w:color w:val="auto"/>
          <w:kern w:val="0"/>
          <w:sz w:val="24"/>
          <w:highlight w:val="none"/>
        </w:rPr>
      </w:pPr>
    </w:p>
    <w:p w14:paraId="31CC1B21">
      <w:pPr>
        <w:shd w:val="clear"/>
        <w:autoSpaceDE w:val="0"/>
        <w:autoSpaceDN w:val="0"/>
        <w:adjustRightInd w:val="0"/>
        <w:snapToGrid w:val="0"/>
        <w:spacing w:line="480" w:lineRule="exact"/>
        <w:ind w:firstLine="420"/>
        <w:textAlignment w:val="baseline"/>
        <w:rPr>
          <w:rFonts w:ascii="宋体" w:hAnsi="宋体" w:cs="宋体"/>
          <w:color w:val="auto"/>
          <w:szCs w:val="21"/>
          <w:highlight w:val="none"/>
        </w:rPr>
      </w:pPr>
      <w:r>
        <w:rPr>
          <w:rFonts w:hint="eastAsia" w:ascii="宋体" w:hAnsi="宋体" w:cs="宋体"/>
          <w:color w:val="auto"/>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通过</w:t>
      </w:r>
      <w:r>
        <w:rPr>
          <w:rFonts w:hint="eastAsia" w:ascii="宋体" w:hAnsi="宋体" w:cs="宋体"/>
          <w:color w:val="auto"/>
          <w:szCs w:val="21"/>
          <w:highlight w:val="none"/>
          <w:u w:val="single"/>
        </w:rPr>
        <w:t>竞争性磋商</w:t>
      </w:r>
      <w:r>
        <w:rPr>
          <w:rFonts w:hint="eastAsia" w:ascii="宋体" w:hAnsi="宋体" w:cs="宋体"/>
          <w:color w:val="auto"/>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为本项目成交人，依据《中华人民共和国民法典》的规定，甲乙双方经充分协商达成一致，签订本合同。</w:t>
      </w:r>
    </w:p>
    <w:p w14:paraId="3EAD04D1">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一、定义</w:t>
      </w:r>
    </w:p>
    <w:p w14:paraId="1845E5E1">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295819D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7DC3E12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491F423B">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eastAsia="zh-CN"/>
        </w:rPr>
        <w:t>本项目</w:t>
      </w:r>
      <w:r>
        <w:rPr>
          <w:rFonts w:hint="eastAsia" w:ascii="宋体" w:hAnsi="宋体" w:cs="宋体"/>
          <w:color w:val="auto"/>
          <w:szCs w:val="21"/>
          <w:highlight w:val="none"/>
        </w:rPr>
        <w:t>服务或其任何部分的人员。</w:t>
      </w:r>
    </w:p>
    <w:p w14:paraId="62A36CB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“服务”系指由乙方根据合同所实施的工作。</w:t>
      </w:r>
    </w:p>
    <w:p w14:paraId="1D0E44BD">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“甲方”系指北京市人力资源和社会保障局。</w:t>
      </w:r>
    </w:p>
    <w:p w14:paraId="5950BF13">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3FDAEB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“本项目”系指</w:t>
      </w:r>
      <w:r>
        <w:rPr>
          <w:rFonts w:hint="eastAsia" w:hAnsi="宋体" w:cs="宋体"/>
          <w:color w:val="auto"/>
          <w:sz w:val="21"/>
          <w:szCs w:val="21"/>
          <w:highlight w:val="none"/>
          <w:u w:val="single"/>
        </w:rPr>
        <w:t>北京市人力资源和社会保障局积分落户管理信息系统适配能力提升项目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w:t>
      </w:r>
    </w:p>
    <w:p w14:paraId="33941238">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”系指本项目服务期限内乙方按要求提供各项服务及相关文档，甲方及专家组对本项目</w:t>
      </w:r>
      <w:r>
        <w:rPr>
          <w:rFonts w:hint="eastAsia" w:ascii="宋体" w:hAnsi="宋体" w:cs="宋体"/>
          <w:color w:val="auto"/>
          <w:szCs w:val="21"/>
          <w:highlight w:val="none"/>
          <w:lang w:eastAsia="zh-CN"/>
        </w:rPr>
        <w:t>工作</w:t>
      </w:r>
      <w:r>
        <w:rPr>
          <w:rFonts w:hint="eastAsia" w:ascii="宋体" w:hAnsi="宋体" w:cs="宋体"/>
          <w:color w:val="auto"/>
          <w:szCs w:val="21"/>
          <w:highlight w:val="none"/>
        </w:rPr>
        <w:t>成果的最终验收。</w:t>
      </w:r>
    </w:p>
    <w:p w14:paraId="5EEB806D">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二、合同文件</w:t>
      </w:r>
    </w:p>
    <w:p w14:paraId="49D57821">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下列文件构成本合同的组成部分，应当认为是一个整体，彼此相互解释，相互补充。为便于解释，组成合同的多个文件的优先支配地位的次序如下：</w:t>
      </w:r>
    </w:p>
    <w:p w14:paraId="32C4D74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本合同书</w:t>
      </w:r>
    </w:p>
    <w:p w14:paraId="7EA77CDB">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合同特殊条款</w:t>
      </w:r>
    </w:p>
    <w:p w14:paraId="628E8B63">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成交通知书（附件一）</w:t>
      </w:r>
    </w:p>
    <w:p w14:paraId="1DA9C9FF">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服务内容和方案（附件二）</w:t>
      </w:r>
    </w:p>
    <w:p w14:paraId="42D953AD">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其他附件：根据合同文本要求需要提供的技术文档、安全保密协议（附件三）、授权委托书（附件四）等。</w:t>
      </w:r>
    </w:p>
    <w:p w14:paraId="732A52A0">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三、服务内容</w:t>
      </w:r>
    </w:p>
    <w:p w14:paraId="69A3684F">
      <w:pPr>
        <w:pStyle w:val="14"/>
        <w:shd w:val="clear"/>
        <w:snapToGrid w:val="0"/>
        <w:spacing w:line="480" w:lineRule="exact"/>
        <w:ind w:firstLineChars="200"/>
        <w:rPr>
          <w:rFonts w:hint="eastAsia" w:hAnsi="宋体" w:cs="等线"/>
          <w:color w:val="auto"/>
          <w:sz w:val="21"/>
          <w:szCs w:val="21"/>
          <w:highlight w:val="none"/>
        </w:rPr>
      </w:pPr>
      <w:r>
        <w:rPr>
          <w:rFonts w:hint="eastAsia" w:hAnsi="宋体" w:cs="等线"/>
          <w:color w:val="auto"/>
          <w:sz w:val="21"/>
          <w:szCs w:val="21"/>
          <w:highlight w:val="none"/>
        </w:rPr>
        <w:t>乙方为甲方所委托的</w:t>
      </w:r>
      <w:r>
        <w:rPr>
          <w:rFonts w:hint="eastAsia" w:hAnsi="宋体" w:cs="宋体"/>
          <w:color w:val="auto"/>
          <w:sz w:val="21"/>
          <w:szCs w:val="21"/>
          <w:highlight w:val="none"/>
          <w:u w:val="single"/>
        </w:rPr>
        <w:t>北京市人力资源和社会保障局积分落户管理信息系统适配能力提升项目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hAnsi="宋体" w:cs="等线"/>
          <w:color w:val="auto"/>
          <w:sz w:val="21"/>
          <w:szCs w:val="21"/>
          <w:highlight w:val="none"/>
        </w:rPr>
        <w:t>项目提供服务，乙方的服务内容和方案详见附件二。</w:t>
      </w:r>
    </w:p>
    <w:p w14:paraId="49858FF1">
      <w:pPr>
        <w:shd w:val="clear"/>
        <w:adjustRightInd w:val="0"/>
        <w:snapToGrid w:val="0"/>
        <w:spacing w:line="480" w:lineRule="exact"/>
        <w:ind w:left="420"/>
        <w:outlineLvl w:val="0"/>
        <w:rPr>
          <w:rFonts w:hint="eastAsia" w:ascii="宋体" w:hAnsi="宋体" w:cs="等线"/>
          <w:b/>
          <w:color w:val="auto"/>
          <w:szCs w:val="21"/>
          <w:highlight w:val="none"/>
        </w:rPr>
      </w:pPr>
      <w:r>
        <w:rPr>
          <w:rFonts w:hint="eastAsia" w:ascii="宋体" w:hAnsi="宋体" w:cs="等线"/>
          <w:b/>
          <w:color w:val="auto"/>
          <w:szCs w:val="21"/>
          <w:highlight w:val="none"/>
        </w:rPr>
        <w:t>四、服务期限和地点</w:t>
      </w:r>
    </w:p>
    <w:p w14:paraId="6A6B8E2E">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服务期限：自合同签订之日起至北京市人力资源和社会保障局积分落户管理信息系统适配能力提升项目全部竣工并通过终验之日止。</w:t>
      </w:r>
    </w:p>
    <w:p w14:paraId="5332FAD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服务地点：甲方指定的服务地点。</w:t>
      </w:r>
    </w:p>
    <w:p w14:paraId="0E7595D3">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五、付款条件和方式</w:t>
      </w:r>
    </w:p>
    <w:p w14:paraId="0F5FEFD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本项目合同款总额为人民币</w:t>
      </w:r>
      <w:r>
        <w:rPr>
          <w:rFonts w:hint="eastAsia" w:ascii="文泉驿微米黑" w:hAnsi="文泉驿微米黑" w:eastAsia="文泉驿微米黑" w:cs="文泉驿微米黑"/>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p>
    <w:p w14:paraId="14F4AC30">
      <w:pPr>
        <w:shd w:val="clear"/>
        <w:adjustRightInd w:val="0"/>
        <w:snapToGrid w:val="0"/>
        <w:spacing w:line="48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Hans"/>
        </w:rPr>
        <w:t>.</w:t>
      </w:r>
      <w:r>
        <w:rPr>
          <w:rFonts w:ascii="宋体" w:hAnsi="宋体" w:cs="宋体"/>
          <w:color w:val="auto"/>
          <w:szCs w:val="21"/>
          <w:highlight w:val="none"/>
          <w:lang w:eastAsia="zh-Hans"/>
        </w:rPr>
        <w:t xml:space="preserve"> </w:t>
      </w:r>
      <w:r>
        <w:rPr>
          <w:rFonts w:hint="eastAsia" w:ascii="宋体" w:hAnsi="宋体" w:cs="宋体"/>
          <w:color w:val="auto"/>
          <w:szCs w:val="21"/>
          <w:highlight w:val="none"/>
          <w:lang w:eastAsia="zh-Hans"/>
        </w:rPr>
        <w:t>付款</w:t>
      </w:r>
      <w:r>
        <w:rPr>
          <w:rFonts w:hint="eastAsia" w:ascii="宋体" w:hAnsi="宋体" w:cs="宋体"/>
          <w:color w:val="auto"/>
          <w:szCs w:val="21"/>
          <w:highlight w:val="none"/>
        </w:rPr>
        <w:t>方式</w:t>
      </w:r>
    </w:p>
    <w:p w14:paraId="14472C5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481AC41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发票及履约保函后，于1</w:t>
      </w:r>
      <w:r>
        <w:rPr>
          <w:rFonts w:ascii="宋体" w:hAnsi="宋体" w:cs="宋体"/>
          <w:color w:val="auto"/>
          <w:szCs w:val="21"/>
          <w:highlight w:val="none"/>
        </w:rPr>
        <w:t>0</w:t>
      </w:r>
      <w:r>
        <w:rPr>
          <w:rFonts w:hint="eastAsia" w:ascii="宋体" w:hAnsi="宋体" w:cs="宋体"/>
          <w:color w:val="auto"/>
          <w:szCs w:val="21"/>
          <w:highlight w:val="none"/>
          <w:lang w:eastAsia="zh-Hans"/>
        </w:rPr>
        <w:t>个工作日内</w:t>
      </w:r>
      <w:r>
        <w:rPr>
          <w:rFonts w:hint="eastAsia" w:ascii="宋体" w:hAnsi="宋体" w:cs="宋体"/>
          <w:color w:val="auto"/>
          <w:szCs w:val="21"/>
          <w:highlight w:val="none"/>
          <w:lang w:eastAsia="zh-CN"/>
        </w:rPr>
        <w:t>向</w:t>
      </w:r>
      <w:r>
        <w:rPr>
          <w:rFonts w:hint="eastAsia" w:ascii="宋体" w:hAnsi="宋体" w:cs="宋体"/>
          <w:color w:val="auto"/>
          <w:szCs w:val="21"/>
          <w:highlight w:val="none"/>
        </w:rPr>
        <w:t>乙方</w:t>
      </w:r>
      <w:r>
        <w:rPr>
          <w:rFonts w:hint="eastAsia" w:ascii="宋体" w:hAnsi="宋体" w:cs="宋体"/>
          <w:color w:val="auto"/>
          <w:szCs w:val="21"/>
          <w:highlight w:val="none"/>
          <w:lang w:eastAsia="zh-Hans"/>
        </w:rPr>
        <w:t>支付</w:t>
      </w:r>
      <w:r>
        <w:rPr>
          <w:rFonts w:hint="eastAsia" w:ascii="宋体" w:hAnsi="宋体" w:cs="宋体"/>
          <w:color w:val="auto"/>
          <w:szCs w:val="21"/>
          <w:highlight w:val="none"/>
        </w:rPr>
        <w:t>合同款总额，即人民币</w:t>
      </w:r>
      <w:r>
        <w:rPr>
          <w:rFonts w:hint="eastAsia" w:ascii="文泉驿微米黑" w:hAnsi="文泉驿微米黑" w:eastAsia="文泉驿微米黑" w:cs="文泉驿微米黑"/>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该价格包含乙方因履行本合同的全部服务内容可能产生的一切费用，包括但不限于税费、交通费、劳务费等。</w:t>
      </w:r>
    </w:p>
    <w:p w14:paraId="738C542C">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7E4162F1">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3C06912C">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03380E3A">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1B43CA37">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72074D33">
      <w:pPr>
        <w:shd w:val="clear"/>
        <w:adjustRightInd w:val="0"/>
        <w:snapToGrid w:val="0"/>
        <w:spacing w:line="480" w:lineRule="exact"/>
        <w:ind w:left="420"/>
        <w:outlineLvl w:val="0"/>
        <w:rPr>
          <w:rFonts w:ascii="宋体" w:hAnsi="宋体" w:cs="等线"/>
          <w:b/>
          <w:color w:val="auto"/>
          <w:szCs w:val="21"/>
          <w:highlight w:val="none"/>
          <w:lang w:eastAsia="zh-Hans"/>
        </w:rPr>
      </w:pPr>
      <w:r>
        <w:rPr>
          <w:rFonts w:hint="eastAsia" w:ascii="宋体" w:hAnsi="宋体" w:cs="等线"/>
          <w:b/>
          <w:color w:val="auto"/>
          <w:szCs w:val="21"/>
          <w:highlight w:val="none"/>
        </w:rPr>
        <w:t>六</w:t>
      </w:r>
      <w:r>
        <w:rPr>
          <w:rFonts w:ascii="宋体" w:hAnsi="宋体" w:cs="等线"/>
          <w:b/>
          <w:color w:val="auto"/>
          <w:szCs w:val="21"/>
          <w:highlight w:val="none"/>
          <w:lang w:eastAsia="zh-Hans"/>
        </w:rPr>
        <w:t>、履约保函</w:t>
      </w:r>
    </w:p>
    <w:p w14:paraId="4AC65AF7">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X</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lang w:val="en"/>
        </w:rPr>
        <w:t>月</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rPr>
        <w:t>日。</w:t>
      </w:r>
    </w:p>
    <w:p w14:paraId="1365DB27">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七、权利和义务</w:t>
      </w:r>
    </w:p>
    <w:p w14:paraId="551EA48D">
      <w:pPr>
        <w:shd w:val="clear"/>
        <w:adjustRightInd w:val="0"/>
        <w:snapToGrid w:val="0"/>
        <w:spacing w:line="480" w:lineRule="exact"/>
        <w:ind w:right="1470" w:firstLine="420" w:firstLineChars="200"/>
        <w:jc w:val="left"/>
        <w:rPr>
          <w:rFonts w:ascii="宋体" w:hAnsi="宋体" w:cs="宋体"/>
          <w:color w:val="auto"/>
          <w:szCs w:val="21"/>
          <w:highlight w:val="none"/>
        </w:rPr>
      </w:pPr>
      <w:r>
        <w:rPr>
          <w:rFonts w:hint="eastAsia" w:ascii="宋体" w:hAnsi="宋体" w:cs="宋体"/>
          <w:color w:val="auto"/>
          <w:szCs w:val="21"/>
          <w:highlight w:val="none"/>
        </w:rPr>
        <w:t>1. 甲方的权利和义务</w:t>
      </w:r>
    </w:p>
    <w:p w14:paraId="1351D1F4">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（1）甲方有权得到符合合同要求的服务。</w:t>
      </w:r>
    </w:p>
    <w:p w14:paraId="21315B4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（2）甲方有权拒绝乙方所委派的但其业务素质不被甲方所认可，或不遵守甲方工作场所规章制度的服务人员，甲方要求更换服务人员的，乙方应在7日内完成更换。</w:t>
      </w:r>
    </w:p>
    <w:p w14:paraId="23366F2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（3）甲方有权要求乙方提供与服务内容有关的相关信息，并有对乙方提出的本项目监理服务方案、监理措施、监理意见等的确认权、审批权。</w:t>
      </w:r>
    </w:p>
    <w:p w14:paraId="5E7CE22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（4）甲方有权随时当面问询监理服务范围内事宜，乙方</w:t>
      </w:r>
      <w:r>
        <w:rPr>
          <w:rFonts w:hint="eastAsia" w:ascii="宋体" w:hAnsi="宋体" w:cs="宋体"/>
          <w:color w:val="auto"/>
          <w:szCs w:val="21"/>
          <w:highlight w:val="none"/>
          <w:lang w:eastAsia="zh-CN"/>
        </w:rPr>
        <w:t>需予以</w:t>
      </w:r>
      <w:r>
        <w:rPr>
          <w:rFonts w:hint="eastAsia" w:ascii="宋体" w:hAnsi="宋体" w:cs="宋体"/>
          <w:color w:val="auto"/>
          <w:szCs w:val="21"/>
          <w:highlight w:val="none"/>
        </w:rPr>
        <w:t>配合，保障甲方工作的顺利进行。</w:t>
      </w:r>
    </w:p>
    <w:p w14:paraId="5CD4DD82">
      <w:pPr>
        <w:pStyle w:val="25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）甲方有权在网络和数据安全方面对乙方进行监督管理及考核，包括但不限于数据的使用、存储、处理等。</w:t>
      </w:r>
    </w:p>
    <w:p w14:paraId="4C8687A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）甲方应按合同约定向乙方支付合同款。</w:t>
      </w:r>
    </w:p>
    <w:p w14:paraId="1D64164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）甲方应负责项目</w:t>
      </w:r>
      <w:r>
        <w:rPr>
          <w:rFonts w:hint="eastAsia" w:ascii="宋体" w:hAnsi="宋体" w:cs="宋体"/>
          <w:color w:val="auto"/>
          <w:szCs w:val="21"/>
          <w:highlight w:val="none"/>
          <w:lang w:eastAsia="zh-CN"/>
        </w:rPr>
        <w:t>实施所需的</w:t>
      </w:r>
      <w:r>
        <w:rPr>
          <w:rFonts w:hint="eastAsia" w:ascii="宋体" w:hAnsi="宋体" w:cs="宋体"/>
          <w:color w:val="auto"/>
          <w:szCs w:val="21"/>
          <w:highlight w:val="none"/>
        </w:rPr>
        <w:t>外部关系的协调，为监理服务工作提供外部条件。</w:t>
      </w:r>
    </w:p>
    <w:p w14:paraId="7A6EA8E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）甲方</w:t>
      </w:r>
      <w:r>
        <w:rPr>
          <w:rFonts w:hint="eastAsia" w:ascii="宋体" w:hAnsi="宋体" w:cs="宋体"/>
          <w:color w:val="auto"/>
          <w:szCs w:val="21"/>
          <w:highlight w:val="none"/>
          <w:lang w:eastAsia="zh-CN"/>
        </w:rPr>
        <w:t>在与乙方签订本合同后，应</w:t>
      </w:r>
      <w:r>
        <w:rPr>
          <w:rFonts w:hint="eastAsia" w:ascii="宋体" w:hAnsi="宋体" w:cs="宋体"/>
          <w:color w:val="auto"/>
          <w:szCs w:val="21"/>
          <w:highlight w:val="none"/>
        </w:rPr>
        <w:t>免费向乙方提供与监理服务有关的项目资料。</w:t>
      </w:r>
    </w:p>
    <w:p w14:paraId="7979FE49">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）甲方应保守乙方的技术秘密和商业秘密。</w:t>
      </w:r>
    </w:p>
    <w:p w14:paraId="28656C3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乙方的权利和义务</w:t>
      </w:r>
    </w:p>
    <w:p w14:paraId="31D13FE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（1）乙方有权按照合同的约定向甲方收取合同款。</w:t>
      </w:r>
    </w:p>
    <w:p w14:paraId="478F024C">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）乙方征得甲方同意后，有权获取与委托范围内项目有关的、为乙方工作所需要的资料。</w:t>
      </w:r>
    </w:p>
    <w:p w14:paraId="5DCBA98E">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）对委托范围内项目的有关事项包括但不限于方案的编制、项目实施、成果提交、验收等要求，向甲方的建议权。</w:t>
      </w:r>
    </w:p>
    <w:p w14:paraId="13484FBD">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）对委托范围内项目的工作的检查、监督权，以及对工作质量的检验权和确认权。对于不合规范或不安全的工作情况，有权通知甲方并要求运维商限期整改。</w:t>
      </w:r>
    </w:p>
    <w:p w14:paraId="5BD75505">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）乙方应按照本合同</w:t>
      </w:r>
      <w:r>
        <w:rPr>
          <w:rFonts w:hint="eastAsia" w:ascii="宋体" w:hAnsi="宋体" w:cs="宋体"/>
          <w:color w:val="auto"/>
          <w:szCs w:val="21"/>
          <w:highlight w:val="none"/>
          <w:lang w:eastAsia="zh-CN"/>
        </w:rPr>
        <w:t>及甲方</w:t>
      </w:r>
      <w:r>
        <w:rPr>
          <w:rFonts w:hint="eastAsia" w:ascii="宋体" w:hAnsi="宋体" w:cs="宋体"/>
          <w:color w:val="auto"/>
          <w:szCs w:val="21"/>
          <w:highlight w:val="none"/>
        </w:rPr>
        <w:t>要求的服务内容，及时有效的完成规定的服务工作，提交工作成果，提交的工作成果符合国家有关行政管理部门的规定制式、质量等要求，满足甲方项目的需求。</w:t>
      </w:r>
    </w:p>
    <w:p w14:paraId="5EEC9EF0">
      <w:pPr>
        <w:shd w:val="clear"/>
        <w:adjustRightInd w:val="0"/>
        <w:snapToGrid w:val="0"/>
        <w:spacing w:line="480" w:lineRule="exact"/>
        <w:ind w:firstLine="420" w:firstLineChars="200"/>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color w:val="auto"/>
          <w:highlight w:val="none"/>
        </w:rPr>
        <w:t>乙方应保证在本合同有效期内具备国家法律法规规定的相应资质，</w:t>
      </w:r>
      <w:r>
        <w:rPr>
          <w:rFonts w:hint="eastAsia" w:ascii="宋体" w:hAnsi="宋体" w:cs="宋体"/>
          <w:color w:val="auto"/>
          <w:szCs w:val="21"/>
          <w:highlight w:val="none"/>
        </w:rPr>
        <w:t>乙方应成立专门的</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团队，</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人员数量及资质不得低于</w:t>
      </w:r>
      <w:r>
        <w:rPr>
          <w:rFonts w:hint="eastAsia"/>
          <w:color w:val="auto"/>
          <w:highlight w:val="none"/>
        </w:rPr>
        <w:t>应答采购需求时提供的人员数量</w:t>
      </w:r>
      <w:r>
        <w:rPr>
          <w:rFonts w:hint="eastAsia" w:ascii="宋体" w:hAnsi="宋体" w:cs="宋体"/>
          <w:color w:val="auto"/>
          <w:szCs w:val="21"/>
          <w:highlight w:val="none"/>
        </w:rPr>
        <w:t>及资质（</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人员名单报甲方备存），</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val="zh-CN"/>
        </w:rPr>
        <w:t>人员</w:t>
      </w:r>
      <w:r>
        <w:rPr>
          <w:rFonts w:hint="eastAsia" w:ascii="宋体" w:hAnsi="宋体" w:cs="宋体"/>
          <w:color w:val="auto"/>
          <w:szCs w:val="21"/>
          <w:highlight w:val="none"/>
        </w:rPr>
        <w:t>在项目实施及试运行期间应稳定不变，如需进行人员变更，应在征得甲方同意后进行变更。</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人员必须签署保密协议，必须明了其工作内容和要求。</w:t>
      </w:r>
    </w:p>
    <w:p w14:paraId="6183231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）乙方应对服务过程中的文档按照甲方要求妥善保存，对于服务过程中的重要事项如实记录，并经双方人员签字确认。</w:t>
      </w:r>
    </w:p>
    <w:p w14:paraId="24F5C672">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w:t>
      </w:r>
      <w:r>
        <w:rPr>
          <w:rFonts w:hint="eastAsia" w:ascii="宋体" w:hAnsi="宋体" w:cs="宋体"/>
          <w:color w:val="auto"/>
          <w:szCs w:val="21"/>
          <w:highlight w:val="none"/>
          <w:lang w:eastAsia="zh-CN"/>
        </w:rPr>
        <w:t>的工作</w:t>
      </w:r>
      <w:r>
        <w:rPr>
          <w:rFonts w:hint="eastAsia" w:ascii="宋体" w:hAnsi="宋体" w:cs="宋体"/>
          <w:color w:val="auto"/>
          <w:szCs w:val="21"/>
          <w:highlight w:val="none"/>
        </w:rPr>
        <w:t>成果应以计算机光盘和纸介质形式交付甲方。</w:t>
      </w:r>
    </w:p>
    <w:p w14:paraId="008F1FC2">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）乙方在服务中接受甲方的监督，与甲方通力合作，根据甲方的要求对服务问题进行整改，提高服务质量。</w:t>
      </w:r>
    </w:p>
    <w:p w14:paraId="1A17B8D5">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）甲方对工作成果提出的修改意见，乙方应在规定时间内完成相关修改和完善工作。</w:t>
      </w:r>
    </w:p>
    <w:p w14:paraId="0F4EEE07">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）合同到期后需乙方配合完成的工作任务，在不超越本合同工作范围的前提下，甲方可随时按需提出相关要求，乙方须及时作出响应。</w:t>
      </w:r>
    </w:p>
    <w:p w14:paraId="53835301">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）在委托的项目范围内，当甲方与</w:t>
      </w:r>
      <w:r>
        <w:rPr>
          <w:rFonts w:hint="eastAsia" w:ascii="宋体" w:hAnsi="宋体" w:cs="宋体"/>
          <w:color w:val="auto"/>
          <w:szCs w:val="21"/>
          <w:highlight w:val="none"/>
          <w:lang w:eastAsia="zh-CN"/>
        </w:rPr>
        <w:t>承建方</w:t>
      </w:r>
      <w:r>
        <w:rPr>
          <w:rFonts w:hint="eastAsia" w:ascii="宋体" w:hAnsi="宋体" w:cs="宋体"/>
          <w:color w:val="auto"/>
          <w:szCs w:val="21"/>
          <w:highlight w:val="none"/>
        </w:rPr>
        <w:t>发生争议时，乙方应根据自己的职能，以独立的身份判断，公正地进行调解。</w:t>
      </w:r>
    </w:p>
    <w:p w14:paraId="42A2CEC8">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）乙方应配合甲方完成信息安全主管部门对信息安全进行监督检查。</w:t>
      </w:r>
    </w:p>
    <w:p w14:paraId="341F0E67">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）乙方应保守甲方的相关工作秘密，严禁外传甲方政务信息、相关内部事务信息等敏感信息。</w:t>
      </w:r>
    </w:p>
    <w:p w14:paraId="5E8B1296">
      <w:pPr>
        <w:pStyle w:val="257"/>
        <w:shd w:val="clear"/>
        <w:adjustRightInd w:val="0"/>
        <w:snapToGrid w:val="0"/>
        <w:spacing w:line="480" w:lineRule="exact"/>
        <w:rPr>
          <w:color w:val="auto"/>
          <w:highlight w:val="none"/>
        </w:rPr>
      </w:pPr>
      <w:r>
        <w:rPr>
          <w:rFonts w:hint="eastAsia"/>
          <w:color w:val="auto"/>
          <w:highlight w:val="none"/>
        </w:rPr>
        <w:t>（</w:t>
      </w:r>
      <w:r>
        <w:rPr>
          <w:rFonts w:hint="eastAsia"/>
          <w:color w:val="auto"/>
          <w:highlight w:val="none"/>
          <w:lang w:val="en-US" w:eastAsia="zh-CN"/>
        </w:rPr>
        <w:t>15</w:t>
      </w:r>
      <w:r>
        <w:rPr>
          <w:rFonts w:hint="eastAsia"/>
          <w:color w:val="auto"/>
          <w:highlight w:val="none"/>
        </w:rPr>
        <w:t>）乙方在履行服务过程中，未经甲方同意，不得访问、修改、披露、利用、转让、销毁数据。</w:t>
      </w:r>
    </w:p>
    <w:p w14:paraId="7812C6F3">
      <w:pPr>
        <w:shd w:val="clear"/>
        <w:adjustRightInd w:val="0"/>
        <w:snapToGrid w:val="0"/>
        <w:spacing w:line="48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乙方在履行本合同项下约定义务过程中，因非甲方原因导致的乙方及乙方人员财物、人身遭致损害及意外等情形，均由乙方承担全部责任。</w:t>
      </w:r>
    </w:p>
    <w:p w14:paraId="4C7BDDDE">
      <w:pPr>
        <w:numPr>
          <w:ilvl w:val="0"/>
          <w:numId w:val="0"/>
        </w:numPr>
        <w:shd w:val="clear"/>
        <w:adjustRightInd w:val="0"/>
        <w:snapToGrid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乙方应对其工作人员加强管理，如乙方安排的任何工作人员因违法违规对甲方及第三方造成损失损害的，由乙方承担连带责任。</w:t>
      </w:r>
    </w:p>
    <w:p w14:paraId="3AA6FCF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本项目规定的工作内容不得转让、转包、分包。</w:t>
      </w:r>
    </w:p>
    <w:p w14:paraId="6C3F3BA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）乙方应建立政府购买服务项目台账，依照有关规定或合同约定记录保存并向甲方提供项目实施相关重要资料信息。</w:t>
      </w:r>
    </w:p>
    <w:p w14:paraId="7DB2582D">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）乙方应严格遵守相关财务规定规范管理和使用政府购买服务项目资金。</w:t>
      </w:r>
    </w:p>
    <w:p w14:paraId="078177B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）乙方应配合相关部门对资金使用情况进行监督检查与绩效评价。</w:t>
      </w:r>
    </w:p>
    <w:p w14:paraId="3194ADB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）乙方应完全遵守《中华人民共和国妇女权益保障法》中关于“劳动和社会保障权益”的有关要求。</w:t>
      </w:r>
    </w:p>
    <w:p w14:paraId="57BB425E">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八、违约责任</w:t>
      </w:r>
    </w:p>
    <w:p w14:paraId="298E125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乙方未按约定提供服务</w:t>
      </w:r>
    </w:p>
    <w:p w14:paraId="2BEC7E12">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乙方未能在双方约定的时间提供服务的，每延迟一日按照合同款总额的0.5‰支付违约金，超过10日仍未提供服务的，甲方有权解除本合同。</w:t>
      </w:r>
    </w:p>
    <w:p w14:paraId="33C6F82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乙方未按合同规定的服务条款提供服务，应向甲方支付违约金，每发现一次，甲方根据乙方违约行为给甲方造成的损失情况和产生不良影响的程度，在合同款总额3‰-3%的范围内，决定乙方应支付违约金的数额。给甲方造成损失的，还须承担赔偿责任。违约金和赔偿金的支付并没有免除乙方继续履行合同的义务。情节严重的，甲方有权单方解除合同。</w:t>
      </w:r>
    </w:p>
    <w:p w14:paraId="72346A7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乙方违反本合同所规定的保密义务和知识产权条款，乙方应立即采取补救措施，</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支付违约金（合同款总额的20%），甲方有权单方解除合同，并可提请司法机关依法追究乙方及相关人员的刑事责任。</w:t>
      </w:r>
    </w:p>
    <w:p w14:paraId="0BEAE96C">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乙方违反约定转让、转包、分包，</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w:t>
      </w:r>
    </w:p>
    <w:p w14:paraId="1A4F0FD1">
      <w:pPr>
        <w:shd w:val="clear"/>
        <w:adjustRightInd w:val="0"/>
        <w:snapToGrid w:val="0"/>
        <w:spacing w:line="480" w:lineRule="exact"/>
        <w:ind w:firstLineChars="200"/>
        <w:jc w:val="left"/>
        <w:rPr>
          <w:rFonts w:hint="eastAsia"/>
          <w:color w:val="auto"/>
          <w:highlight w:val="none"/>
        </w:rPr>
      </w:pPr>
      <w:r>
        <w:rPr>
          <w:rFonts w:hint="eastAsia" w:ascii="宋体" w:hAnsi="宋体" w:eastAsia="宋体" w:cs="宋体"/>
          <w:color w:val="auto"/>
          <w:szCs w:val="21"/>
          <w:highlight w:val="none"/>
          <w:lang w:val="en-US" w:eastAsia="zh-CN"/>
        </w:rPr>
        <w:t>5. 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33B04D17">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 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4E67E96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甲方因乙方原因扣减合同款并要求乙方支付违约金、赔偿金时，乙方不能因为甲方扣减合同款而终止/中断服务。若乙方违反本条约定或擅自终止/中断本合同的，乙方除支付违约金（</w:t>
      </w:r>
      <w:r>
        <w:rPr>
          <w:rFonts w:hint="eastAsia" w:ascii="宋体" w:hAnsi="宋体" w:cs="宋体"/>
          <w:color w:val="auto"/>
          <w:szCs w:val="21"/>
          <w:highlight w:val="none"/>
          <w:lang w:eastAsia="zh-Hans"/>
        </w:rPr>
        <w:t>合同款总额</w:t>
      </w:r>
      <w:r>
        <w:rPr>
          <w:rFonts w:hint="eastAsia" w:ascii="宋体" w:hAnsi="宋体" w:cs="宋体"/>
          <w:color w:val="auto"/>
          <w:szCs w:val="21"/>
          <w:highlight w:val="none"/>
        </w:rPr>
        <w:t>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5FFD28C7">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甲方未按约定支付合同款</w:t>
      </w:r>
    </w:p>
    <w:p w14:paraId="60553F68">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如果甲方不能按期支付乙方合同款，则应从逾期支付的第31个工作日起，每日按迟延支付金额的0.5‰向乙方支付违约金。此项违约金总额不超过迟延支付金额的5‰。超过5‰的，乙方有权收取</w:t>
      </w:r>
      <w:r>
        <w:rPr>
          <w:rFonts w:hint="eastAsia" w:ascii="宋体" w:hAnsi="宋体" w:cs="宋体"/>
          <w:color w:val="auto"/>
          <w:szCs w:val="21"/>
          <w:highlight w:val="none"/>
          <w:lang w:eastAsia="zh-CN"/>
        </w:rPr>
        <w:t>已完成服务</w:t>
      </w:r>
      <w:r>
        <w:rPr>
          <w:rFonts w:hint="eastAsia" w:ascii="宋体" w:hAnsi="宋体" w:cs="宋体"/>
          <w:color w:val="auto"/>
          <w:szCs w:val="21"/>
          <w:highlight w:val="none"/>
        </w:rPr>
        <w:t>的费用，并有权对由此引起的损失要求甲方予以赔偿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但不得</w:t>
      </w:r>
      <w:r>
        <w:rPr>
          <w:rFonts w:hint="eastAsia" w:ascii="宋体" w:hAnsi="宋体" w:cs="宋体"/>
          <w:color w:val="auto"/>
          <w:szCs w:val="21"/>
          <w:highlight w:val="none"/>
        </w:rPr>
        <w:t>解除合同或暂停服务。</w:t>
      </w:r>
    </w:p>
    <w:p w14:paraId="4C6F2F2E">
      <w:pPr>
        <w:shd w:val="clear"/>
        <w:adjustRightInd w:val="0"/>
        <w:snapToGrid w:val="0"/>
        <w:spacing w:line="480" w:lineRule="exact"/>
        <w:ind w:left="420"/>
        <w:jc w:val="left"/>
        <w:outlineLvl w:val="1"/>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九、</w:t>
      </w:r>
      <w:r>
        <w:rPr>
          <w:rFonts w:hint="eastAsia" w:ascii="宋体" w:hAnsi="宋体" w:cs="宋体"/>
          <w:b/>
          <w:bCs/>
          <w:color w:val="auto"/>
          <w:szCs w:val="21"/>
          <w:highlight w:val="none"/>
          <w:lang w:eastAsia="zh-CN"/>
        </w:rPr>
        <w:t>验收</w:t>
      </w:r>
    </w:p>
    <w:p w14:paraId="0BE89CDF">
      <w:pPr>
        <w:shd w:val="clear"/>
        <w:adjustRightInd w:val="0"/>
        <w:snapToGrid w:val="0"/>
        <w:spacing w:line="480" w:lineRule="exact"/>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 乙方应在</w:t>
      </w:r>
      <w:r>
        <w:rPr>
          <w:rFonts w:hint="default" w:ascii="宋体" w:hAnsi="宋体" w:eastAsia="宋体" w:cs="宋体"/>
          <w:color w:val="auto"/>
          <w:szCs w:val="21"/>
          <w:highlight w:val="none"/>
          <w:lang w:eastAsia="zh-CN"/>
        </w:rPr>
        <w:t>系统</w:t>
      </w:r>
      <w:r>
        <w:rPr>
          <w:rFonts w:hint="eastAsia" w:ascii="宋体" w:hAnsi="宋体" w:eastAsia="宋体" w:cs="宋体"/>
          <w:color w:val="auto"/>
          <w:szCs w:val="21"/>
          <w:highlight w:val="none"/>
          <w:lang w:eastAsia="zh-CN"/>
        </w:rPr>
        <w:t>连续</w:t>
      </w:r>
      <w:r>
        <w:rPr>
          <w:rFonts w:hint="default" w:ascii="宋体" w:hAnsi="宋体" w:eastAsia="宋体" w:cs="宋体"/>
          <w:color w:val="auto"/>
          <w:szCs w:val="21"/>
          <w:highlight w:val="none"/>
          <w:lang w:eastAsia="zh-CN"/>
        </w:rPr>
        <w:t>稳定试运行3个月后</w:t>
      </w:r>
      <w:r>
        <w:rPr>
          <w:rFonts w:hint="default" w:ascii="宋体" w:hAnsi="宋体" w:eastAsia="宋体" w:cs="宋体"/>
          <w:color w:val="auto"/>
          <w:szCs w:val="21"/>
          <w:highlight w:val="none"/>
        </w:rPr>
        <w:t>，向甲方提交</w:t>
      </w:r>
      <w:r>
        <w:rPr>
          <w:rFonts w:hint="default" w:ascii="宋体" w:hAnsi="宋体" w:eastAsia="宋体" w:cs="宋体"/>
          <w:color w:val="auto"/>
          <w:szCs w:val="21"/>
          <w:highlight w:val="none"/>
          <w:lang w:eastAsia="zh-CN"/>
        </w:rPr>
        <w:t>验收材料，包括但不限于：监理工作方案、定期项目报告、不定期专题报告、日常监理文件等</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甲方</w:t>
      </w:r>
      <w:r>
        <w:rPr>
          <w:rFonts w:hint="eastAsia" w:ascii="宋体" w:hAnsi="宋体" w:cs="宋体"/>
          <w:color w:val="auto"/>
          <w:szCs w:val="21"/>
          <w:highlight w:val="none"/>
          <w:lang w:eastAsia="zh-CN"/>
        </w:rPr>
        <w:t>组织开展项目验收并完成</w:t>
      </w:r>
      <w:r>
        <w:rPr>
          <w:rFonts w:hint="eastAsia" w:ascii="宋体" w:hAnsi="宋体" w:cs="宋体"/>
          <w:color w:val="auto"/>
          <w:szCs w:val="21"/>
          <w:highlight w:val="none"/>
        </w:rPr>
        <w:t>验收报告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w:t>
      </w:r>
      <w:r>
        <w:rPr>
          <w:rFonts w:hint="default" w:ascii="宋体" w:hAnsi="宋体" w:eastAsia="宋体" w:cs="宋体"/>
          <w:color w:val="auto"/>
          <w:szCs w:val="21"/>
          <w:highlight w:val="none"/>
        </w:rPr>
        <w:t>，视为</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通过。</w:t>
      </w:r>
    </w:p>
    <w:p w14:paraId="58A9C497">
      <w:pPr>
        <w:shd w:val="clear"/>
        <w:adjustRightInd w:val="0"/>
        <w:snapToGrid w:val="0"/>
        <w:spacing w:line="4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2. </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不合格的，乙方需在甲方要求的时间内整改并重新提交验收，直至</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合格</w:t>
      </w:r>
      <w:r>
        <w:rPr>
          <w:rFonts w:hint="default" w:ascii="宋体" w:hAnsi="宋体" w:eastAsia="宋体" w:cs="宋体"/>
          <w:color w:val="auto"/>
          <w:szCs w:val="21"/>
          <w:highlight w:val="none"/>
          <w:lang w:eastAsia="zh-CN"/>
        </w:rPr>
        <w:t>，并</w:t>
      </w:r>
      <w:r>
        <w:rPr>
          <w:rFonts w:hint="default" w:ascii="宋体" w:hAnsi="宋体" w:eastAsia="宋体" w:cs="宋体"/>
          <w:color w:val="auto"/>
          <w:szCs w:val="21"/>
          <w:highlight w:val="none"/>
        </w:rPr>
        <w:t>向甲方支付合同款总额20%的违约金，给甲方造成损失的，还应赔偿甲方的全部损失。</w:t>
      </w:r>
    </w:p>
    <w:p w14:paraId="534D4B38">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十、知识产权</w:t>
      </w:r>
    </w:p>
    <w:p w14:paraId="21C73BA1">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同时应赔偿因此给甲方造成的全部经济损失。</w:t>
      </w:r>
    </w:p>
    <w:p w14:paraId="1B6CD40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被监理项目实施所产生的知识产权成果及乙方因履行本合同而向甲方提交的各项工作成果的知识产权全部归甲方所有（已有的第三方知识产权除外）。</w:t>
      </w:r>
    </w:p>
    <w:p w14:paraId="705DA736">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十一、保密条款</w:t>
      </w:r>
    </w:p>
    <w:p w14:paraId="7D78AA4A">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》及甲方关于保密工作的相关要求，对上述保密信息承担保密义务。未经甲方书面同意，乙方不得将甲方保密信息透露给任何第三方。如有违反，乙方应承担相应的法律责任。此保密义务不因合同的终止而免除。</w:t>
      </w:r>
    </w:p>
    <w:p w14:paraId="161027B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乙方必须与甲方签订</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（详见附件三）。</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0F4519FF">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乙方应严格遵守合同规定，执行有关保密的法律法规，选派具有良好职业道德的人员参与和从事本项目工作，教育相关人员恪守职业道德，服从甲方的管理，严格遵守甲方的保密规定和工作制度，并承担相应的保密责任。</w:t>
      </w:r>
    </w:p>
    <w:p w14:paraId="7196043D">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十二、合同廉政承诺</w:t>
      </w:r>
    </w:p>
    <w:p w14:paraId="290CC35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合同双方承诺共同加强廉洁自律、反对商业贿赂。</w:t>
      </w:r>
    </w:p>
    <w:p w14:paraId="6A9C3A5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甲方及其工作人员不得索要礼金、有价证券和贵重物品；不得在乙方报销应由本单位或个人支付的费用；不得以参与项目实施为名，接受乙方从该</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中支取的劳务报酬；不得参加乙方安排的超标准宴请和娱乐活动。</w:t>
      </w:r>
    </w:p>
    <w:p w14:paraId="030CB80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5B06943F">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十三、不可抗力</w:t>
      </w:r>
    </w:p>
    <w:p w14:paraId="5697467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022188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3D06732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如果不可抗力事件后果影响合同执行超过90天，双方则就未来合同的履行另行商议。</w:t>
      </w:r>
    </w:p>
    <w:p w14:paraId="14330CAB">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十四、争议的解决</w:t>
      </w:r>
    </w:p>
    <w:p w14:paraId="3681CA6A">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本合同按中华人民共和国相关法律、法规进行解决。</w:t>
      </w:r>
    </w:p>
    <w:p w14:paraId="7FCC5FA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因履行合同所发生的一切争议，双方应友好协商解决，协商不成的按下列第（1）种方式解决：</w:t>
      </w:r>
    </w:p>
    <w:p w14:paraId="06CBBBA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（1）提交北京仲裁委员会仲裁，仲裁裁决为终局裁决；</w:t>
      </w:r>
    </w:p>
    <w:p w14:paraId="7C693696">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（2）依法向甲方所在地有管辖权的人民法院起诉。</w:t>
      </w:r>
    </w:p>
    <w:p w14:paraId="2C21C12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发生争议期间，乙方有义务继续按照服务内容条款中的要求提供服务，不得中断。</w:t>
      </w:r>
    </w:p>
    <w:p w14:paraId="2BBD5A0A">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十五、合同的</w:t>
      </w:r>
      <w:r>
        <w:rPr>
          <w:rFonts w:hint="eastAsia" w:ascii="宋体" w:hAnsi="宋体" w:cs="宋体"/>
          <w:b/>
          <w:bCs/>
          <w:color w:val="auto"/>
          <w:szCs w:val="21"/>
          <w:highlight w:val="none"/>
          <w:lang w:eastAsia="zh-CN"/>
        </w:rPr>
        <w:t>有效期、</w:t>
      </w:r>
      <w:r>
        <w:rPr>
          <w:rFonts w:hint="eastAsia" w:ascii="宋体" w:hAnsi="宋体" w:cs="宋体"/>
          <w:b/>
          <w:bCs/>
          <w:color w:val="auto"/>
          <w:szCs w:val="21"/>
          <w:highlight w:val="none"/>
        </w:rPr>
        <w:t>终止与解除</w:t>
      </w:r>
    </w:p>
    <w:p w14:paraId="548F1E24">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lang w:val="en-US" w:eastAsia="zh-CN"/>
        </w:rPr>
        <w:t>合同有效</w:t>
      </w:r>
      <w:r>
        <w:rPr>
          <w:rFonts w:hint="eastAsia" w:ascii="宋体" w:hAnsi="宋体" w:cs="宋体"/>
          <w:color w:val="auto"/>
          <w:szCs w:val="21"/>
          <w:highlight w:val="none"/>
        </w:rPr>
        <w:t>期</w:t>
      </w:r>
    </w:p>
    <w:p w14:paraId="78AD124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的有效</w:t>
      </w:r>
      <w:r>
        <w:rPr>
          <w:rFonts w:hint="eastAsia" w:ascii="宋体" w:hAnsi="宋体" w:cs="宋体"/>
          <w:color w:val="auto"/>
          <w:szCs w:val="21"/>
          <w:highlight w:val="none"/>
        </w:rPr>
        <w:t>期</w:t>
      </w:r>
      <w:r>
        <w:rPr>
          <w:rFonts w:hint="eastAsia" w:ascii="宋体" w:hAnsi="宋体" w:cs="宋体"/>
          <w:color w:val="auto"/>
          <w:szCs w:val="21"/>
          <w:highlight w:val="none"/>
          <w:lang w:eastAsia="zh-CN"/>
        </w:rPr>
        <w:t>：</w:t>
      </w:r>
      <w:r>
        <w:rPr>
          <w:rFonts w:hint="eastAsia"/>
          <w:color w:val="auto"/>
          <w:highlight w:val="none"/>
          <w:lang w:eastAsia="zh-CN"/>
        </w:rPr>
        <w:t>本</w:t>
      </w:r>
      <w:r>
        <w:rPr>
          <w:rFonts w:hint="eastAsia" w:ascii="宋体" w:hAnsi="宋体" w:cs="宋体"/>
          <w:color w:val="auto"/>
          <w:szCs w:val="21"/>
          <w:highlight w:val="none"/>
        </w:rPr>
        <w:t>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生效之日起，至项目验收合格</w:t>
      </w:r>
      <w:r>
        <w:rPr>
          <w:rFonts w:hint="eastAsia" w:ascii="宋体" w:hAnsi="宋体" w:cs="宋体"/>
          <w:color w:val="auto"/>
          <w:szCs w:val="21"/>
          <w:highlight w:val="none"/>
          <w:lang w:val="en-US" w:eastAsia="zh-CN"/>
        </w:rPr>
        <w:t>之日止</w:t>
      </w:r>
      <w:r>
        <w:rPr>
          <w:rFonts w:hint="eastAsia" w:ascii="宋体" w:hAnsi="宋体" w:eastAsia="宋体" w:cs="宋体"/>
          <w:color w:val="auto"/>
          <w:sz w:val="21"/>
          <w:szCs w:val="21"/>
          <w:highlight w:val="none"/>
        </w:rPr>
        <w:t>。</w:t>
      </w:r>
    </w:p>
    <w:p w14:paraId="5FF9F45D">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 本合同</w:t>
      </w:r>
      <w:r>
        <w:rPr>
          <w:rFonts w:hint="eastAsia" w:ascii="宋体" w:hAnsi="宋体" w:cs="宋体"/>
          <w:color w:val="auto"/>
          <w:szCs w:val="21"/>
          <w:highlight w:val="none"/>
        </w:rPr>
        <w:t>终止</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7BFA8F4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5940FDA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违约解除的情形</w:t>
      </w:r>
    </w:p>
    <w:p w14:paraId="7CCDBD2C">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甲方违反合同的约定未及时支付乙方合同款，甲方在乙方发出要求甲方纠正违约行为的书面通知之日起30天内未能纠正违约行为并赔偿损失的，乙方有权单方解除合同。</w:t>
      </w:r>
    </w:p>
    <w:p w14:paraId="6428A88B">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乙方有下列情形之一的，甲方有权单方解除合同：</w:t>
      </w:r>
    </w:p>
    <w:p w14:paraId="26148C37">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（1）乙方逾期未提供服务超过10日；</w:t>
      </w:r>
    </w:p>
    <w:p w14:paraId="4BBEB12E">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（2）乙方在服务期内出现</w:t>
      </w:r>
      <w:r>
        <w:rPr>
          <w:rFonts w:hint="eastAsia" w:ascii="宋体" w:hAnsi="宋体" w:cs="宋体"/>
          <w:color w:val="auto"/>
          <w:szCs w:val="21"/>
          <w:highlight w:val="none"/>
          <w:lang w:val="en-US" w:eastAsia="zh-CN"/>
        </w:rPr>
        <w:t>不符合本合同及甲方要求累计</w:t>
      </w:r>
      <w:r>
        <w:rPr>
          <w:rFonts w:hint="eastAsia" w:ascii="宋体" w:hAnsi="宋体" w:cs="宋体"/>
          <w:color w:val="auto"/>
          <w:szCs w:val="21"/>
          <w:highlight w:val="none"/>
        </w:rPr>
        <w:t>超过5次</w:t>
      </w:r>
      <w:r>
        <w:rPr>
          <w:rFonts w:hint="eastAsia" w:ascii="宋体" w:hAnsi="宋体" w:cs="宋体"/>
          <w:color w:val="auto"/>
          <w:szCs w:val="21"/>
          <w:highlight w:val="none"/>
          <w:lang w:eastAsia="zh-CN"/>
        </w:rPr>
        <w:t>的</w:t>
      </w:r>
      <w:r>
        <w:rPr>
          <w:rFonts w:hint="eastAsia" w:ascii="宋体" w:hAnsi="宋体" w:cs="宋体"/>
          <w:color w:val="auto"/>
          <w:szCs w:val="21"/>
          <w:highlight w:val="none"/>
        </w:rPr>
        <w:t>；</w:t>
      </w:r>
    </w:p>
    <w:p w14:paraId="6A3F20E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（3）乙方违反保密义务和知识产权条款的；</w:t>
      </w:r>
    </w:p>
    <w:p w14:paraId="012C5A7B">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（4）乙方违反约定转让、转包、分包的；</w:t>
      </w:r>
    </w:p>
    <w:p w14:paraId="60AC176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（5）乙方在提供服务过程中，出现重大安全事件的。</w:t>
      </w:r>
    </w:p>
    <w:p w14:paraId="1E9598A9">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十六、其他条款</w:t>
      </w:r>
    </w:p>
    <w:p w14:paraId="568022E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在合同履行过程中，甲乙双方均不得任意修改合同内容，一方如需修改合同某项条款，需经双方协商同意并签订补充协议后方可实施，在达成新的协议之前，双方仍按原合同条款进行，否则，后果由自行修改条款一方负责。</w:t>
      </w:r>
    </w:p>
    <w:p w14:paraId="4F8D1CD8">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本合同的附件为本合同不可分割的部分，与合同正文具有同等效力。</w:t>
      </w:r>
    </w:p>
    <w:p w14:paraId="700D3D99">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如本合同附件中的条款或本合同签署之前所签署的任何文件与本合同的条款相冲突或不一致，以本合同为准。</w:t>
      </w:r>
    </w:p>
    <w:p w14:paraId="43CC3052">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035226C7">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、合同的生效</w:t>
      </w:r>
    </w:p>
    <w:p w14:paraId="0621320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本合同自双方法定代表人或授权代表签字并加盖单位合同章或公章后生效。</w:t>
      </w:r>
    </w:p>
    <w:p w14:paraId="16EB4946">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本合同一式肆份，甲乙双方各执贰份。具有同等法律效力。</w:t>
      </w:r>
    </w:p>
    <w:p w14:paraId="7C8353F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本合同未尽事宜，应经双方协商后以补充协议方式明确。补充协议自双方法定代表人或授权代表签字并加盖单位合同章或公章后生效。</w:t>
      </w:r>
    </w:p>
    <w:p w14:paraId="17C90D79">
      <w:pPr>
        <w:shd w:val="clear"/>
        <w:adjustRightInd w:val="0"/>
        <w:snapToGrid w:val="0"/>
        <w:spacing w:line="480" w:lineRule="exact"/>
        <w:ind w:firstLine="420" w:firstLineChars="200"/>
        <w:jc w:val="left"/>
        <w:rPr>
          <w:rFonts w:ascii="宋体" w:hAnsi="宋体" w:cs="宋体"/>
          <w:color w:val="auto"/>
          <w:szCs w:val="21"/>
          <w:highlight w:val="none"/>
        </w:rPr>
      </w:pPr>
    </w:p>
    <w:p w14:paraId="64717F61">
      <w:pPr>
        <w:shd w:val="clear"/>
        <w:adjustRightInd w:val="0"/>
        <w:snapToGrid w:val="0"/>
        <w:spacing w:line="4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合同特殊条款</w:t>
      </w:r>
    </w:p>
    <w:p w14:paraId="43CE06C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14:paraId="6D296EC2">
      <w:pPr>
        <w:shd w:val="clear"/>
        <w:adjustRightInd w:val="0"/>
        <w:snapToGrid w:val="0"/>
        <w:spacing w:line="480" w:lineRule="exact"/>
        <w:jc w:val="center"/>
        <w:rPr>
          <w:rFonts w:ascii="宋体" w:hAnsi="宋体" w:cs="宋体"/>
          <w:color w:val="auto"/>
          <w:szCs w:val="21"/>
          <w:highlight w:val="none"/>
        </w:rPr>
      </w:pPr>
      <w:r>
        <w:rPr>
          <w:rFonts w:hint="eastAsia" w:ascii="宋体" w:hAnsi="宋体" w:cs="宋体"/>
          <w:color w:val="auto"/>
          <w:szCs w:val="21"/>
          <w:highlight w:val="none"/>
        </w:rPr>
        <w:t>（本页以下无正文）</w:t>
      </w:r>
    </w:p>
    <w:p w14:paraId="794020CB">
      <w:pPr>
        <w:shd w:val="clear"/>
        <w:adjustRightInd w:val="0"/>
        <w:snapToGrid w:val="0"/>
        <w:spacing w:line="480" w:lineRule="exact"/>
        <w:ind w:right="1470"/>
        <w:jc w:val="left"/>
        <w:rPr>
          <w:rFonts w:ascii="宋体" w:hAnsi="宋体" w:cs="宋体"/>
          <w:color w:val="auto"/>
          <w:szCs w:val="21"/>
          <w:highlight w:val="none"/>
        </w:rPr>
      </w:pPr>
    </w:p>
    <w:p w14:paraId="3F5EE3B9">
      <w:pPr>
        <w:shd w:val="clear"/>
        <w:adjustRightInd w:val="0"/>
        <w:snapToGrid w:val="0"/>
        <w:spacing w:line="480" w:lineRule="exact"/>
        <w:ind w:right="1470"/>
        <w:jc w:val="left"/>
        <w:rPr>
          <w:rFonts w:ascii="仿宋" w:hAnsi="仿宋" w:eastAsia="仿宋"/>
          <w:color w:val="auto"/>
          <w:sz w:val="24"/>
          <w:highlight w:val="none"/>
        </w:rPr>
      </w:pPr>
    </w:p>
    <w:p w14:paraId="27B42B1B">
      <w:pPr>
        <w:shd w:val="clear"/>
        <w:adjustRightInd w:val="0"/>
        <w:snapToGrid w:val="0"/>
        <w:spacing w:line="480" w:lineRule="exact"/>
        <w:ind w:right="1470"/>
        <w:jc w:val="left"/>
        <w:rPr>
          <w:rFonts w:ascii="仿宋" w:hAnsi="仿宋" w:eastAsia="仿宋"/>
          <w:color w:val="auto"/>
          <w:sz w:val="24"/>
          <w:highlight w:val="none"/>
        </w:rPr>
      </w:pPr>
    </w:p>
    <w:p w14:paraId="6C48BFF3">
      <w:pPr>
        <w:shd w:val="clear"/>
        <w:adjustRightInd w:val="0"/>
        <w:snapToGrid w:val="0"/>
        <w:spacing w:line="480" w:lineRule="exact"/>
        <w:ind w:right="1470"/>
        <w:jc w:val="left"/>
        <w:rPr>
          <w:rFonts w:ascii="仿宋" w:hAnsi="仿宋" w:eastAsia="仿宋"/>
          <w:color w:val="auto"/>
          <w:sz w:val="24"/>
          <w:highlight w:val="none"/>
        </w:rPr>
      </w:pPr>
    </w:p>
    <w:p w14:paraId="0DFD4480">
      <w:pPr>
        <w:shd w:val="clear"/>
        <w:adjustRightInd w:val="0"/>
        <w:snapToGrid w:val="0"/>
        <w:spacing w:line="480" w:lineRule="exact"/>
        <w:ind w:right="1470"/>
        <w:jc w:val="left"/>
        <w:rPr>
          <w:rFonts w:ascii="仿宋" w:hAnsi="仿宋" w:eastAsia="仿宋"/>
          <w:color w:val="auto"/>
          <w:sz w:val="24"/>
          <w:highlight w:val="none"/>
        </w:rPr>
      </w:pPr>
    </w:p>
    <w:tbl>
      <w:tblPr>
        <w:tblStyle w:val="44"/>
        <w:tblW w:w="8300" w:type="dxa"/>
        <w:tblInd w:w="113" w:type="dxa"/>
        <w:tblLayout w:type="fixed"/>
        <w:tblCellMar>
          <w:top w:w="0" w:type="dxa"/>
          <w:left w:w="108" w:type="dxa"/>
          <w:bottom w:w="0" w:type="dxa"/>
          <w:right w:w="108" w:type="dxa"/>
        </w:tblCellMar>
      </w:tblPr>
      <w:tblGrid>
        <w:gridCol w:w="4203"/>
        <w:gridCol w:w="4097"/>
      </w:tblGrid>
      <w:tr w14:paraId="300E2E90">
        <w:tblPrEx>
          <w:tblCellMar>
            <w:top w:w="0" w:type="dxa"/>
            <w:left w:w="108" w:type="dxa"/>
            <w:bottom w:w="0" w:type="dxa"/>
            <w:right w:w="108" w:type="dxa"/>
          </w:tblCellMar>
        </w:tblPrEx>
        <w:trPr>
          <w:trHeight w:val="884" w:hRule="atLeast"/>
        </w:trPr>
        <w:tc>
          <w:tcPr>
            <w:tcW w:w="4203" w:type="dxa"/>
            <w:noWrap w:val="0"/>
            <w:vAlign w:val="top"/>
          </w:tcPr>
          <w:p w14:paraId="3F86401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7A626C6F">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34FF1310">
        <w:tblPrEx>
          <w:tblCellMar>
            <w:top w:w="0" w:type="dxa"/>
            <w:left w:w="108" w:type="dxa"/>
            <w:bottom w:w="0" w:type="dxa"/>
            <w:right w:w="108" w:type="dxa"/>
          </w:tblCellMar>
        </w:tblPrEx>
        <w:trPr>
          <w:trHeight w:val="3060" w:hRule="atLeast"/>
        </w:trPr>
        <w:tc>
          <w:tcPr>
            <w:tcW w:w="4203" w:type="dxa"/>
            <w:noWrap w:val="0"/>
            <w:vAlign w:val="top"/>
          </w:tcPr>
          <w:p w14:paraId="5DD0C5A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41954B97">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44F063C7">
        <w:tblPrEx>
          <w:tblCellMar>
            <w:top w:w="0" w:type="dxa"/>
            <w:left w:w="108" w:type="dxa"/>
            <w:bottom w:w="0" w:type="dxa"/>
            <w:right w:w="108" w:type="dxa"/>
          </w:tblCellMar>
        </w:tblPrEx>
        <w:trPr>
          <w:trHeight w:val="3301" w:hRule="atLeast"/>
        </w:trPr>
        <w:tc>
          <w:tcPr>
            <w:tcW w:w="4203" w:type="dxa"/>
            <w:noWrap w:val="0"/>
            <w:vAlign w:val="top"/>
          </w:tcPr>
          <w:p w14:paraId="2DB07EE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300DF71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0BB4AD9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1EEEA60">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4ED32A69">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CCEDA5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637301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16BC47BA">
        <w:tblPrEx>
          <w:tblCellMar>
            <w:top w:w="0" w:type="dxa"/>
            <w:left w:w="108" w:type="dxa"/>
            <w:bottom w:w="0" w:type="dxa"/>
            <w:right w:w="108" w:type="dxa"/>
          </w:tblCellMar>
        </w:tblPrEx>
        <w:trPr>
          <w:trHeight w:val="845" w:hRule="atLeast"/>
        </w:trPr>
        <w:tc>
          <w:tcPr>
            <w:tcW w:w="4203" w:type="dxa"/>
            <w:noWrap w:val="0"/>
            <w:vAlign w:val="bottom"/>
          </w:tcPr>
          <w:p w14:paraId="1BAAFCA4">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5CD0A90B">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7FEC2920">
        <w:tblPrEx>
          <w:tblCellMar>
            <w:top w:w="0" w:type="dxa"/>
            <w:left w:w="108" w:type="dxa"/>
            <w:bottom w:w="0" w:type="dxa"/>
            <w:right w:w="108" w:type="dxa"/>
          </w:tblCellMar>
        </w:tblPrEx>
        <w:trPr>
          <w:trHeight w:val="646" w:hRule="atLeast"/>
        </w:trPr>
        <w:tc>
          <w:tcPr>
            <w:tcW w:w="4203" w:type="dxa"/>
            <w:noWrap w:val="0"/>
            <w:vAlign w:val="top"/>
          </w:tcPr>
          <w:p w14:paraId="5AE7E48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2F01ABE0">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168FF151">
        <w:tblPrEx>
          <w:tblCellMar>
            <w:top w:w="0" w:type="dxa"/>
            <w:left w:w="108" w:type="dxa"/>
            <w:bottom w:w="0" w:type="dxa"/>
            <w:right w:w="108" w:type="dxa"/>
          </w:tblCellMar>
        </w:tblPrEx>
        <w:trPr>
          <w:trHeight w:val="646" w:hRule="atLeast"/>
        </w:trPr>
        <w:tc>
          <w:tcPr>
            <w:tcW w:w="4203" w:type="dxa"/>
            <w:noWrap w:val="0"/>
            <w:vAlign w:val="top"/>
          </w:tcPr>
          <w:p w14:paraId="3C4ADC8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20219F24">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2648BF3C">
        <w:tblPrEx>
          <w:tblCellMar>
            <w:top w:w="0" w:type="dxa"/>
            <w:left w:w="108" w:type="dxa"/>
            <w:bottom w:w="0" w:type="dxa"/>
            <w:right w:w="108" w:type="dxa"/>
          </w:tblCellMar>
        </w:tblPrEx>
        <w:trPr>
          <w:trHeight w:val="646" w:hRule="atLeast"/>
        </w:trPr>
        <w:tc>
          <w:tcPr>
            <w:tcW w:w="4203" w:type="dxa"/>
            <w:noWrap w:val="0"/>
            <w:vAlign w:val="top"/>
          </w:tcPr>
          <w:p w14:paraId="13CAC09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62F7AD0C">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2CBDBA0A">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附件一：成交通知书</w:t>
      </w:r>
    </w:p>
    <w:p w14:paraId="3874A0FF">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t>附件二：服务内容和方案</w:t>
      </w:r>
    </w:p>
    <w:p w14:paraId="1F08F7D4">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t>附件三：安全保密协议</w:t>
      </w:r>
    </w:p>
    <w:p w14:paraId="22BFCA41">
      <w:pPr>
        <w:shd w:val="clear"/>
        <w:adjustRightInd w:val="0"/>
        <w:snapToGrid w:val="0"/>
        <w:spacing w:line="4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安 全 保 密 协 议</w:t>
      </w:r>
    </w:p>
    <w:p w14:paraId="26724126">
      <w:pPr>
        <w:pStyle w:val="2"/>
        <w:shd w:val="clear"/>
        <w:adjustRightInd w:val="0"/>
        <w:snapToGrid w:val="0"/>
        <w:spacing w:after="0" w:line="480" w:lineRule="exact"/>
        <w:ind w:left="0" w:leftChars="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321A049F">
      <w:pPr>
        <w:pStyle w:val="2"/>
        <w:shd w:val="clear"/>
        <w:adjustRightInd w:val="0"/>
        <w:snapToGrid w:val="0"/>
        <w:spacing w:after="0" w:line="480" w:lineRule="exact"/>
        <w:ind w:left="0" w:leftChars="0" w:firstLineChars="200"/>
        <w:rPr>
          <w:rFonts w:ascii="宋体" w:hAnsi="宋体" w:cs="宋体"/>
          <w:color w:val="auto"/>
          <w:szCs w:val="21"/>
          <w:highlight w:val="none"/>
        </w:rPr>
      </w:pPr>
      <w:r>
        <w:rPr>
          <w:rFonts w:hint="eastAsia" w:ascii="宋体" w:hAnsi="宋体" w:cs="宋体"/>
          <w:color w:val="auto"/>
          <w:szCs w:val="21"/>
          <w:highlight w:val="none"/>
        </w:rPr>
        <w:t>乙方：</w:t>
      </w:r>
    </w:p>
    <w:p w14:paraId="30A477A2">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一、目的</w:t>
      </w:r>
    </w:p>
    <w:p w14:paraId="5B87C4FE">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hAnsi="宋体" w:cs="宋体"/>
          <w:color w:val="auto"/>
          <w:sz w:val="21"/>
          <w:szCs w:val="21"/>
          <w:highlight w:val="none"/>
          <w:u w:val="single"/>
        </w:rPr>
        <w:t>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”事宜达成一致，并签订了</w:t>
      </w:r>
      <w:r>
        <w:rPr>
          <w:rFonts w:hint="eastAsia" w:ascii="宋体" w:hAnsi="宋体" w:cs="宋体"/>
          <w:color w:val="auto"/>
          <w:szCs w:val="21"/>
          <w:highlight w:val="none"/>
          <w:lang w:eastAsia="zh-CN"/>
        </w:rPr>
        <w:t>《政府采购</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。为确保本项目的安全保密，经双方协商，特制定本协议。</w:t>
      </w:r>
    </w:p>
    <w:p w14:paraId="3584945D">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69723ED1">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1. 相关工作合同、方案、系统数据，以及有关会议文件、会议纪要和领导批示。</w:t>
      </w:r>
    </w:p>
    <w:p w14:paraId="48DBBE20">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2. 相关工作人员之间往来的传真、信函、电子邮件等。</w:t>
      </w:r>
    </w:p>
    <w:p w14:paraId="37B2AA2D">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3. 相关工作实施过程中涉及的信息和资料以及可能产生的新的信息和资料。</w:t>
      </w:r>
    </w:p>
    <w:p w14:paraId="3E3D7ABF">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4. 相关工作实施过程中各方拥有的知识产权信息，已经公开的知识产权信息除外。</w:t>
      </w:r>
    </w:p>
    <w:p w14:paraId="3B0764F9">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5. 经甲乙双方在该工作实施过程中确认的需要保密的其他信息。</w:t>
      </w:r>
    </w:p>
    <w:p w14:paraId="7C2300C6">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6. 保密义务在双方的服务合同结束后仍然有效。</w:t>
      </w:r>
    </w:p>
    <w:p w14:paraId="3C7C5418">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三、乙方责任</w:t>
      </w:r>
    </w:p>
    <w:p w14:paraId="0D8619A2">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1. 乙方为保密资料接受方，负有保密义务，承担保密责任。</w:t>
      </w:r>
    </w:p>
    <w:p w14:paraId="0B2DFBCC">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2. 乙方未经甲方书面同意不得向第三方（包括新闻界人士）公开和披露任何保密资料或以其他方式使用保密资料。</w:t>
      </w:r>
    </w:p>
    <w:p w14:paraId="2ACE036F">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3. 乙方须把保密资料的接触范围严格限制在因本协议规定目的而需接触保密资料的负责任的雇员的范围内。</w:t>
      </w:r>
    </w:p>
    <w:p w14:paraId="2597C485">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4. 除经过甲方书面同意而必要进行披露外，乙方不得将含有甲方或其雇员披露的保密资料复印或复制或者有意无意地提供给他人。</w:t>
      </w:r>
    </w:p>
    <w:p w14:paraId="24BC2EF4">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5. 如果甲乙双方合作不再继续进行，经甲方在任何时候提出书面要求，乙方应当、并应促使其代表在五（5）个工作日内销毁或向甲方返还其占有的或控制的全部保密资料以及包含或体现了保密资料的全部文件和其他材料并连同全部副本。</w:t>
      </w:r>
    </w:p>
    <w:p w14:paraId="797C7ED6">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40A79BB4">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7. 乙方违反保密义务，</w:t>
      </w:r>
      <w:r>
        <w:rPr>
          <w:rFonts w:ascii="宋体" w:hAnsi="宋体" w:cs="宋体"/>
          <w:color w:val="auto"/>
          <w:szCs w:val="21"/>
          <w:highlight w:val="none"/>
        </w:rPr>
        <w:t>参照主合同违约责任条款承担违约责任。</w:t>
      </w:r>
    </w:p>
    <w:p w14:paraId="01685C04">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2BBC32A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等线"/>
          <w:color w:val="auto"/>
          <w:szCs w:val="21"/>
          <w:highlight w:val="none"/>
        </w:rPr>
        <w:t xml:space="preserve"> </w:t>
      </w:r>
      <w:r>
        <w:rPr>
          <w:rFonts w:hint="eastAsia" w:ascii="宋体" w:hAnsi="宋体" w:cs="宋体"/>
          <w:color w:val="auto"/>
          <w:szCs w:val="21"/>
          <w:highlight w:val="none"/>
        </w:rPr>
        <w:t>双方确认，任何一方接触并知悉本协议保密信息的人员对保密信息均负有保密义务，任何一方人员违反保密协议，将由该方承担泄密责任。</w:t>
      </w:r>
    </w:p>
    <w:p w14:paraId="5F73C060">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56C0DE8C">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五、其他</w:t>
      </w:r>
    </w:p>
    <w:p w14:paraId="1C8AF777">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等线"/>
          <w:color w:val="auto"/>
          <w:szCs w:val="21"/>
          <w:highlight w:val="none"/>
        </w:rPr>
        <w:t xml:space="preserve"> </w:t>
      </w:r>
      <w:r>
        <w:rPr>
          <w:rFonts w:hint="eastAsia" w:ascii="宋体" w:hAnsi="宋体" w:cs="宋体"/>
          <w:color w:val="auto"/>
          <w:szCs w:val="21"/>
          <w:highlight w:val="none"/>
        </w:rPr>
        <w:t>本协议履行期间，双方如有任何修改或补充意见，应协商一致签订修改或补充协议。修改或补充协议是本协议的组成部分，签字盖章后与本协议具有同等法律效力。</w:t>
      </w:r>
    </w:p>
    <w:p w14:paraId="03C96392">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hAnsi="宋体" w:cs="等线"/>
          <w:color w:val="auto"/>
          <w:szCs w:val="21"/>
          <w:highlight w:val="none"/>
        </w:rPr>
        <w:t xml:space="preserve"> </w:t>
      </w:r>
      <w:r>
        <w:rPr>
          <w:rFonts w:hint="eastAsia" w:ascii="宋体" w:hAnsi="宋体" w:cs="宋体"/>
          <w:color w:val="auto"/>
          <w:szCs w:val="21"/>
          <w:highlight w:val="none"/>
        </w:rPr>
        <w:t>本协议，自双方法定代表人或授权代表签字并加盖单位合同章或公章后生效。</w:t>
      </w:r>
    </w:p>
    <w:p w14:paraId="66CF910D">
      <w:pPr>
        <w:shd w:val="clear"/>
        <w:adjustRightInd w:val="0"/>
        <w:snapToGrid w:val="0"/>
        <w:spacing w:line="480" w:lineRule="exact"/>
        <w:jc w:val="center"/>
        <w:outlineLvl w:val="0"/>
        <w:rPr>
          <w:rFonts w:cs="Calibri"/>
          <w:color w:val="auto"/>
          <w:szCs w:val="21"/>
          <w:highlight w:val="none"/>
        </w:rPr>
      </w:pPr>
      <w:r>
        <w:rPr>
          <w:rFonts w:hint="eastAsia" w:cs="Calibri"/>
          <w:color w:val="auto"/>
          <w:szCs w:val="21"/>
          <w:highlight w:val="none"/>
        </w:rPr>
        <w:t>（本页以下无正文）</w:t>
      </w:r>
    </w:p>
    <w:p w14:paraId="3CD50DDD">
      <w:pPr>
        <w:pStyle w:val="2"/>
        <w:shd w:val="clear"/>
        <w:adjustRightInd w:val="0"/>
        <w:snapToGrid w:val="0"/>
        <w:spacing w:after="0" w:line="480" w:lineRule="exact"/>
        <w:ind w:left="0" w:leftChars="0" w:firstLine="0"/>
        <w:rPr>
          <w:color w:val="auto"/>
          <w:highlight w:val="none"/>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2E917BD2">
        <w:tblPrEx>
          <w:tblCellMar>
            <w:top w:w="0" w:type="dxa"/>
            <w:left w:w="108" w:type="dxa"/>
            <w:bottom w:w="0" w:type="dxa"/>
            <w:right w:w="108" w:type="dxa"/>
          </w:tblCellMar>
        </w:tblPrEx>
        <w:tc>
          <w:tcPr>
            <w:tcW w:w="4261" w:type="dxa"/>
            <w:noWrap w:val="0"/>
            <w:vAlign w:val="top"/>
          </w:tcPr>
          <w:p w14:paraId="7254369E">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甲方：北京市人力资源和社会保障局</w:t>
            </w:r>
          </w:p>
        </w:tc>
        <w:tc>
          <w:tcPr>
            <w:tcW w:w="4418" w:type="dxa"/>
            <w:noWrap w:val="0"/>
            <w:vAlign w:val="top"/>
          </w:tcPr>
          <w:p w14:paraId="32822C06">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乙方：</w:t>
            </w:r>
          </w:p>
        </w:tc>
      </w:tr>
      <w:tr w14:paraId="55AA45AB">
        <w:tblPrEx>
          <w:tblCellMar>
            <w:top w:w="0" w:type="dxa"/>
            <w:left w:w="108" w:type="dxa"/>
            <w:bottom w:w="0" w:type="dxa"/>
            <w:right w:w="108" w:type="dxa"/>
          </w:tblCellMar>
        </w:tblPrEx>
        <w:trPr>
          <w:trHeight w:val="1092" w:hRule="atLeast"/>
        </w:trPr>
        <w:tc>
          <w:tcPr>
            <w:tcW w:w="4261" w:type="dxa"/>
            <w:noWrap w:val="0"/>
            <w:vAlign w:val="top"/>
          </w:tcPr>
          <w:p w14:paraId="1C50A1E5">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法定代表人或授权代表： </w:t>
            </w:r>
          </w:p>
          <w:p w14:paraId="345726B2">
            <w:pPr>
              <w:shd w:val="clear"/>
              <w:adjustRightInd w:val="0"/>
              <w:snapToGrid w:val="0"/>
              <w:spacing w:line="480" w:lineRule="exact"/>
              <w:ind w:firstLine="480"/>
              <w:rPr>
                <w:rFonts w:ascii="宋体" w:hAnsi="宋体" w:cs="宋体"/>
                <w:color w:val="auto"/>
                <w:kern w:val="0"/>
                <w:szCs w:val="21"/>
                <w:highlight w:val="none"/>
              </w:rPr>
            </w:pPr>
          </w:p>
          <w:p w14:paraId="2CFA4D5F">
            <w:pPr>
              <w:shd w:val="clear"/>
              <w:adjustRightInd w:val="0"/>
              <w:snapToGrid w:val="0"/>
              <w:spacing w:line="480" w:lineRule="exact"/>
              <w:ind w:firstLine="480"/>
              <w:rPr>
                <w:rFonts w:ascii="宋体" w:hAnsi="宋体" w:cs="宋体"/>
                <w:color w:val="auto"/>
                <w:kern w:val="0"/>
                <w:szCs w:val="21"/>
                <w:highlight w:val="none"/>
              </w:rPr>
            </w:pPr>
          </w:p>
          <w:p w14:paraId="42377580">
            <w:pPr>
              <w:shd w:val="clear"/>
              <w:adjustRightInd w:val="0"/>
              <w:snapToGrid w:val="0"/>
              <w:spacing w:line="480" w:lineRule="exact"/>
              <w:ind w:firstLine="480"/>
              <w:rPr>
                <w:rFonts w:ascii="宋体" w:hAnsi="宋体" w:cs="宋体"/>
                <w:color w:val="auto"/>
                <w:kern w:val="0"/>
                <w:szCs w:val="21"/>
                <w:highlight w:val="none"/>
              </w:rPr>
            </w:pPr>
          </w:p>
        </w:tc>
        <w:tc>
          <w:tcPr>
            <w:tcW w:w="4418" w:type="dxa"/>
            <w:noWrap w:val="0"/>
            <w:vAlign w:val="top"/>
          </w:tcPr>
          <w:p w14:paraId="244FB0C0">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法定代表人或授权代表：</w:t>
            </w:r>
          </w:p>
        </w:tc>
      </w:tr>
      <w:tr w14:paraId="475F97E3">
        <w:tblPrEx>
          <w:tblCellMar>
            <w:top w:w="0" w:type="dxa"/>
            <w:left w:w="108" w:type="dxa"/>
            <w:bottom w:w="0" w:type="dxa"/>
            <w:right w:w="108" w:type="dxa"/>
          </w:tblCellMar>
        </w:tblPrEx>
        <w:tc>
          <w:tcPr>
            <w:tcW w:w="4261" w:type="dxa"/>
            <w:noWrap w:val="0"/>
            <w:vAlign w:val="top"/>
          </w:tcPr>
          <w:p w14:paraId="73568394">
            <w:pPr>
              <w:shd w:val="clear"/>
              <w:adjustRightInd w:val="0"/>
              <w:snapToGrid w:val="0"/>
              <w:spacing w:line="4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XX</w:t>
            </w:r>
            <w:r>
              <w:rPr>
                <w:rFonts w:hint="eastAsia" w:ascii="宋体" w:hAnsi="宋体" w:cs="宋体"/>
                <w:color w:val="auto"/>
                <w:kern w:val="0"/>
                <w:szCs w:val="21"/>
                <w:highlight w:val="none"/>
              </w:rPr>
              <w:t>日</w:t>
            </w:r>
          </w:p>
        </w:tc>
        <w:tc>
          <w:tcPr>
            <w:tcW w:w="4418" w:type="dxa"/>
            <w:noWrap w:val="0"/>
            <w:vAlign w:val="top"/>
          </w:tcPr>
          <w:p w14:paraId="24FE9D65">
            <w:pPr>
              <w:shd w:val="clear"/>
              <w:adjustRightInd w:val="0"/>
              <w:snapToGrid w:val="0"/>
              <w:spacing w:line="4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XX</w:t>
            </w:r>
            <w:r>
              <w:rPr>
                <w:rFonts w:hint="eastAsia" w:ascii="宋体" w:hAnsi="宋体" w:cs="宋体"/>
                <w:color w:val="auto"/>
                <w:kern w:val="0"/>
                <w:szCs w:val="21"/>
                <w:highlight w:val="none"/>
              </w:rPr>
              <w:t>日</w:t>
            </w:r>
          </w:p>
        </w:tc>
      </w:tr>
    </w:tbl>
    <w:p w14:paraId="05B6FACB">
      <w:pPr>
        <w:pStyle w:val="43"/>
        <w:shd w:val="clear"/>
        <w:adjustRightInd w:val="0"/>
        <w:snapToGrid w:val="0"/>
        <w:spacing w:after="0" w:line="480" w:lineRule="exact"/>
        <w:ind w:firstLine="210"/>
        <w:rPr>
          <w:rFonts w:hint="eastAsia" w:ascii="宋体" w:hAnsi="宋体" w:cs="宋体"/>
          <w:color w:val="auto"/>
          <w:szCs w:val="21"/>
          <w:highlight w:val="none"/>
          <w:lang w:eastAsia="zh-CN"/>
        </w:rPr>
      </w:pPr>
    </w:p>
    <w:p w14:paraId="020AC760">
      <w:pPr>
        <w:shd w:val="clear"/>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附件四：</w:t>
      </w:r>
      <w:r>
        <w:rPr>
          <w:rFonts w:hint="eastAsia" w:ascii="宋体" w:hAnsi="宋体" w:eastAsia="宋体" w:cs="宋体"/>
          <w:color w:val="auto"/>
          <w:szCs w:val="21"/>
          <w:highlight w:val="none"/>
        </w:rPr>
        <w:t>授权委托书</w:t>
      </w:r>
    </w:p>
    <w:p w14:paraId="73CBCC92">
      <w:pPr>
        <w:pStyle w:val="43"/>
        <w:shd w:val="clear"/>
        <w:adjustRightInd w:val="0"/>
        <w:snapToGrid w:val="0"/>
        <w:spacing w:after="0" w:line="480" w:lineRule="exact"/>
        <w:ind w:firstLine="210"/>
        <w:rPr>
          <w:rFonts w:ascii="宋体" w:hAnsi="宋体" w:cs="宋体"/>
          <w:color w:val="auto"/>
          <w:szCs w:val="21"/>
          <w:highlight w:val="none"/>
        </w:rPr>
      </w:pPr>
    </w:p>
    <w:p w14:paraId="18208861">
      <w:pPr>
        <w:pStyle w:val="43"/>
        <w:shd w:val="clear"/>
        <w:adjustRightInd w:val="0"/>
        <w:snapToGrid w:val="0"/>
        <w:spacing w:after="0" w:line="480" w:lineRule="exact"/>
        <w:ind w:firstLine="210"/>
        <w:rPr>
          <w:rFonts w:ascii="宋体" w:hAnsi="宋体" w:cs="宋体"/>
          <w:color w:val="auto"/>
          <w:szCs w:val="21"/>
          <w:highlight w:val="none"/>
        </w:rPr>
      </w:pPr>
    </w:p>
    <w:p w14:paraId="5F56EA83">
      <w:pPr>
        <w:pStyle w:val="43"/>
        <w:shd w:val="clear"/>
        <w:adjustRightInd w:val="0"/>
        <w:snapToGrid w:val="0"/>
        <w:spacing w:after="0" w:line="480" w:lineRule="exact"/>
        <w:ind w:firstLine="210"/>
        <w:rPr>
          <w:rFonts w:ascii="宋体" w:hAnsi="宋体" w:cs="宋体"/>
          <w:color w:val="auto"/>
          <w:szCs w:val="21"/>
          <w:highlight w:val="none"/>
        </w:rPr>
      </w:pPr>
    </w:p>
    <w:p w14:paraId="67F5B062">
      <w:pPr>
        <w:pStyle w:val="43"/>
        <w:shd w:val="clear"/>
        <w:adjustRightInd w:val="0"/>
        <w:snapToGrid w:val="0"/>
        <w:spacing w:after="0" w:line="480" w:lineRule="exact"/>
        <w:ind w:firstLine="210"/>
        <w:rPr>
          <w:rFonts w:ascii="宋体" w:hAnsi="宋体" w:cs="宋体"/>
          <w:color w:val="auto"/>
          <w:szCs w:val="21"/>
          <w:highlight w:val="none"/>
        </w:rPr>
      </w:pPr>
    </w:p>
    <w:p w14:paraId="43603DAB">
      <w:pPr>
        <w:shd w:val="clear"/>
        <w:spacing w:line="360" w:lineRule="auto"/>
        <w:jc w:val="both"/>
        <w:outlineLvl w:val="0"/>
        <w:rPr>
          <w:rFonts w:hint="eastAsia" w:ascii="宋体" w:hAnsi="宋体" w:eastAsia="宋体" w:cs="宋体"/>
          <w:b/>
          <w:color w:val="auto"/>
          <w:sz w:val="24"/>
          <w:szCs w:val="24"/>
          <w:highlight w:val="none"/>
        </w:rPr>
      </w:pPr>
    </w:p>
    <w:p w14:paraId="0F6F8849">
      <w:pPr>
        <w:shd w:val="clear"/>
        <w:spacing w:line="360" w:lineRule="auto"/>
        <w:jc w:val="center"/>
        <w:outlineLvl w:val="0"/>
        <w:rPr>
          <w:rFonts w:eastAsia="宋体"/>
          <w:b/>
          <w:color w:val="auto"/>
          <w:sz w:val="36"/>
          <w:szCs w:val="36"/>
          <w:highlight w:val="none"/>
        </w:rPr>
      </w:pPr>
      <w:bookmarkStart w:id="716" w:name="_Toc27331"/>
      <w:r>
        <w:rPr>
          <w:rFonts w:eastAsia="宋体"/>
          <w:b/>
          <w:color w:val="auto"/>
          <w:sz w:val="36"/>
          <w:szCs w:val="36"/>
          <w:highlight w:val="none"/>
        </w:rPr>
        <w:t>第六章   响应文件格式</w:t>
      </w:r>
      <w:bookmarkEnd w:id="716"/>
    </w:p>
    <w:p w14:paraId="235DF44D">
      <w:pPr>
        <w:widowControl/>
        <w:shd w:val="clear"/>
        <w:spacing w:line="360" w:lineRule="auto"/>
        <w:jc w:val="left"/>
        <w:rPr>
          <w:rFonts w:eastAsia="宋体"/>
          <w:b/>
          <w:color w:val="auto"/>
          <w:sz w:val="24"/>
          <w:highlight w:val="none"/>
        </w:rPr>
      </w:pPr>
    </w:p>
    <w:p w14:paraId="4647A9EA">
      <w:pPr>
        <w:widowControl/>
        <w:shd w:val="clear"/>
        <w:spacing w:line="360" w:lineRule="auto"/>
        <w:jc w:val="left"/>
        <w:rPr>
          <w:rFonts w:eastAsia="宋体"/>
          <w:b/>
          <w:color w:val="auto"/>
          <w:sz w:val="24"/>
          <w:highlight w:val="none"/>
        </w:rPr>
      </w:pPr>
    </w:p>
    <w:p w14:paraId="7EDD464F">
      <w:pPr>
        <w:shd w:val="clear"/>
        <w:tabs>
          <w:tab w:val="left" w:pos="900"/>
          <w:tab w:val="left" w:pos="1980"/>
        </w:tabs>
        <w:snapToGrid w:val="0"/>
        <w:spacing w:line="360" w:lineRule="auto"/>
        <w:ind w:left="142"/>
        <w:rPr>
          <w:rFonts w:eastAsia="宋体"/>
          <w:b/>
          <w:color w:val="auto"/>
          <w:kern w:val="0"/>
          <w:sz w:val="24"/>
          <w:highlight w:val="none"/>
        </w:rPr>
      </w:pPr>
      <w:r>
        <w:rPr>
          <w:rFonts w:hint="eastAsia" w:eastAsia="宋体"/>
          <w:b/>
          <w:color w:val="auto"/>
          <w:kern w:val="0"/>
          <w:sz w:val="24"/>
          <w:highlight w:val="none"/>
        </w:rPr>
        <w:t>供应商编制文件须知</w:t>
      </w:r>
    </w:p>
    <w:p w14:paraId="5F5E42D3">
      <w:pPr>
        <w:shd w:val="clear"/>
        <w:tabs>
          <w:tab w:val="left" w:pos="900"/>
          <w:tab w:val="left" w:pos="1980"/>
        </w:tabs>
        <w:snapToGrid w:val="0"/>
        <w:spacing w:line="360" w:lineRule="auto"/>
        <w:ind w:left="142"/>
        <w:rPr>
          <w:rFonts w:eastAsia="宋体"/>
          <w:color w:val="auto"/>
          <w:sz w:val="24"/>
          <w:highlight w:val="none"/>
        </w:rPr>
      </w:pPr>
      <w:r>
        <w:rPr>
          <w:rFonts w:eastAsia="宋体"/>
          <w:color w:val="auto"/>
          <w:sz w:val="24"/>
          <w:highlight w:val="none"/>
        </w:rPr>
        <w:t>1、供应商按照本部分的顺序编制响应文件，编制中涉及格式资料的，应按照本部分提供的内容和格式（所有表格的格式可扩展）填写提交。</w:t>
      </w:r>
    </w:p>
    <w:p w14:paraId="1874B6DB">
      <w:pPr>
        <w:shd w:val="clear"/>
        <w:tabs>
          <w:tab w:val="left" w:pos="900"/>
          <w:tab w:val="left" w:pos="1980"/>
        </w:tabs>
        <w:snapToGrid w:val="0"/>
        <w:spacing w:line="360" w:lineRule="auto"/>
        <w:ind w:left="142"/>
        <w:rPr>
          <w:rFonts w:eastAsia="宋体"/>
          <w:color w:val="auto"/>
          <w:kern w:val="0"/>
          <w:sz w:val="24"/>
          <w:highlight w:val="none"/>
        </w:rPr>
      </w:pPr>
      <w:r>
        <w:rPr>
          <w:rFonts w:eastAsia="宋体"/>
          <w:color w:val="auto"/>
          <w:sz w:val="24"/>
          <w:highlight w:val="none"/>
        </w:rPr>
        <w:t>2、</w:t>
      </w:r>
      <w:r>
        <w:rPr>
          <w:rFonts w:eastAsia="宋体"/>
          <w:color w:val="auto"/>
          <w:kern w:val="0"/>
          <w:sz w:val="24"/>
          <w:highlight w:val="none"/>
        </w:rPr>
        <w:t>对于竞争性磋商文件中标记了“实质性格式”文件的，供应商</w:t>
      </w:r>
      <w:r>
        <w:rPr>
          <w:rFonts w:eastAsia="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宋体"/>
          <w:b/>
          <w:color w:val="auto"/>
          <w:kern w:val="0"/>
          <w:sz w:val="24"/>
          <w:highlight w:val="none"/>
        </w:rPr>
        <w:t>否则响应无效</w:t>
      </w:r>
      <w:r>
        <w:rPr>
          <w:rFonts w:eastAsia="宋体"/>
          <w:color w:val="auto"/>
          <w:kern w:val="0"/>
          <w:sz w:val="24"/>
          <w:highlight w:val="none"/>
        </w:rPr>
        <w:t>。未标记“实质性格式”的文件和竞争性磋商文件未提供格式的内容，可由供应商自行编写。</w:t>
      </w:r>
    </w:p>
    <w:p w14:paraId="7A0DBBCB">
      <w:pPr>
        <w:shd w:val="clear"/>
        <w:tabs>
          <w:tab w:val="left" w:pos="900"/>
          <w:tab w:val="left" w:pos="1980"/>
        </w:tabs>
        <w:snapToGrid w:val="0"/>
        <w:spacing w:line="360" w:lineRule="auto"/>
        <w:ind w:left="142"/>
        <w:rPr>
          <w:rFonts w:eastAsia="宋体"/>
          <w:color w:val="auto"/>
          <w:sz w:val="24"/>
          <w:highlight w:val="none"/>
        </w:rPr>
      </w:pPr>
      <w:r>
        <w:rPr>
          <w:rFonts w:eastAsia="宋体"/>
          <w:color w:val="auto"/>
          <w:sz w:val="24"/>
          <w:highlight w:val="none"/>
        </w:rPr>
        <w:t>3、全部声明和问题的回答及所附材料必须是真实的、准确的和完整的。</w:t>
      </w:r>
    </w:p>
    <w:p w14:paraId="32A2F20A">
      <w:pPr>
        <w:shd w:val="clear"/>
        <w:tabs>
          <w:tab w:val="left" w:pos="900"/>
          <w:tab w:val="left" w:pos="1980"/>
        </w:tabs>
        <w:snapToGrid w:val="0"/>
        <w:spacing w:line="360" w:lineRule="auto"/>
        <w:ind w:left="142"/>
        <w:rPr>
          <w:rFonts w:eastAsia="宋体"/>
          <w:color w:val="auto"/>
          <w:sz w:val="24"/>
          <w:highlight w:val="none"/>
        </w:rPr>
      </w:pPr>
    </w:p>
    <w:p w14:paraId="47D51A01">
      <w:pPr>
        <w:widowControl/>
        <w:shd w:val="clear"/>
        <w:jc w:val="left"/>
        <w:rPr>
          <w:rFonts w:eastAsia="宋体"/>
          <w:color w:val="auto"/>
          <w:sz w:val="24"/>
          <w:highlight w:val="none"/>
        </w:rPr>
      </w:pPr>
      <w:r>
        <w:rPr>
          <w:rFonts w:eastAsia="宋体"/>
          <w:color w:val="auto"/>
          <w:sz w:val="24"/>
          <w:highlight w:val="none"/>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34EB767">
      <w:pPr>
        <w:shd w:val="clear"/>
        <w:rPr>
          <w:rFonts w:eastAsia="宋体"/>
          <w:b/>
          <w:color w:val="auto"/>
          <w:spacing w:val="20"/>
          <w:szCs w:val="21"/>
          <w:highlight w:val="none"/>
        </w:rPr>
      </w:pPr>
    </w:p>
    <w:p w14:paraId="399652DE">
      <w:pPr>
        <w:shd w:val="clear"/>
        <w:rPr>
          <w:rFonts w:eastAsia="宋体"/>
          <w:b/>
          <w:color w:val="auto"/>
          <w:sz w:val="24"/>
          <w:highlight w:val="none"/>
        </w:rPr>
      </w:pPr>
      <w:r>
        <w:rPr>
          <w:rFonts w:eastAsia="宋体"/>
          <w:b/>
          <w:color w:val="auto"/>
          <w:spacing w:val="20"/>
          <w:sz w:val="24"/>
          <w:highlight w:val="none"/>
        </w:rPr>
        <w:t>响应文件</w:t>
      </w:r>
      <w:r>
        <w:rPr>
          <w:rFonts w:eastAsia="宋体"/>
          <w:b/>
          <w:color w:val="auto"/>
          <w:sz w:val="24"/>
          <w:highlight w:val="none"/>
        </w:rPr>
        <w:t>封面（非实质性格式）</w:t>
      </w:r>
    </w:p>
    <w:p w14:paraId="4A852A2A">
      <w:pPr>
        <w:shd w:val="clear"/>
        <w:jc w:val="center"/>
        <w:rPr>
          <w:rFonts w:eastAsia="宋体"/>
          <w:color w:val="auto"/>
          <w:szCs w:val="21"/>
          <w:highlight w:val="none"/>
        </w:rPr>
      </w:pPr>
    </w:p>
    <w:p w14:paraId="7C309077">
      <w:pPr>
        <w:shd w:val="clear"/>
        <w:jc w:val="center"/>
        <w:rPr>
          <w:rFonts w:eastAsia="宋体"/>
          <w:b/>
          <w:color w:val="auto"/>
          <w:spacing w:val="60"/>
          <w:sz w:val="84"/>
          <w:szCs w:val="84"/>
          <w:highlight w:val="none"/>
        </w:rPr>
      </w:pPr>
      <w:r>
        <w:rPr>
          <w:rFonts w:eastAsia="宋体"/>
          <w:b/>
          <w:color w:val="auto"/>
          <w:spacing w:val="60"/>
          <w:sz w:val="84"/>
          <w:szCs w:val="84"/>
          <w:highlight w:val="none"/>
        </w:rPr>
        <w:t>响 应 文 件</w:t>
      </w:r>
    </w:p>
    <w:p w14:paraId="51A666A7">
      <w:pPr>
        <w:shd w:val="clear"/>
        <w:jc w:val="center"/>
        <w:rPr>
          <w:rFonts w:eastAsia="宋体"/>
          <w:b/>
          <w:color w:val="auto"/>
          <w:spacing w:val="60"/>
          <w:sz w:val="52"/>
          <w:szCs w:val="52"/>
          <w:highlight w:val="none"/>
        </w:rPr>
      </w:pPr>
    </w:p>
    <w:p w14:paraId="55374D50">
      <w:pPr>
        <w:shd w:val="clear"/>
        <w:ind w:firstLine="542" w:firstLineChars="150"/>
        <w:rPr>
          <w:rFonts w:eastAsia="宋体"/>
          <w:b/>
          <w:color w:val="auto"/>
          <w:spacing w:val="20"/>
          <w:sz w:val="32"/>
          <w:szCs w:val="32"/>
          <w:highlight w:val="none"/>
        </w:rPr>
      </w:pPr>
    </w:p>
    <w:p w14:paraId="297694FA">
      <w:pPr>
        <w:shd w:val="clear"/>
        <w:ind w:firstLine="542" w:firstLineChars="150"/>
        <w:rPr>
          <w:rFonts w:eastAsia="宋体"/>
          <w:b/>
          <w:color w:val="auto"/>
          <w:spacing w:val="20"/>
          <w:sz w:val="32"/>
          <w:szCs w:val="32"/>
          <w:highlight w:val="none"/>
        </w:rPr>
      </w:pPr>
    </w:p>
    <w:p w14:paraId="06CCEBE2">
      <w:pPr>
        <w:shd w:val="clear"/>
        <w:ind w:firstLine="542" w:firstLineChars="150"/>
        <w:rPr>
          <w:rFonts w:eastAsia="宋体"/>
          <w:b/>
          <w:color w:val="auto"/>
          <w:spacing w:val="20"/>
          <w:sz w:val="32"/>
          <w:szCs w:val="32"/>
          <w:highlight w:val="none"/>
        </w:rPr>
      </w:pPr>
      <w:r>
        <w:rPr>
          <w:rFonts w:eastAsia="宋体"/>
          <w:b/>
          <w:color w:val="auto"/>
          <w:spacing w:val="20"/>
          <w:sz w:val="32"/>
          <w:szCs w:val="32"/>
          <w:highlight w:val="none"/>
        </w:rPr>
        <w:t>项目名称:</w:t>
      </w:r>
    </w:p>
    <w:p w14:paraId="08D1DE0E">
      <w:pPr>
        <w:shd w:val="clear"/>
        <w:ind w:firstLine="542" w:firstLineChars="150"/>
        <w:rPr>
          <w:rFonts w:eastAsia="宋体"/>
          <w:b/>
          <w:color w:val="auto"/>
          <w:spacing w:val="20"/>
          <w:sz w:val="32"/>
          <w:szCs w:val="32"/>
          <w:highlight w:val="none"/>
        </w:rPr>
      </w:pPr>
      <w:r>
        <w:rPr>
          <w:rFonts w:eastAsia="宋体"/>
          <w:b/>
          <w:color w:val="auto"/>
          <w:spacing w:val="20"/>
          <w:sz w:val="32"/>
          <w:szCs w:val="32"/>
          <w:highlight w:val="none"/>
        </w:rPr>
        <w:t>项目编号：</w:t>
      </w:r>
    </w:p>
    <w:p w14:paraId="01BF1F2F">
      <w:pPr>
        <w:shd w:val="clear"/>
        <w:ind w:firstLine="542" w:firstLineChars="150"/>
        <w:rPr>
          <w:rFonts w:eastAsia="宋体"/>
          <w:b/>
          <w:color w:val="auto"/>
          <w:spacing w:val="20"/>
          <w:sz w:val="32"/>
          <w:szCs w:val="32"/>
          <w:highlight w:val="none"/>
        </w:rPr>
      </w:pPr>
    </w:p>
    <w:p w14:paraId="1FACEC4D">
      <w:pPr>
        <w:shd w:val="clear"/>
        <w:ind w:firstLine="542" w:firstLineChars="150"/>
        <w:rPr>
          <w:rFonts w:eastAsia="宋体"/>
          <w:b/>
          <w:color w:val="auto"/>
          <w:spacing w:val="20"/>
          <w:sz w:val="32"/>
          <w:szCs w:val="32"/>
          <w:highlight w:val="none"/>
        </w:rPr>
      </w:pPr>
    </w:p>
    <w:p w14:paraId="032DE246">
      <w:pPr>
        <w:shd w:val="clear"/>
        <w:jc w:val="center"/>
        <w:rPr>
          <w:rFonts w:eastAsia="宋体"/>
          <w:b/>
          <w:color w:val="auto"/>
          <w:sz w:val="32"/>
          <w:szCs w:val="32"/>
          <w:highlight w:val="none"/>
        </w:rPr>
      </w:pPr>
    </w:p>
    <w:p w14:paraId="3F4702CE">
      <w:pPr>
        <w:shd w:val="clear"/>
        <w:jc w:val="center"/>
        <w:rPr>
          <w:rFonts w:eastAsia="宋体"/>
          <w:b/>
          <w:color w:val="auto"/>
          <w:sz w:val="32"/>
          <w:szCs w:val="32"/>
          <w:highlight w:val="none"/>
        </w:rPr>
      </w:pPr>
    </w:p>
    <w:p w14:paraId="7AADB86B">
      <w:pPr>
        <w:shd w:val="clear"/>
        <w:jc w:val="center"/>
        <w:rPr>
          <w:rFonts w:eastAsia="宋体"/>
          <w:b/>
          <w:color w:val="auto"/>
          <w:sz w:val="32"/>
          <w:szCs w:val="32"/>
          <w:highlight w:val="none"/>
        </w:rPr>
      </w:pPr>
    </w:p>
    <w:p w14:paraId="23FAEA81">
      <w:pPr>
        <w:shd w:val="clear"/>
        <w:jc w:val="center"/>
        <w:rPr>
          <w:rFonts w:eastAsia="宋体"/>
          <w:b/>
          <w:color w:val="auto"/>
          <w:spacing w:val="20"/>
          <w:sz w:val="32"/>
          <w:szCs w:val="32"/>
          <w:highlight w:val="none"/>
        </w:rPr>
      </w:pPr>
    </w:p>
    <w:p w14:paraId="0EE58C17">
      <w:pPr>
        <w:shd w:val="clear"/>
        <w:jc w:val="center"/>
        <w:rPr>
          <w:rFonts w:eastAsia="宋体"/>
          <w:b/>
          <w:color w:val="auto"/>
          <w:spacing w:val="20"/>
          <w:sz w:val="32"/>
          <w:szCs w:val="32"/>
          <w:highlight w:val="none"/>
        </w:rPr>
      </w:pPr>
    </w:p>
    <w:p w14:paraId="31A3286C">
      <w:pPr>
        <w:shd w:val="clear"/>
        <w:jc w:val="center"/>
        <w:rPr>
          <w:rFonts w:eastAsia="宋体"/>
          <w:b/>
          <w:color w:val="auto"/>
          <w:spacing w:val="20"/>
          <w:sz w:val="32"/>
          <w:szCs w:val="32"/>
          <w:highlight w:val="none"/>
        </w:rPr>
      </w:pPr>
    </w:p>
    <w:p w14:paraId="3C166FA3">
      <w:pPr>
        <w:shd w:val="clear"/>
        <w:spacing w:line="360" w:lineRule="auto"/>
        <w:ind w:firstLine="1445" w:firstLineChars="400"/>
        <w:jc w:val="left"/>
        <w:rPr>
          <w:rFonts w:eastAsia="宋体"/>
          <w:b/>
          <w:color w:val="auto"/>
          <w:spacing w:val="20"/>
          <w:sz w:val="32"/>
          <w:szCs w:val="32"/>
          <w:highlight w:val="none"/>
        </w:rPr>
      </w:pPr>
      <w:r>
        <w:rPr>
          <w:rFonts w:eastAsia="宋体"/>
          <w:b/>
          <w:color w:val="auto"/>
          <w:spacing w:val="20"/>
          <w:sz w:val="32"/>
          <w:szCs w:val="32"/>
          <w:highlight w:val="none"/>
        </w:rPr>
        <w:t>供应商名称：</w:t>
      </w:r>
    </w:p>
    <w:p w14:paraId="39578BC9">
      <w:pPr>
        <w:shd w:val="clear"/>
        <w:jc w:val="center"/>
        <w:rPr>
          <w:rFonts w:eastAsia="宋体"/>
          <w:b/>
          <w:color w:val="auto"/>
          <w:sz w:val="32"/>
          <w:szCs w:val="32"/>
          <w:highlight w:val="none"/>
        </w:rPr>
      </w:pPr>
    </w:p>
    <w:p w14:paraId="4F899516">
      <w:pPr>
        <w:shd w:val="clear"/>
        <w:rPr>
          <w:rFonts w:eastAsia="宋体"/>
          <w:b/>
          <w:color w:val="auto"/>
          <w:highlight w:val="none"/>
        </w:rPr>
      </w:pPr>
      <w:r>
        <w:rPr>
          <w:rFonts w:eastAsia="宋体"/>
          <w:b/>
          <w:color w:val="auto"/>
          <w:spacing w:val="20"/>
          <w:sz w:val="32"/>
          <w:szCs w:val="32"/>
          <w:highlight w:val="none"/>
        </w:rPr>
        <w:br w:type="page"/>
      </w:r>
    </w:p>
    <w:p w14:paraId="2CF9B895">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 满足《中华人民共和国政府采购法》第二十二条规定及法律法规的其他规定</w:t>
      </w:r>
    </w:p>
    <w:p w14:paraId="1C279A5C">
      <w:pPr>
        <w:shd w:val="clear"/>
        <w:spacing w:line="360" w:lineRule="auto"/>
        <w:outlineLvl w:val="2"/>
        <w:rPr>
          <w:rFonts w:eastAsia="宋体"/>
          <w:color w:val="auto"/>
          <w:sz w:val="24"/>
          <w:highlight w:val="none"/>
        </w:rPr>
      </w:pPr>
      <w:r>
        <w:rPr>
          <w:rFonts w:eastAsia="宋体"/>
          <w:color w:val="auto"/>
          <w:sz w:val="24"/>
          <w:highlight w:val="none"/>
        </w:rPr>
        <w:t>1-1营业执照等证明文件</w:t>
      </w:r>
    </w:p>
    <w:p w14:paraId="29A4ABF8">
      <w:pPr>
        <w:shd w:val="clear"/>
        <w:tabs>
          <w:tab w:val="left" w:pos="1080"/>
        </w:tabs>
        <w:snapToGrid w:val="0"/>
        <w:rPr>
          <w:rFonts w:eastAsia="宋体"/>
          <w:color w:val="auto"/>
          <w:sz w:val="24"/>
          <w:highlight w:val="none"/>
        </w:rPr>
      </w:pPr>
    </w:p>
    <w:p w14:paraId="102E9675">
      <w:pPr>
        <w:widowControl/>
        <w:shd w:val="clear"/>
        <w:jc w:val="left"/>
        <w:rPr>
          <w:rFonts w:eastAsia="宋体"/>
          <w:color w:val="auto"/>
          <w:sz w:val="24"/>
          <w:szCs w:val="20"/>
          <w:highlight w:val="none"/>
        </w:rPr>
      </w:pPr>
      <w:r>
        <w:rPr>
          <w:rFonts w:eastAsia="宋体"/>
          <w:color w:val="auto"/>
          <w:sz w:val="24"/>
          <w:highlight w:val="none"/>
        </w:rPr>
        <w:br w:type="page"/>
      </w:r>
    </w:p>
    <w:p w14:paraId="134ED6FF">
      <w:pPr>
        <w:pStyle w:val="6"/>
        <w:shd w:val="clear"/>
        <w:rPr>
          <w:rFonts w:ascii="Times New Roman" w:eastAsia="宋体"/>
          <w:b w:val="0"/>
          <w:bCs/>
          <w:color w:val="auto"/>
          <w:szCs w:val="24"/>
          <w:highlight w:val="none"/>
          <w:u w:val="none"/>
        </w:rPr>
      </w:pPr>
      <w:r>
        <w:rPr>
          <w:rFonts w:ascii="Times New Roman" w:eastAsia="宋体"/>
          <w:b w:val="0"/>
          <w:color w:val="auto"/>
          <w:szCs w:val="24"/>
          <w:highlight w:val="none"/>
          <w:u w:val="none"/>
        </w:rPr>
        <w:t>1-2 供应商资格声明书（实质性格式）</w:t>
      </w:r>
    </w:p>
    <w:p w14:paraId="28C428FC">
      <w:pPr>
        <w:shd w:val="clear"/>
        <w:jc w:val="center"/>
        <w:rPr>
          <w:b/>
          <w:color w:val="auto"/>
          <w:sz w:val="36"/>
          <w:szCs w:val="36"/>
          <w:highlight w:val="none"/>
        </w:rPr>
      </w:pPr>
      <w:r>
        <w:rPr>
          <w:rFonts w:hint="eastAsia"/>
          <w:b/>
          <w:color w:val="auto"/>
          <w:sz w:val="36"/>
          <w:szCs w:val="36"/>
          <w:highlight w:val="none"/>
        </w:rPr>
        <w:t>供应商资格声明书</w:t>
      </w:r>
    </w:p>
    <w:p w14:paraId="7D223D27">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4E24379B">
      <w:pPr>
        <w:shd w:val="clear"/>
        <w:spacing w:line="360" w:lineRule="auto"/>
        <w:ind w:firstLine="480" w:firstLineChars="200"/>
        <w:rPr>
          <w:rFonts w:eastAsia="宋体"/>
          <w:color w:val="auto"/>
          <w:sz w:val="24"/>
          <w:highlight w:val="none"/>
        </w:rPr>
      </w:pPr>
      <w:r>
        <w:rPr>
          <w:rFonts w:eastAsia="宋体"/>
          <w:color w:val="auto"/>
          <w:sz w:val="24"/>
          <w:highlight w:val="none"/>
        </w:rPr>
        <w:t>在参与本次项目磋商中，我单位承诺：</w:t>
      </w:r>
    </w:p>
    <w:p w14:paraId="7DE7CEC2">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具有良好的商业信誉和健全的财务会计制度；</w:t>
      </w:r>
    </w:p>
    <w:p w14:paraId="74D5F024">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具有履行合同所必需的设备和专业技术能力；</w:t>
      </w:r>
    </w:p>
    <w:p w14:paraId="074CB458">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有依法缴纳税收和社会保障资金的良好记录；</w:t>
      </w:r>
    </w:p>
    <w:p w14:paraId="00F5B846">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D99FD6">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我单位不属于政府采购法律、行政法规规定的公益一类事业单位、或使用事业编制且由财政拨款保障的群团组织（仅适用于政府购买服务项目）；</w:t>
      </w:r>
    </w:p>
    <w:p w14:paraId="4F12D875">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0E9FCB04">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4434"/>
        <w:gridCol w:w="2884"/>
      </w:tblGrid>
      <w:tr w14:paraId="4A31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65D5D22C">
            <w:pPr>
              <w:shd w:val="clear"/>
              <w:jc w:val="center"/>
              <w:rPr>
                <w:rFonts w:eastAsia="宋体"/>
                <w:color w:val="auto"/>
                <w:sz w:val="24"/>
                <w:highlight w:val="none"/>
              </w:rPr>
            </w:pPr>
            <w:r>
              <w:rPr>
                <w:rFonts w:eastAsia="宋体"/>
                <w:color w:val="auto"/>
                <w:sz w:val="24"/>
                <w:highlight w:val="none"/>
              </w:rPr>
              <w:t>序号</w:t>
            </w:r>
          </w:p>
        </w:tc>
        <w:tc>
          <w:tcPr>
            <w:tcW w:w="4434" w:type="dxa"/>
            <w:noWrap w:val="0"/>
            <w:vAlign w:val="center"/>
          </w:tcPr>
          <w:p w14:paraId="6F0F6E9D">
            <w:pPr>
              <w:shd w:val="clear"/>
              <w:jc w:val="center"/>
              <w:rPr>
                <w:rFonts w:eastAsia="宋体"/>
                <w:color w:val="auto"/>
                <w:sz w:val="24"/>
                <w:highlight w:val="none"/>
              </w:rPr>
            </w:pPr>
            <w:r>
              <w:rPr>
                <w:rFonts w:eastAsia="宋体"/>
                <w:color w:val="auto"/>
                <w:sz w:val="24"/>
                <w:highlight w:val="none"/>
              </w:rPr>
              <w:t>单位名称</w:t>
            </w:r>
          </w:p>
        </w:tc>
        <w:tc>
          <w:tcPr>
            <w:tcW w:w="2884" w:type="dxa"/>
            <w:noWrap w:val="0"/>
            <w:vAlign w:val="center"/>
          </w:tcPr>
          <w:p w14:paraId="6AFE3490">
            <w:pPr>
              <w:shd w:val="clear"/>
              <w:jc w:val="center"/>
              <w:rPr>
                <w:rFonts w:eastAsia="宋体"/>
                <w:color w:val="auto"/>
                <w:sz w:val="24"/>
                <w:highlight w:val="none"/>
              </w:rPr>
            </w:pPr>
            <w:r>
              <w:rPr>
                <w:rFonts w:eastAsia="宋体"/>
                <w:color w:val="auto"/>
                <w:sz w:val="24"/>
                <w:highlight w:val="none"/>
              </w:rPr>
              <w:t>相互关系</w:t>
            </w:r>
          </w:p>
        </w:tc>
      </w:tr>
      <w:tr w14:paraId="6E186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5ADB891F">
            <w:pPr>
              <w:shd w:val="clear"/>
              <w:jc w:val="center"/>
              <w:rPr>
                <w:rFonts w:eastAsia="宋体"/>
                <w:color w:val="auto"/>
                <w:sz w:val="24"/>
                <w:highlight w:val="none"/>
              </w:rPr>
            </w:pPr>
            <w:r>
              <w:rPr>
                <w:rFonts w:eastAsia="宋体"/>
                <w:color w:val="auto"/>
                <w:sz w:val="24"/>
                <w:highlight w:val="none"/>
              </w:rPr>
              <w:t>1</w:t>
            </w:r>
          </w:p>
        </w:tc>
        <w:tc>
          <w:tcPr>
            <w:tcW w:w="4434" w:type="dxa"/>
            <w:noWrap w:val="0"/>
            <w:vAlign w:val="center"/>
          </w:tcPr>
          <w:p w14:paraId="61565C01">
            <w:pPr>
              <w:shd w:val="clear"/>
              <w:jc w:val="center"/>
              <w:rPr>
                <w:rFonts w:eastAsia="宋体"/>
                <w:color w:val="auto"/>
                <w:sz w:val="24"/>
                <w:highlight w:val="none"/>
              </w:rPr>
            </w:pPr>
          </w:p>
        </w:tc>
        <w:tc>
          <w:tcPr>
            <w:tcW w:w="2884" w:type="dxa"/>
            <w:noWrap w:val="0"/>
            <w:vAlign w:val="center"/>
          </w:tcPr>
          <w:p w14:paraId="780040C1">
            <w:pPr>
              <w:shd w:val="clear"/>
              <w:jc w:val="center"/>
              <w:rPr>
                <w:rFonts w:eastAsia="宋体"/>
                <w:color w:val="auto"/>
                <w:sz w:val="24"/>
                <w:highlight w:val="none"/>
              </w:rPr>
            </w:pPr>
          </w:p>
        </w:tc>
      </w:tr>
      <w:tr w14:paraId="2985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33C983F5">
            <w:pPr>
              <w:shd w:val="clear"/>
              <w:jc w:val="center"/>
              <w:rPr>
                <w:rFonts w:eastAsia="宋体"/>
                <w:color w:val="auto"/>
                <w:sz w:val="24"/>
                <w:highlight w:val="none"/>
              </w:rPr>
            </w:pPr>
            <w:r>
              <w:rPr>
                <w:rFonts w:eastAsia="宋体"/>
                <w:color w:val="auto"/>
                <w:sz w:val="24"/>
                <w:highlight w:val="none"/>
              </w:rPr>
              <w:t>2</w:t>
            </w:r>
          </w:p>
        </w:tc>
        <w:tc>
          <w:tcPr>
            <w:tcW w:w="4434" w:type="dxa"/>
            <w:noWrap w:val="0"/>
            <w:vAlign w:val="center"/>
          </w:tcPr>
          <w:p w14:paraId="0FCEE9D1">
            <w:pPr>
              <w:shd w:val="clear"/>
              <w:jc w:val="center"/>
              <w:rPr>
                <w:rFonts w:eastAsia="宋体"/>
                <w:color w:val="auto"/>
                <w:sz w:val="24"/>
                <w:highlight w:val="none"/>
              </w:rPr>
            </w:pPr>
          </w:p>
        </w:tc>
        <w:tc>
          <w:tcPr>
            <w:tcW w:w="2884" w:type="dxa"/>
            <w:noWrap w:val="0"/>
            <w:vAlign w:val="center"/>
          </w:tcPr>
          <w:p w14:paraId="212F7792">
            <w:pPr>
              <w:shd w:val="clear"/>
              <w:jc w:val="center"/>
              <w:rPr>
                <w:rFonts w:eastAsia="宋体"/>
                <w:color w:val="auto"/>
                <w:sz w:val="24"/>
                <w:highlight w:val="none"/>
              </w:rPr>
            </w:pPr>
          </w:p>
        </w:tc>
      </w:tr>
      <w:tr w14:paraId="3DA82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27D0A910">
            <w:pPr>
              <w:shd w:val="clear"/>
              <w:jc w:val="center"/>
              <w:rPr>
                <w:rFonts w:eastAsia="宋体"/>
                <w:color w:val="auto"/>
                <w:sz w:val="24"/>
                <w:highlight w:val="none"/>
              </w:rPr>
            </w:pPr>
            <w:r>
              <w:rPr>
                <w:rFonts w:eastAsia="宋体"/>
                <w:color w:val="auto"/>
                <w:sz w:val="24"/>
                <w:highlight w:val="none"/>
              </w:rPr>
              <w:t>…</w:t>
            </w:r>
          </w:p>
        </w:tc>
        <w:tc>
          <w:tcPr>
            <w:tcW w:w="4434" w:type="dxa"/>
            <w:noWrap w:val="0"/>
            <w:vAlign w:val="center"/>
          </w:tcPr>
          <w:p w14:paraId="1F115D02">
            <w:pPr>
              <w:shd w:val="clear"/>
              <w:jc w:val="center"/>
              <w:rPr>
                <w:rFonts w:eastAsia="宋体"/>
                <w:color w:val="auto"/>
                <w:sz w:val="24"/>
                <w:highlight w:val="none"/>
              </w:rPr>
            </w:pPr>
          </w:p>
        </w:tc>
        <w:tc>
          <w:tcPr>
            <w:tcW w:w="2884" w:type="dxa"/>
            <w:noWrap w:val="0"/>
            <w:vAlign w:val="center"/>
          </w:tcPr>
          <w:p w14:paraId="07E5ABD5">
            <w:pPr>
              <w:shd w:val="clear"/>
              <w:jc w:val="center"/>
              <w:rPr>
                <w:rFonts w:eastAsia="宋体"/>
                <w:color w:val="auto"/>
                <w:sz w:val="24"/>
                <w:highlight w:val="none"/>
              </w:rPr>
            </w:pPr>
          </w:p>
        </w:tc>
      </w:tr>
    </w:tbl>
    <w:p w14:paraId="72D47735">
      <w:pPr>
        <w:shd w:val="clear"/>
        <w:rPr>
          <w:rFonts w:eastAsia="宋体"/>
          <w:color w:val="auto"/>
          <w:highlight w:val="none"/>
        </w:rPr>
      </w:pPr>
    </w:p>
    <w:p w14:paraId="284998F0">
      <w:pPr>
        <w:shd w:val="clear"/>
        <w:ind w:firstLine="480" w:firstLineChars="200"/>
        <w:rPr>
          <w:rFonts w:eastAsia="宋体"/>
          <w:color w:val="auto"/>
          <w:sz w:val="24"/>
          <w:szCs w:val="22"/>
          <w:highlight w:val="none"/>
        </w:rPr>
      </w:pPr>
      <w:r>
        <w:rPr>
          <w:rFonts w:eastAsia="宋体"/>
          <w:color w:val="auto"/>
          <w:sz w:val="24"/>
          <w:highlight w:val="none"/>
        </w:rPr>
        <w:t>上述声明真实有效，否则我方负全部责任。</w:t>
      </w:r>
    </w:p>
    <w:p w14:paraId="433A9BFC">
      <w:pPr>
        <w:shd w:val="clear"/>
        <w:spacing w:line="360" w:lineRule="auto"/>
        <w:rPr>
          <w:rFonts w:eastAsia="宋体"/>
          <w:color w:val="auto"/>
          <w:sz w:val="24"/>
          <w:highlight w:val="none"/>
        </w:rPr>
      </w:pPr>
    </w:p>
    <w:p w14:paraId="2B66F770">
      <w:pPr>
        <w:shd w:val="clear"/>
        <w:autoSpaceDE w:val="0"/>
        <w:autoSpaceDN w:val="0"/>
        <w:adjustRightInd w:val="0"/>
        <w:snapToGrid w:val="0"/>
        <w:spacing w:before="25" w:after="25" w:line="360" w:lineRule="auto"/>
        <w:ind w:right="360"/>
        <w:jc w:val="righ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3E158B81">
      <w:pPr>
        <w:shd w:val="clear"/>
        <w:spacing w:line="360" w:lineRule="auto"/>
        <w:ind w:right="360" w:firstLine="480"/>
        <w:jc w:val="right"/>
        <w:rPr>
          <w:rFonts w:eastAsia="宋体"/>
          <w:color w:val="auto"/>
          <w:sz w:val="24"/>
          <w:highlight w:val="none"/>
        </w:rPr>
      </w:pPr>
      <w:r>
        <w:rPr>
          <w:rFonts w:eastAsia="宋体"/>
          <w:color w:val="auto"/>
          <w:sz w:val="24"/>
          <w:szCs w:val="20"/>
          <w:highlight w:val="none"/>
        </w:rPr>
        <w:t xml:space="preserve">日期：____年____月____日   </w:t>
      </w:r>
    </w:p>
    <w:p w14:paraId="26932980">
      <w:pPr>
        <w:shd w:val="clear"/>
        <w:spacing w:line="360" w:lineRule="auto"/>
        <w:rPr>
          <w:rFonts w:eastAsia="宋体"/>
          <w:color w:val="auto"/>
          <w:sz w:val="24"/>
          <w:highlight w:val="none"/>
        </w:rPr>
      </w:pPr>
      <w:r>
        <w:rPr>
          <w:rFonts w:hint="eastAsia"/>
          <w:color w:val="auto"/>
          <w:sz w:val="24"/>
          <w:highlight w:val="none"/>
        </w:rPr>
        <w:t>说明：供应商承诺不实的，依据《政府采购法》第七十七条“提供虚假材料谋取中标、成交的”有关规定予以处理。</w:t>
      </w:r>
    </w:p>
    <w:p w14:paraId="29AED0BD">
      <w:pPr>
        <w:shd w:val="clear"/>
        <w:tabs>
          <w:tab w:val="left" w:pos="5580"/>
        </w:tabs>
        <w:spacing w:line="360" w:lineRule="auto"/>
        <w:rPr>
          <w:rFonts w:eastAsia="宋体"/>
          <w:color w:val="auto"/>
          <w:sz w:val="24"/>
          <w:highlight w:val="none"/>
        </w:rPr>
        <w:sectPr>
          <w:headerReference r:id="rId20" w:type="default"/>
          <w:footerReference r:id="rId21" w:type="default"/>
          <w:pgSz w:w="11907" w:h="16840"/>
          <w:pgMar w:top="1440" w:right="1800" w:bottom="1440" w:left="1800" w:header="851" w:footer="851" w:gutter="0"/>
          <w:pgNumType w:fmt="decimal"/>
          <w:cols w:space="720" w:num="1"/>
          <w:docGrid w:linePitch="462" w:charSpace="0"/>
        </w:sectPr>
      </w:pPr>
    </w:p>
    <w:p w14:paraId="7C20368F">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2 落实政府采购政策需满足的资格要求（如有）</w:t>
      </w:r>
    </w:p>
    <w:p w14:paraId="569A035F">
      <w:pPr>
        <w:shd w:val="clear"/>
        <w:spacing w:line="360" w:lineRule="auto"/>
        <w:outlineLvl w:val="2"/>
        <w:rPr>
          <w:rFonts w:eastAsia="宋体"/>
          <w:color w:val="auto"/>
          <w:sz w:val="24"/>
          <w:szCs w:val="20"/>
          <w:highlight w:val="none"/>
        </w:rPr>
      </w:pPr>
      <w:r>
        <w:rPr>
          <w:rFonts w:eastAsia="宋体"/>
          <w:color w:val="auto"/>
          <w:sz w:val="24"/>
          <w:szCs w:val="20"/>
          <w:highlight w:val="none"/>
        </w:rPr>
        <w:t>2-1中小企业声明函</w:t>
      </w:r>
    </w:p>
    <w:p w14:paraId="0F3BA128">
      <w:pPr>
        <w:shd w:val="clear"/>
        <w:tabs>
          <w:tab w:val="left" w:pos="5580"/>
        </w:tabs>
        <w:spacing w:line="360" w:lineRule="auto"/>
        <w:rPr>
          <w:rFonts w:eastAsia="宋体"/>
          <w:color w:val="auto"/>
          <w:sz w:val="24"/>
          <w:highlight w:val="none"/>
        </w:rPr>
      </w:pPr>
    </w:p>
    <w:p w14:paraId="0C96AC62">
      <w:pPr>
        <w:shd w:val="clear"/>
        <w:tabs>
          <w:tab w:val="left" w:pos="5580"/>
        </w:tabs>
        <w:spacing w:line="360" w:lineRule="auto"/>
        <w:rPr>
          <w:rFonts w:eastAsia="宋体"/>
          <w:color w:val="auto"/>
          <w:sz w:val="24"/>
          <w:highlight w:val="none"/>
        </w:rPr>
      </w:pPr>
      <w:r>
        <w:rPr>
          <w:rFonts w:eastAsia="宋体"/>
          <w:color w:val="auto"/>
          <w:sz w:val="24"/>
          <w:highlight w:val="none"/>
        </w:rPr>
        <w:t>说明：</w:t>
      </w:r>
    </w:p>
    <w:p w14:paraId="534274BD">
      <w:pPr>
        <w:shd w:val="clea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供应商非必须</w:t>
      </w:r>
      <w:r>
        <w:rPr>
          <w:color w:val="auto"/>
          <w:sz w:val="24"/>
          <w:highlight w:val="none"/>
        </w:rPr>
        <w:t>提供</w:t>
      </w:r>
      <w:r>
        <w:rPr>
          <w:rFonts w:hint="eastAsia"/>
          <w:color w:val="auto"/>
          <w:sz w:val="24"/>
          <w:highlight w:val="none"/>
        </w:rPr>
        <w:t>；当小微企业拟享受中小企业扶持政策时，仍应提供</w:t>
      </w:r>
      <w:r>
        <w:rPr>
          <w:color w:val="auto"/>
          <w:sz w:val="24"/>
          <w:highlight w:val="none"/>
        </w:rPr>
        <w:t>《中小企业声明函》</w:t>
      </w:r>
      <w:r>
        <w:rPr>
          <w:rFonts w:hint="eastAsia"/>
          <w:color w:val="auto"/>
          <w:sz w:val="24"/>
          <w:highlight w:val="none"/>
        </w:rPr>
        <w:t>，</w:t>
      </w:r>
      <w:r>
        <w:rPr>
          <w:rFonts w:eastAsia="宋体"/>
          <w:color w:val="auto"/>
          <w:sz w:val="24"/>
          <w:highlight w:val="none"/>
        </w:rPr>
        <w:t>否则不得享受相关中小企业扶持政策</w:t>
      </w:r>
      <w:r>
        <w:rPr>
          <w:color w:val="auto"/>
          <w:sz w:val="24"/>
          <w:highlight w:val="none"/>
        </w:rPr>
        <w:t>。</w:t>
      </w:r>
    </w:p>
    <w:p w14:paraId="24313240">
      <w:pPr>
        <w:shd w:val="clear"/>
        <w:tabs>
          <w:tab w:val="left" w:pos="5580"/>
        </w:tabs>
        <w:spacing w:line="360" w:lineRule="auto"/>
        <w:rPr>
          <w:rFonts w:eastAsia="宋体"/>
          <w:color w:val="auto"/>
          <w:sz w:val="24"/>
          <w:highlight w:val="none"/>
        </w:rPr>
      </w:pPr>
      <w:r>
        <w:rPr>
          <w:rFonts w:eastAsia="宋体"/>
          <w:color w:val="auto"/>
          <w:sz w:val="24"/>
          <w:highlight w:val="none"/>
        </w:rPr>
        <w:t>（2）如本项目（包）专门面向中小/小微企业采购，须提供《中小企业声明函》（实质性格式）。</w:t>
      </w:r>
    </w:p>
    <w:p w14:paraId="5560A1FF">
      <w:pPr>
        <w:shd w:val="clear"/>
        <w:tabs>
          <w:tab w:val="left" w:pos="5580"/>
        </w:tabs>
        <w:spacing w:line="360" w:lineRule="auto"/>
        <w:rPr>
          <w:rFonts w:eastAsia="宋体"/>
          <w:color w:val="auto"/>
          <w:sz w:val="24"/>
          <w:highlight w:val="none"/>
        </w:rPr>
      </w:pPr>
      <w:r>
        <w:rPr>
          <w:rFonts w:eastAsia="宋体"/>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4BDEBFD">
      <w:pPr>
        <w:shd w:val="clear"/>
        <w:tabs>
          <w:tab w:val="left" w:pos="5580"/>
        </w:tabs>
        <w:spacing w:line="360" w:lineRule="auto"/>
        <w:rPr>
          <w:rFonts w:eastAsia="宋体"/>
          <w:color w:val="auto"/>
          <w:sz w:val="24"/>
          <w:highlight w:val="none"/>
        </w:rPr>
      </w:pPr>
      <w:r>
        <w:rPr>
          <w:rFonts w:eastAsia="宋体"/>
          <w:color w:val="auto"/>
          <w:sz w:val="24"/>
          <w:highlight w:val="none"/>
        </w:rPr>
        <w:t>（4）其他</w:t>
      </w:r>
    </w:p>
    <w:p w14:paraId="646A4E02">
      <w:pPr>
        <w:shd w:val="clear"/>
        <w:tabs>
          <w:tab w:val="left" w:pos="5580"/>
        </w:tabs>
        <w:spacing w:line="360" w:lineRule="auto"/>
        <w:rPr>
          <w:rFonts w:eastAsia="宋体"/>
          <w:color w:val="auto"/>
          <w:sz w:val="24"/>
          <w:highlight w:val="none"/>
        </w:rPr>
      </w:pPr>
      <w:r>
        <w:rPr>
          <w:rFonts w:eastAsia="宋体"/>
          <w:color w:val="auto"/>
          <w:sz w:val="24"/>
          <w:highlight w:val="none"/>
        </w:rPr>
        <w:t>1）中小企业参加政府采购活动，应当出具此格式文件。《中小企业声明函》由参加政府采购活动的供应商出具。联合体响应的，《中小企业声明函》由牵头人出具。</w:t>
      </w:r>
    </w:p>
    <w:p w14:paraId="68C8FAE9">
      <w:pPr>
        <w:shd w:val="clear"/>
        <w:tabs>
          <w:tab w:val="left" w:pos="5580"/>
        </w:tabs>
        <w:spacing w:line="360" w:lineRule="auto"/>
        <w:rPr>
          <w:rFonts w:eastAsia="宋体"/>
          <w:color w:val="auto"/>
          <w:sz w:val="24"/>
          <w:highlight w:val="none"/>
        </w:rPr>
      </w:pPr>
      <w:r>
        <w:rPr>
          <w:rFonts w:eastAsia="宋体"/>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9890D24">
      <w:pPr>
        <w:shd w:val="clear"/>
        <w:tabs>
          <w:tab w:val="left" w:pos="5580"/>
        </w:tabs>
        <w:spacing w:line="360" w:lineRule="auto"/>
        <w:rPr>
          <w:rFonts w:eastAsia="宋体"/>
          <w:color w:val="auto"/>
          <w:sz w:val="24"/>
          <w:highlight w:val="none"/>
        </w:rPr>
      </w:pPr>
      <w:r>
        <w:rPr>
          <w:rFonts w:eastAsia="宋体"/>
          <w:color w:val="auto"/>
          <w:sz w:val="24"/>
          <w:highlight w:val="none"/>
        </w:rPr>
        <w:t>3）对于多标的的采购项目，供应商应充分、准确地了解所投产品制造企业信息。对相关情况了解不清楚的，不建议填报本声明函。</w:t>
      </w:r>
    </w:p>
    <w:p w14:paraId="1842988D">
      <w:pPr>
        <w:shd w:val="clear"/>
        <w:tabs>
          <w:tab w:val="left" w:pos="5580"/>
        </w:tabs>
        <w:spacing w:line="360" w:lineRule="auto"/>
        <w:rPr>
          <w:rFonts w:eastAsia="宋体"/>
          <w:color w:val="auto"/>
          <w:sz w:val="24"/>
          <w:highlight w:val="none"/>
        </w:rPr>
      </w:pPr>
      <w:r>
        <w:rPr>
          <w:rFonts w:eastAsia="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85E4AD2">
      <w:pPr>
        <w:shd w:val="clear"/>
        <w:tabs>
          <w:tab w:val="left" w:pos="5580"/>
        </w:tabs>
        <w:spacing w:line="360" w:lineRule="auto"/>
        <w:rPr>
          <w:rFonts w:eastAsia="宋体"/>
          <w:color w:val="auto"/>
          <w:sz w:val="24"/>
          <w:highlight w:val="none"/>
        </w:rPr>
      </w:pPr>
    </w:p>
    <w:p w14:paraId="332651A9">
      <w:pPr>
        <w:widowControl/>
        <w:shd w:val="clear"/>
        <w:jc w:val="left"/>
        <w:rPr>
          <w:rFonts w:eastAsia="宋体"/>
          <w:color w:val="auto"/>
          <w:sz w:val="24"/>
          <w:highlight w:val="none"/>
        </w:rPr>
      </w:pPr>
      <w:r>
        <w:rPr>
          <w:rFonts w:eastAsia="宋体"/>
          <w:color w:val="auto"/>
          <w:sz w:val="24"/>
          <w:highlight w:val="none"/>
        </w:rPr>
        <w:br w:type="page"/>
      </w:r>
    </w:p>
    <w:p w14:paraId="6E45E272">
      <w:pPr>
        <w:shd w:val="clear"/>
        <w:spacing w:before="240" w:beforeLines="100" w:after="240" w:afterLines="100" w:line="360" w:lineRule="auto"/>
        <w:jc w:val="center"/>
        <w:rPr>
          <w:rFonts w:eastAsia="宋体"/>
          <w:b/>
          <w:bCs/>
          <w:color w:val="auto"/>
          <w:sz w:val="36"/>
          <w:szCs w:val="36"/>
          <w:highlight w:val="none"/>
        </w:rPr>
      </w:pPr>
      <w:r>
        <w:rPr>
          <w:rFonts w:eastAsia="宋体"/>
          <w:b/>
          <w:bCs/>
          <w:color w:val="auto"/>
          <w:sz w:val="36"/>
          <w:szCs w:val="36"/>
          <w:highlight w:val="none"/>
        </w:rPr>
        <w:t>中小企业声明函（工程、服务）格式</w:t>
      </w:r>
    </w:p>
    <w:p w14:paraId="688927FE">
      <w:pPr>
        <w:shd w:val="clear"/>
        <w:spacing w:line="360" w:lineRule="auto"/>
        <w:ind w:firstLine="504"/>
        <w:rPr>
          <w:rFonts w:eastAsia="宋体"/>
          <w:color w:val="auto"/>
          <w:spacing w:val="6"/>
          <w:sz w:val="24"/>
          <w:highlight w:val="none"/>
        </w:rPr>
      </w:pPr>
      <w:r>
        <w:rPr>
          <w:rFonts w:eastAsia="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87D1E09">
      <w:pPr>
        <w:shd w:val="clear"/>
        <w:spacing w:line="360" w:lineRule="auto"/>
        <w:ind w:firstLine="504"/>
        <w:rPr>
          <w:rFonts w:eastAsia="宋体"/>
          <w:color w:val="auto"/>
          <w:spacing w:val="6"/>
          <w:sz w:val="24"/>
          <w:highlight w:val="none"/>
        </w:rPr>
      </w:pPr>
      <w:r>
        <w:rPr>
          <w:rFonts w:eastAsia="宋体"/>
          <w:color w:val="auto"/>
          <w:spacing w:val="6"/>
          <w:sz w:val="24"/>
          <w:highlight w:val="none"/>
        </w:rPr>
        <w:t>1.</w:t>
      </w:r>
      <w:r>
        <w:rPr>
          <w:rFonts w:eastAsia="宋体"/>
          <w:color w:val="auto"/>
          <w:spacing w:val="6"/>
          <w:sz w:val="24"/>
          <w:highlight w:val="none"/>
          <w:u w:val="single"/>
        </w:rPr>
        <w:t xml:space="preserve"> （标的名称） </w:t>
      </w:r>
      <w:r>
        <w:rPr>
          <w:rFonts w:eastAsia="宋体"/>
          <w:color w:val="auto"/>
          <w:spacing w:val="6"/>
          <w:sz w:val="24"/>
          <w:highlight w:val="none"/>
        </w:rPr>
        <w:t>，属于</w:t>
      </w:r>
      <w:r>
        <w:rPr>
          <w:rFonts w:eastAsia="宋体"/>
          <w:color w:val="auto"/>
          <w:spacing w:val="6"/>
          <w:sz w:val="24"/>
          <w:highlight w:val="none"/>
          <w:u w:val="single"/>
        </w:rPr>
        <w:t>（竞争性磋商文件中明确的所属行业）</w:t>
      </w:r>
      <w:r>
        <w:rPr>
          <w:rFonts w:eastAsia="宋体"/>
          <w:color w:val="auto"/>
          <w:spacing w:val="6"/>
          <w:sz w:val="24"/>
          <w:highlight w:val="none"/>
        </w:rPr>
        <w:t>行业；承建（承接）企业为</w:t>
      </w:r>
      <w:r>
        <w:rPr>
          <w:rFonts w:eastAsia="宋体"/>
          <w:color w:val="auto"/>
          <w:spacing w:val="6"/>
          <w:sz w:val="24"/>
          <w:highlight w:val="none"/>
          <w:u w:val="single"/>
        </w:rPr>
        <w:t>（企业名称）</w:t>
      </w:r>
      <w:r>
        <w:rPr>
          <w:rFonts w:eastAsia="宋体"/>
          <w:color w:val="auto"/>
          <w:spacing w:val="6"/>
          <w:sz w:val="24"/>
          <w:highlight w:val="none"/>
        </w:rPr>
        <w:t>，从业人员</w:t>
      </w:r>
      <w:r>
        <w:rPr>
          <w:rFonts w:eastAsia="宋体"/>
          <w:color w:val="auto"/>
          <w:sz w:val="24"/>
          <w:highlight w:val="none"/>
        </w:rPr>
        <w:t>______</w:t>
      </w:r>
      <w:r>
        <w:rPr>
          <w:rFonts w:eastAsia="宋体"/>
          <w:color w:val="auto"/>
          <w:spacing w:val="6"/>
          <w:sz w:val="24"/>
          <w:highlight w:val="none"/>
        </w:rPr>
        <w:t>人，营业收入为</w:t>
      </w:r>
      <w:r>
        <w:rPr>
          <w:rFonts w:eastAsia="宋体"/>
          <w:color w:val="auto"/>
          <w:sz w:val="24"/>
          <w:highlight w:val="none"/>
        </w:rPr>
        <w:t>______</w:t>
      </w:r>
      <w:r>
        <w:rPr>
          <w:rFonts w:eastAsia="宋体"/>
          <w:color w:val="auto"/>
          <w:spacing w:val="6"/>
          <w:sz w:val="24"/>
          <w:highlight w:val="none"/>
        </w:rPr>
        <w:t>万元，资产总额为</w:t>
      </w:r>
      <w:r>
        <w:rPr>
          <w:rFonts w:eastAsia="宋体"/>
          <w:color w:val="auto"/>
          <w:sz w:val="24"/>
          <w:highlight w:val="none"/>
        </w:rPr>
        <w:t>______</w:t>
      </w:r>
      <w:r>
        <w:rPr>
          <w:rFonts w:eastAsia="宋体"/>
          <w:color w:val="auto"/>
          <w:spacing w:val="6"/>
          <w:sz w:val="24"/>
          <w:highlight w:val="none"/>
        </w:rPr>
        <w:t>万元</w:t>
      </w:r>
      <w:r>
        <w:rPr>
          <w:rFonts w:eastAsia="宋体"/>
          <w:color w:val="auto"/>
          <w:spacing w:val="6"/>
          <w:sz w:val="24"/>
          <w:highlight w:val="none"/>
          <w:vertAlign w:val="superscript"/>
        </w:rPr>
        <w:t>1</w:t>
      </w:r>
      <w:r>
        <w:rPr>
          <w:rFonts w:eastAsia="宋体"/>
          <w:color w:val="auto"/>
          <w:spacing w:val="6"/>
          <w:sz w:val="24"/>
          <w:highlight w:val="none"/>
        </w:rPr>
        <w:t>，属于（中型企业、小型企业、微型企业）；</w:t>
      </w:r>
    </w:p>
    <w:p w14:paraId="77715F59">
      <w:pPr>
        <w:shd w:val="clear"/>
        <w:spacing w:line="360" w:lineRule="auto"/>
        <w:ind w:firstLine="504"/>
        <w:rPr>
          <w:rFonts w:eastAsia="宋体"/>
          <w:color w:val="auto"/>
          <w:spacing w:val="6"/>
          <w:sz w:val="24"/>
          <w:highlight w:val="none"/>
        </w:rPr>
      </w:pPr>
      <w:r>
        <w:rPr>
          <w:rFonts w:eastAsia="宋体"/>
          <w:color w:val="auto"/>
          <w:spacing w:val="6"/>
          <w:sz w:val="24"/>
          <w:highlight w:val="none"/>
        </w:rPr>
        <w:t xml:space="preserve">2. </w:t>
      </w:r>
      <w:r>
        <w:rPr>
          <w:rFonts w:eastAsia="宋体"/>
          <w:color w:val="auto"/>
          <w:spacing w:val="6"/>
          <w:sz w:val="24"/>
          <w:highlight w:val="none"/>
          <w:u w:val="single"/>
        </w:rPr>
        <w:t xml:space="preserve">（标的名称） </w:t>
      </w:r>
      <w:r>
        <w:rPr>
          <w:rFonts w:eastAsia="宋体"/>
          <w:color w:val="auto"/>
          <w:spacing w:val="6"/>
          <w:sz w:val="24"/>
          <w:highlight w:val="none"/>
        </w:rPr>
        <w:t>，属于</w:t>
      </w:r>
      <w:r>
        <w:rPr>
          <w:rFonts w:eastAsia="宋体"/>
          <w:color w:val="auto"/>
          <w:spacing w:val="6"/>
          <w:sz w:val="24"/>
          <w:highlight w:val="none"/>
          <w:u w:val="single"/>
        </w:rPr>
        <w:t>（竞争性磋商文件中明确的所属行业）</w:t>
      </w:r>
      <w:r>
        <w:rPr>
          <w:rFonts w:eastAsia="宋体"/>
          <w:color w:val="auto"/>
          <w:spacing w:val="6"/>
          <w:sz w:val="24"/>
          <w:highlight w:val="none"/>
        </w:rPr>
        <w:t>行业；承建（承接）企业为</w:t>
      </w:r>
      <w:r>
        <w:rPr>
          <w:rFonts w:eastAsia="宋体"/>
          <w:color w:val="auto"/>
          <w:spacing w:val="6"/>
          <w:sz w:val="24"/>
          <w:highlight w:val="none"/>
          <w:u w:val="single"/>
        </w:rPr>
        <w:t>（企业名称）</w:t>
      </w:r>
      <w:r>
        <w:rPr>
          <w:rFonts w:eastAsia="宋体"/>
          <w:color w:val="auto"/>
          <w:spacing w:val="6"/>
          <w:sz w:val="24"/>
          <w:highlight w:val="none"/>
        </w:rPr>
        <w:t>，从业人员</w:t>
      </w:r>
      <w:r>
        <w:rPr>
          <w:rFonts w:eastAsia="宋体"/>
          <w:color w:val="auto"/>
          <w:sz w:val="24"/>
          <w:highlight w:val="none"/>
        </w:rPr>
        <w:t>______</w:t>
      </w:r>
      <w:r>
        <w:rPr>
          <w:rFonts w:eastAsia="宋体"/>
          <w:color w:val="auto"/>
          <w:spacing w:val="6"/>
          <w:sz w:val="24"/>
          <w:highlight w:val="none"/>
        </w:rPr>
        <w:t>人，营业收入为</w:t>
      </w:r>
      <w:r>
        <w:rPr>
          <w:rFonts w:eastAsia="宋体"/>
          <w:color w:val="auto"/>
          <w:sz w:val="24"/>
          <w:highlight w:val="none"/>
        </w:rPr>
        <w:t>______</w:t>
      </w:r>
      <w:r>
        <w:rPr>
          <w:rFonts w:eastAsia="宋体"/>
          <w:color w:val="auto"/>
          <w:spacing w:val="6"/>
          <w:sz w:val="24"/>
          <w:highlight w:val="none"/>
        </w:rPr>
        <w:t>万元，资产总额为</w:t>
      </w:r>
      <w:r>
        <w:rPr>
          <w:rFonts w:eastAsia="宋体"/>
          <w:color w:val="auto"/>
          <w:sz w:val="24"/>
          <w:highlight w:val="none"/>
        </w:rPr>
        <w:t>______</w:t>
      </w:r>
      <w:r>
        <w:rPr>
          <w:rFonts w:eastAsia="宋体"/>
          <w:color w:val="auto"/>
          <w:spacing w:val="6"/>
          <w:sz w:val="24"/>
          <w:highlight w:val="none"/>
        </w:rPr>
        <w:t>万元，属于</w:t>
      </w:r>
      <w:r>
        <w:rPr>
          <w:rFonts w:eastAsia="宋体"/>
          <w:color w:val="auto"/>
          <w:spacing w:val="6"/>
          <w:sz w:val="24"/>
          <w:highlight w:val="none"/>
          <w:u w:val="single"/>
        </w:rPr>
        <w:t>（中型企业、小型企业、微型企业）</w:t>
      </w:r>
      <w:r>
        <w:rPr>
          <w:rFonts w:eastAsia="宋体"/>
          <w:color w:val="auto"/>
          <w:spacing w:val="6"/>
          <w:sz w:val="24"/>
          <w:highlight w:val="none"/>
        </w:rPr>
        <w:t>；</w:t>
      </w:r>
    </w:p>
    <w:p w14:paraId="7015B004">
      <w:pPr>
        <w:shd w:val="clear"/>
        <w:spacing w:line="360" w:lineRule="auto"/>
        <w:ind w:firstLine="504"/>
        <w:rPr>
          <w:rFonts w:eastAsia="宋体"/>
          <w:color w:val="auto"/>
          <w:spacing w:val="6"/>
          <w:sz w:val="24"/>
          <w:highlight w:val="none"/>
        </w:rPr>
      </w:pPr>
    </w:p>
    <w:p w14:paraId="40D4F751">
      <w:pPr>
        <w:shd w:val="clear"/>
        <w:spacing w:line="360" w:lineRule="auto"/>
        <w:ind w:firstLine="504"/>
        <w:rPr>
          <w:rFonts w:eastAsia="宋体"/>
          <w:color w:val="auto"/>
          <w:spacing w:val="6"/>
          <w:sz w:val="24"/>
          <w:highlight w:val="none"/>
        </w:rPr>
      </w:pPr>
      <w:r>
        <w:rPr>
          <w:rFonts w:eastAsia="宋体"/>
          <w:color w:val="auto"/>
          <w:spacing w:val="6"/>
          <w:sz w:val="24"/>
          <w:highlight w:val="none"/>
        </w:rPr>
        <w:t>……</w:t>
      </w:r>
    </w:p>
    <w:p w14:paraId="208AC6C2">
      <w:pPr>
        <w:shd w:val="clear"/>
        <w:spacing w:line="360" w:lineRule="auto"/>
        <w:ind w:firstLine="504"/>
        <w:rPr>
          <w:rFonts w:eastAsia="宋体"/>
          <w:color w:val="auto"/>
          <w:spacing w:val="6"/>
          <w:sz w:val="24"/>
          <w:highlight w:val="none"/>
        </w:rPr>
      </w:pPr>
      <w:r>
        <w:rPr>
          <w:rFonts w:eastAsia="宋体"/>
          <w:color w:val="auto"/>
          <w:spacing w:val="6"/>
          <w:sz w:val="24"/>
          <w:highlight w:val="none"/>
        </w:rPr>
        <w:t>以上企业，不属于大企业的分支机构，不存在控股股东为大企业的情形，也不存在与大企业的负责人为同一人的情形。</w:t>
      </w:r>
    </w:p>
    <w:p w14:paraId="743ADF33">
      <w:pPr>
        <w:shd w:val="clear"/>
        <w:spacing w:line="360" w:lineRule="auto"/>
        <w:ind w:firstLine="504"/>
        <w:rPr>
          <w:rFonts w:eastAsia="宋体"/>
          <w:color w:val="auto"/>
          <w:spacing w:val="6"/>
          <w:sz w:val="24"/>
          <w:highlight w:val="none"/>
        </w:rPr>
      </w:pPr>
      <w:r>
        <w:rPr>
          <w:rFonts w:eastAsia="宋体"/>
          <w:color w:val="auto"/>
          <w:spacing w:val="6"/>
          <w:sz w:val="24"/>
          <w:highlight w:val="none"/>
        </w:rPr>
        <w:t>本企业对上述声明内容的真实性负责。如有虚假，将依法承担相应责任。</w:t>
      </w:r>
    </w:p>
    <w:p w14:paraId="5D649FD0">
      <w:pPr>
        <w:shd w:val="clear"/>
        <w:spacing w:line="360" w:lineRule="auto"/>
        <w:ind w:right="360" w:firstLine="480"/>
        <w:jc w:val="right"/>
        <w:rPr>
          <w:rFonts w:eastAsia="宋体"/>
          <w:color w:val="auto"/>
          <w:sz w:val="24"/>
          <w:highlight w:val="none"/>
        </w:rPr>
      </w:pPr>
    </w:p>
    <w:p w14:paraId="0D148097">
      <w:pPr>
        <w:shd w:val="clear"/>
        <w:spacing w:line="360" w:lineRule="auto"/>
        <w:ind w:right="360" w:firstLine="480"/>
        <w:jc w:val="right"/>
        <w:rPr>
          <w:rFonts w:eastAsia="宋体"/>
          <w:color w:val="auto"/>
          <w:sz w:val="24"/>
          <w:highlight w:val="none"/>
        </w:rPr>
      </w:pPr>
      <w:r>
        <w:rPr>
          <w:rFonts w:eastAsia="宋体"/>
          <w:color w:val="auto"/>
          <w:sz w:val="24"/>
          <w:highlight w:val="none"/>
        </w:rPr>
        <w:t>企业名称（盖章）：______</w:t>
      </w:r>
    </w:p>
    <w:p w14:paraId="6CCA8C57">
      <w:pPr>
        <w:shd w:val="clear"/>
        <w:spacing w:line="360" w:lineRule="auto"/>
        <w:ind w:right="360" w:firstLine="480"/>
        <w:jc w:val="right"/>
        <w:rPr>
          <w:rFonts w:eastAsia="宋体"/>
          <w:color w:val="auto"/>
          <w:sz w:val="24"/>
          <w:highlight w:val="none"/>
        </w:rPr>
      </w:pPr>
      <w:r>
        <w:rPr>
          <w:rFonts w:eastAsia="宋体"/>
          <w:color w:val="auto"/>
          <w:sz w:val="24"/>
          <w:highlight w:val="none"/>
        </w:rPr>
        <w:t>日 期：______</w:t>
      </w:r>
    </w:p>
    <w:p w14:paraId="53822AA2">
      <w:pPr>
        <w:shd w:val="clear"/>
        <w:adjustRightInd w:val="0"/>
        <w:snapToGrid w:val="0"/>
        <w:jc w:val="left"/>
        <w:rPr>
          <w:rFonts w:eastAsia="宋体"/>
          <w:color w:val="auto"/>
          <w:sz w:val="24"/>
          <w:szCs w:val="21"/>
          <w:highlight w:val="none"/>
        </w:rPr>
      </w:pPr>
    </w:p>
    <w:p w14:paraId="7D4F5FE9">
      <w:pPr>
        <w:pStyle w:val="82"/>
        <w:shd w:val="clear"/>
        <w:rPr>
          <w:rFonts w:eastAsia="宋体"/>
          <w:color w:val="auto"/>
          <w:sz w:val="24"/>
          <w:szCs w:val="21"/>
          <w:highlight w:val="none"/>
        </w:rPr>
      </w:pPr>
    </w:p>
    <w:p w14:paraId="76690660">
      <w:pPr>
        <w:pStyle w:val="82"/>
        <w:shd w:val="clear"/>
        <w:rPr>
          <w:rFonts w:eastAsia="宋体"/>
          <w:color w:val="auto"/>
          <w:sz w:val="24"/>
          <w:szCs w:val="21"/>
          <w:highlight w:val="none"/>
        </w:rPr>
      </w:pPr>
    </w:p>
    <w:p w14:paraId="368515C7">
      <w:pPr>
        <w:pStyle w:val="82"/>
        <w:shd w:val="clear"/>
        <w:rPr>
          <w:rFonts w:eastAsia="宋体"/>
          <w:color w:val="auto"/>
          <w:sz w:val="24"/>
          <w:szCs w:val="21"/>
          <w:highlight w:val="none"/>
        </w:rPr>
      </w:pPr>
    </w:p>
    <w:p w14:paraId="7AFD4F5D">
      <w:pPr>
        <w:pStyle w:val="82"/>
        <w:shd w:val="clear"/>
        <w:rPr>
          <w:rFonts w:eastAsia="宋体"/>
          <w:color w:val="auto"/>
          <w:sz w:val="24"/>
          <w:szCs w:val="21"/>
          <w:highlight w:val="none"/>
        </w:rPr>
      </w:pPr>
    </w:p>
    <w:p w14:paraId="149FBC22">
      <w:pPr>
        <w:pStyle w:val="82"/>
        <w:shd w:val="clear"/>
        <w:rPr>
          <w:rFonts w:eastAsia="宋体"/>
          <w:color w:val="auto"/>
          <w:sz w:val="24"/>
          <w:szCs w:val="21"/>
          <w:highlight w:val="none"/>
        </w:rPr>
      </w:pPr>
    </w:p>
    <w:p w14:paraId="417B6F5E">
      <w:pPr>
        <w:pStyle w:val="82"/>
        <w:shd w:val="clear"/>
        <w:rPr>
          <w:rFonts w:eastAsia="宋体"/>
          <w:color w:val="auto"/>
          <w:sz w:val="24"/>
          <w:szCs w:val="21"/>
          <w:highlight w:val="none"/>
        </w:rPr>
      </w:pPr>
    </w:p>
    <w:p w14:paraId="7D74EC05">
      <w:pPr>
        <w:pStyle w:val="82"/>
        <w:shd w:val="clear"/>
        <w:rPr>
          <w:rFonts w:eastAsia="宋体"/>
          <w:color w:val="auto"/>
          <w:sz w:val="24"/>
          <w:szCs w:val="21"/>
          <w:highlight w:val="none"/>
        </w:rPr>
      </w:pPr>
    </w:p>
    <w:p w14:paraId="45F76987">
      <w:pPr>
        <w:pStyle w:val="82"/>
        <w:shd w:val="clear"/>
        <w:rPr>
          <w:rFonts w:eastAsia="宋体"/>
          <w:color w:val="auto"/>
          <w:sz w:val="24"/>
          <w:szCs w:val="21"/>
          <w:highlight w:val="none"/>
        </w:rPr>
      </w:pPr>
    </w:p>
    <w:p w14:paraId="5443C811">
      <w:pPr>
        <w:shd w:val="clear"/>
        <w:adjustRightInd w:val="0"/>
        <w:snapToGrid w:val="0"/>
        <w:jc w:val="left"/>
        <w:rPr>
          <w:rFonts w:eastAsia="宋体"/>
          <w:color w:val="auto"/>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8380E0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B773BD8">
            <w:pPr>
              <w:shd w:val="clear"/>
              <w:adjustRightInd w:val="0"/>
              <w:snapToGrid w:val="0"/>
              <w:jc w:val="left"/>
              <w:rPr>
                <w:rFonts w:eastAsia="宋体"/>
                <w:color w:val="auto"/>
                <w:szCs w:val="21"/>
                <w:highlight w:val="none"/>
              </w:rPr>
            </w:pPr>
            <w:r>
              <w:rPr>
                <w:rFonts w:eastAsia="宋体"/>
                <w:color w:val="auto"/>
                <w:szCs w:val="21"/>
                <w:highlight w:val="none"/>
                <w:vertAlign w:val="superscript"/>
              </w:rPr>
              <w:t>1</w:t>
            </w:r>
            <w:r>
              <w:rPr>
                <w:rFonts w:eastAsia="宋体"/>
                <w:color w:val="auto"/>
                <w:szCs w:val="21"/>
                <w:highlight w:val="none"/>
              </w:rPr>
              <w:t>从业人员、营业收入、资产总额填报上一年度数据，无上一年度数据的新成立企业可不填报。</w:t>
            </w:r>
          </w:p>
        </w:tc>
      </w:tr>
    </w:tbl>
    <w:p w14:paraId="19EA9B8A">
      <w:pPr>
        <w:shd w:val="clear"/>
        <w:adjustRightInd w:val="0"/>
        <w:snapToGrid w:val="0"/>
        <w:jc w:val="left"/>
        <w:rPr>
          <w:rFonts w:eastAsia="宋体"/>
          <w:color w:val="auto"/>
          <w:szCs w:val="21"/>
          <w:highlight w:val="none"/>
          <w:vertAlign w:val="superscript"/>
        </w:rPr>
      </w:pPr>
    </w:p>
    <w:p w14:paraId="7DC9E321">
      <w:pPr>
        <w:shd w:val="clear"/>
        <w:spacing w:line="360" w:lineRule="auto"/>
        <w:ind w:right="360" w:firstLine="480"/>
        <w:jc w:val="right"/>
        <w:rPr>
          <w:rFonts w:eastAsia="宋体"/>
          <w:color w:val="auto"/>
          <w:sz w:val="24"/>
          <w:highlight w:val="none"/>
        </w:rPr>
      </w:pPr>
    </w:p>
    <w:p w14:paraId="1F4288E0">
      <w:pPr>
        <w:shd w:val="clear"/>
        <w:spacing w:line="360" w:lineRule="auto"/>
        <w:outlineLvl w:val="2"/>
        <w:rPr>
          <w:rFonts w:eastAsia="宋体"/>
          <w:color w:val="auto"/>
          <w:sz w:val="24"/>
          <w:szCs w:val="20"/>
          <w:highlight w:val="none"/>
        </w:rPr>
      </w:pPr>
    </w:p>
    <w:p w14:paraId="5D54BDD5">
      <w:pPr>
        <w:shd w:val="clear"/>
        <w:spacing w:before="240" w:beforeLines="100" w:after="240" w:afterLines="100" w:line="360" w:lineRule="auto"/>
        <w:jc w:val="center"/>
        <w:rPr>
          <w:rFonts w:eastAsia="宋体"/>
          <w:b/>
          <w:color w:val="auto"/>
          <w:sz w:val="36"/>
          <w:szCs w:val="36"/>
          <w:highlight w:val="none"/>
        </w:rPr>
      </w:pPr>
      <w:r>
        <w:rPr>
          <w:rFonts w:eastAsia="宋体"/>
          <w:b/>
          <w:bCs/>
          <w:color w:val="auto"/>
          <w:sz w:val="36"/>
          <w:szCs w:val="36"/>
          <w:highlight w:val="none"/>
        </w:rPr>
        <w:t>残疾人福利性单位声明函格式</w:t>
      </w:r>
      <w:r>
        <w:rPr>
          <w:rFonts w:eastAsia="宋体"/>
          <w:b/>
          <w:color w:val="auto"/>
          <w:sz w:val="36"/>
          <w:szCs w:val="36"/>
          <w:highlight w:val="none"/>
        </w:rPr>
        <w:t xml:space="preserve">       </w:t>
      </w:r>
    </w:p>
    <w:p w14:paraId="4956DDFB">
      <w:pPr>
        <w:shd w:val="clear"/>
        <w:spacing w:line="588" w:lineRule="exact"/>
        <w:ind w:firstLine="504"/>
        <w:rPr>
          <w:rFonts w:eastAsia="宋体"/>
          <w:color w:val="auto"/>
          <w:spacing w:val="6"/>
          <w:sz w:val="24"/>
          <w:highlight w:val="none"/>
        </w:rPr>
      </w:pPr>
      <w:r>
        <w:rPr>
          <w:rFonts w:eastAsia="宋体"/>
          <w:color w:val="auto"/>
          <w:spacing w:val="6"/>
          <w:sz w:val="24"/>
          <w:highlight w:val="none"/>
        </w:rPr>
        <w:t>本单位郑重声明，根据《财政部 民政部 中国残疾人联合会关于促进残疾人就业政府采购政策的通知》（财库</w:t>
      </w:r>
      <w:r>
        <w:rPr>
          <w:rFonts w:eastAsia="宋体"/>
          <w:color w:val="auto"/>
          <w:sz w:val="24"/>
          <w:highlight w:val="none"/>
        </w:rPr>
        <w:t>〔2017〕 141</w:t>
      </w:r>
      <w:r>
        <w:rPr>
          <w:rFonts w:eastAsia="宋体"/>
          <w:color w:val="auto"/>
          <w:spacing w:val="6"/>
          <w:sz w:val="24"/>
          <w:highlight w:val="none"/>
        </w:rPr>
        <w:t>号）的规定，本单位</w:t>
      </w:r>
      <w:r>
        <w:rPr>
          <w:rFonts w:eastAsia="宋体"/>
          <w:b/>
          <w:color w:val="auto"/>
          <w:sz w:val="24"/>
          <w:highlight w:val="none"/>
        </w:rPr>
        <w:t>（请进行勾选）</w:t>
      </w:r>
      <w:r>
        <w:rPr>
          <w:rFonts w:eastAsia="宋体"/>
          <w:color w:val="auto"/>
          <w:spacing w:val="6"/>
          <w:sz w:val="24"/>
          <w:highlight w:val="none"/>
        </w:rPr>
        <w:t>：</w:t>
      </w:r>
    </w:p>
    <w:p w14:paraId="697D693B">
      <w:pPr>
        <w:shd w:val="clear"/>
        <w:spacing w:line="588" w:lineRule="exact"/>
        <w:ind w:firstLine="482"/>
        <w:rPr>
          <w:rFonts w:eastAsia="宋体"/>
          <w:b/>
          <w:color w:val="auto"/>
          <w:spacing w:val="6"/>
          <w:sz w:val="24"/>
          <w:highlight w:val="none"/>
        </w:rPr>
      </w:pPr>
      <w:r>
        <w:rPr>
          <w:rFonts w:hint="eastAsia"/>
          <w:b/>
          <w:color w:val="auto"/>
          <w:sz w:val="24"/>
          <w:highlight w:val="none"/>
          <w:lang w:eastAsia="zh-CN"/>
        </w:rPr>
        <w:t>□</w:t>
      </w:r>
      <w:r>
        <w:rPr>
          <w:rFonts w:eastAsia="宋体"/>
          <w:b/>
          <w:color w:val="auto"/>
          <w:spacing w:val="6"/>
          <w:sz w:val="24"/>
          <w:highlight w:val="none"/>
        </w:rPr>
        <w:t>不属于符合条件的残疾人福利性单位。</w:t>
      </w:r>
    </w:p>
    <w:p w14:paraId="640F0F29">
      <w:pPr>
        <w:shd w:val="clear"/>
        <w:spacing w:line="588" w:lineRule="exact"/>
        <w:ind w:firstLine="482"/>
        <w:rPr>
          <w:rFonts w:eastAsia="宋体"/>
          <w:color w:val="auto"/>
          <w:spacing w:val="6"/>
          <w:sz w:val="24"/>
          <w:highlight w:val="none"/>
        </w:rPr>
      </w:pPr>
      <w:r>
        <w:rPr>
          <w:rFonts w:hint="eastAsia"/>
          <w:b/>
          <w:color w:val="auto"/>
          <w:sz w:val="24"/>
          <w:highlight w:val="none"/>
          <w:lang w:eastAsia="zh-CN"/>
        </w:rPr>
        <w:t>□</w:t>
      </w:r>
      <w:r>
        <w:rPr>
          <w:rFonts w:eastAsia="宋体"/>
          <w:b/>
          <w:color w:val="auto"/>
          <w:spacing w:val="6"/>
          <w:sz w:val="24"/>
          <w:highlight w:val="none"/>
        </w:rPr>
        <w:t>属于符合条件的残疾人福利性单位，</w:t>
      </w:r>
      <w:r>
        <w:rPr>
          <w:rFonts w:eastAsia="宋体"/>
          <w:color w:val="auto"/>
          <w:spacing w:val="6"/>
          <w:sz w:val="24"/>
          <w:highlight w:val="none"/>
        </w:rPr>
        <w:t>且本单位参加</w:t>
      </w:r>
      <w:r>
        <w:rPr>
          <w:rFonts w:eastAsia="宋体"/>
          <w:color w:val="auto"/>
          <w:sz w:val="24"/>
          <w:highlight w:val="none"/>
        </w:rPr>
        <w:t>______</w:t>
      </w:r>
      <w:r>
        <w:rPr>
          <w:rFonts w:eastAsia="宋体"/>
          <w:color w:val="auto"/>
          <w:spacing w:val="6"/>
          <w:sz w:val="24"/>
          <w:highlight w:val="none"/>
        </w:rPr>
        <w:t>单位的</w:t>
      </w:r>
      <w:r>
        <w:rPr>
          <w:rFonts w:eastAsia="宋体"/>
          <w:color w:val="auto"/>
          <w:sz w:val="24"/>
          <w:highlight w:val="none"/>
        </w:rPr>
        <w:t>______</w:t>
      </w:r>
      <w:r>
        <w:rPr>
          <w:rFonts w:eastAsia="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0D35BB0">
      <w:pPr>
        <w:shd w:val="clear"/>
        <w:spacing w:line="588" w:lineRule="exact"/>
        <w:ind w:firstLine="506" w:firstLineChars="200"/>
        <w:rPr>
          <w:rFonts w:eastAsia="宋体"/>
          <w:color w:val="auto"/>
          <w:spacing w:val="6"/>
          <w:sz w:val="24"/>
          <w:highlight w:val="none"/>
        </w:rPr>
      </w:pPr>
      <w:r>
        <w:rPr>
          <w:rFonts w:eastAsia="宋体"/>
          <w:b/>
          <w:color w:val="auto"/>
          <w:spacing w:val="6"/>
          <w:sz w:val="24"/>
          <w:highlight w:val="none"/>
        </w:rPr>
        <w:t>本单位对上述声明的真实性负责。如有虚假，将依法承担相应责任。</w:t>
      </w:r>
    </w:p>
    <w:p w14:paraId="16F8C336">
      <w:pPr>
        <w:shd w:val="clear"/>
        <w:spacing w:line="588" w:lineRule="exact"/>
        <w:ind w:firstLine="504" w:firstLineChars="200"/>
        <w:rPr>
          <w:rFonts w:eastAsia="宋体"/>
          <w:color w:val="auto"/>
          <w:spacing w:val="6"/>
          <w:sz w:val="24"/>
          <w:highlight w:val="none"/>
        </w:rPr>
      </w:pPr>
    </w:p>
    <w:p w14:paraId="0173B8D9">
      <w:pPr>
        <w:shd w:val="clear"/>
        <w:spacing w:line="588" w:lineRule="exact"/>
        <w:ind w:firstLine="504" w:firstLineChars="200"/>
        <w:rPr>
          <w:rFonts w:eastAsia="宋体"/>
          <w:color w:val="auto"/>
          <w:spacing w:val="6"/>
          <w:sz w:val="24"/>
          <w:highlight w:val="none"/>
        </w:rPr>
      </w:pPr>
    </w:p>
    <w:p w14:paraId="0DA361B5">
      <w:pPr>
        <w:shd w:val="clear"/>
        <w:tabs>
          <w:tab w:val="left" w:pos="4860"/>
        </w:tabs>
        <w:spacing w:line="588" w:lineRule="exact"/>
        <w:ind w:right="1560" w:firstLine="504" w:firstLineChars="200"/>
        <w:jc w:val="right"/>
        <w:rPr>
          <w:rFonts w:eastAsia="宋体"/>
          <w:color w:val="auto"/>
          <w:spacing w:val="6"/>
          <w:sz w:val="24"/>
          <w:highlight w:val="none"/>
        </w:rPr>
      </w:pPr>
      <w:r>
        <w:rPr>
          <w:rFonts w:eastAsia="宋体"/>
          <w:color w:val="auto"/>
          <w:spacing w:val="6"/>
          <w:sz w:val="24"/>
          <w:highlight w:val="none"/>
        </w:rPr>
        <w:t xml:space="preserve">          单位名称（盖章）：</w:t>
      </w:r>
      <w:r>
        <w:rPr>
          <w:rFonts w:eastAsia="宋体"/>
          <w:color w:val="auto"/>
          <w:sz w:val="24"/>
          <w:highlight w:val="none"/>
        </w:rPr>
        <w:t>______</w:t>
      </w:r>
    </w:p>
    <w:p w14:paraId="5DC91846">
      <w:pPr>
        <w:shd w:val="clear"/>
        <w:tabs>
          <w:tab w:val="left" w:pos="4860"/>
        </w:tabs>
        <w:spacing w:line="588" w:lineRule="exact"/>
        <w:ind w:right="1560" w:firstLine="504" w:firstLineChars="200"/>
        <w:jc w:val="right"/>
        <w:rPr>
          <w:rFonts w:eastAsia="宋体"/>
          <w:color w:val="auto"/>
          <w:spacing w:val="6"/>
          <w:sz w:val="24"/>
          <w:highlight w:val="none"/>
        </w:rPr>
      </w:pPr>
      <w:r>
        <w:rPr>
          <w:rFonts w:eastAsia="宋体"/>
          <w:color w:val="auto"/>
          <w:spacing w:val="6"/>
          <w:sz w:val="24"/>
          <w:highlight w:val="none"/>
        </w:rPr>
        <w:t xml:space="preserve">       日  期：</w:t>
      </w:r>
      <w:r>
        <w:rPr>
          <w:rFonts w:eastAsia="宋体"/>
          <w:color w:val="auto"/>
          <w:sz w:val="24"/>
          <w:highlight w:val="none"/>
        </w:rPr>
        <w:t>______</w:t>
      </w:r>
    </w:p>
    <w:p w14:paraId="7843E1DA">
      <w:pPr>
        <w:widowControl/>
        <w:shd w:val="clear"/>
        <w:jc w:val="left"/>
        <w:rPr>
          <w:rFonts w:eastAsia="宋体"/>
          <w:color w:val="auto"/>
          <w:sz w:val="24"/>
          <w:szCs w:val="20"/>
          <w:highlight w:val="none"/>
        </w:rPr>
      </w:pPr>
      <w:r>
        <w:rPr>
          <w:rFonts w:eastAsia="宋体"/>
          <w:color w:val="auto"/>
          <w:sz w:val="24"/>
          <w:szCs w:val="20"/>
          <w:highlight w:val="none"/>
        </w:rPr>
        <w:br w:type="page"/>
      </w:r>
    </w:p>
    <w:p w14:paraId="07D080AA">
      <w:pPr>
        <w:shd w:val="clear"/>
        <w:spacing w:line="360" w:lineRule="auto"/>
        <w:outlineLvl w:val="2"/>
        <w:rPr>
          <w:rFonts w:hint="eastAsia" w:eastAsia="宋体"/>
          <w:color w:val="auto"/>
          <w:sz w:val="24"/>
          <w:szCs w:val="20"/>
          <w:highlight w:val="none"/>
          <w:lang w:eastAsia="zh-CN"/>
        </w:rPr>
      </w:pPr>
      <w:r>
        <w:rPr>
          <w:rFonts w:eastAsia="宋体"/>
          <w:color w:val="auto"/>
          <w:sz w:val="24"/>
          <w:szCs w:val="20"/>
          <w:highlight w:val="none"/>
        </w:rPr>
        <w:t>2-1-1拟分包情况说明及分包意向协议（类型一）（实质性格式）</w:t>
      </w:r>
      <w:r>
        <w:rPr>
          <w:rFonts w:hint="eastAsia"/>
          <w:color w:val="auto"/>
          <w:sz w:val="24"/>
          <w:szCs w:val="20"/>
          <w:highlight w:val="none"/>
          <w:lang w:eastAsia="zh-CN"/>
        </w:rPr>
        <w:t>（</w:t>
      </w:r>
      <w:r>
        <w:rPr>
          <w:rFonts w:hint="eastAsia"/>
          <w:color w:val="auto"/>
          <w:sz w:val="24"/>
          <w:szCs w:val="20"/>
          <w:highlight w:val="none"/>
          <w:lang w:val="en-US" w:eastAsia="zh-CN"/>
        </w:rPr>
        <w:t>如有</w:t>
      </w:r>
      <w:r>
        <w:rPr>
          <w:rFonts w:hint="eastAsia"/>
          <w:color w:val="auto"/>
          <w:sz w:val="24"/>
          <w:szCs w:val="20"/>
          <w:highlight w:val="none"/>
          <w:lang w:eastAsia="zh-CN"/>
        </w:rPr>
        <w:t>）</w:t>
      </w:r>
    </w:p>
    <w:p w14:paraId="7FDE6FAB">
      <w:pPr>
        <w:shd w:val="clear"/>
        <w:autoSpaceDE w:val="0"/>
        <w:autoSpaceDN w:val="0"/>
        <w:adjustRightInd w:val="0"/>
        <w:jc w:val="center"/>
        <w:rPr>
          <w:rFonts w:eastAsia="宋体"/>
          <w:color w:val="auto"/>
          <w:sz w:val="30"/>
          <w:szCs w:val="30"/>
          <w:highlight w:val="none"/>
        </w:rPr>
      </w:pPr>
    </w:p>
    <w:p w14:paraId="51F6A605">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拟分包情况说明</w:t>
      </w:r>
    </w:p>
    <w:p w14:paraId="4BFD9612">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3021A219">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8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251"/>
        <w:gridCol w:w="1471"/>
        <w:gridCol w:w="1095"/>
        <w:gridCol w:w="1518"/>
        <w:gridCol w:w="1457"/>
        <w:gridCol w:w="1521"/>
      </w:tblGrid>
      <w:tr w14:paraId="5E8F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2D968AF5">
            <w:pPr>
              <w:pStyle w:val="235"/>
              <w:shd w:val="clear"/>
              <w:jc w:val="center"/>
              <w:rPr>
                <w:rFonts w:eastAsia="宋体"/>
                <w:color w:val="auto"/>
                <w:sz w:val="24"/>
                <w:highlight w:val="none"/>
              </w:rPr>
            </w:pPr>
            <w:r>
              <w:rPr>
                <w:rFonts w:hint="eastAsia" w:eastAsia="宋体"/>
                <w:color w:val="auto"/>
                <w:sz w:val="24"/>
                <w:highlight w:val="none"/>
              </w:rPr>
              <w:t>序号</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CA8BBB4">
            <w:pPr>
              <w:pStyle w:val="235"/>
              <w:shd w:val="clear"/>
              <w:jc w:val="center"/>
              <w:rPr>
                <w:rFonts w:eastAsia="宋体"/>
                <w:color w:val="auto"/>
                <w:sz w:val="24"/>
                <w:highlight w:val="none"/>
              </w:rPr>
            </w:pPr>
            <w:r>
              <w:rPr>
                <w:rFonts w:hint="eastAsia" w:eastAsia="宋体"/>
                <w:color w:val="auto"/>
                <w:sz w:val="24"/>
                <w:highlight w:val="none"/>
              </w:rPr>
              <w:t>分包承担</w:t>
            </w:r>
          </w:p>
          <w:p w14:paraId="64DC5473">
            <w:pPr>
              <w:pStyle w:val="235"/>
              <w:shd w:val="clear"/>
              <w:jc w:val="center"/>
              <w:rPr>
                <w:rFonts w:eastAsia="宋体"/>
                <w:color w:val="auto"/>
                <w:sz w:val="24"/>
                <w:highlight w:val="none"/>
              </w:rPr>
            </w:pPr>
            <w:r>
              <w:rPr>
                <w:rFonts w:hint="eastAsia" w:eastAsia="宋体"/>
                <w:color w:val="auto"/>
                <w:sz w:val="24"/>
                <w:highlight w:val="none"/>
              </w:rPr>
              <w:t>主体名称</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62BC1B7">
            <w:pPr>
              <w:pStyle w:val="235"/>
              <w:shd w:val="clear"/>
              <w:jc w:val="center"/>
              <w:rPr>
                <w:rFonts w:eastAsia="宋体"/>
                <w:color w:val="auto"/>
                <w:sz w:val="24"/>
                <w:highlight w:val="none"/>
                <w:lang w:eastAsia="zh-CN"/>
              </w:rPr>
            </w:pPr>
            <w:r>
              <w:rPr>
                <w:rFonts w:hint="eastAsia" w:eastAsia="宋体"/>
                <w:color w:val="auto"/>
                <w:sz w:val="24"/>
                <w:highlight w:val="none"/>
                <w:lang w:eastAsia="zh-CN"/>
              </w:rPr>
              <w:t>分包承担</w:t>
            </w:r>
          </w:p>
          <w:p w14:paraId="2CCA5197">
            <w:pPr>
              <w:pStyle w:val="235"/>
              <w:shd w:val="clear"/>
              <w:jc w:val="center"/>
              <w:rPr>
                <w:rFonts w:eastAsia="宋体"/>
                <w:color w:val="auto"/>
                <w:sz w:val="24"/>
                <w:highlight w:val="none"/>
                <w:lang w:eastAsia="zh-CN"/>
              </w:rPr>
            </w:pPr>
            <w:r>
              <w:rPr>
                <w:rFonts w:hint="eastAsia" w:eastAsia="宋体"/>
                <w:color w:val="auto"/>
                <w:sz w:val="24"/>
                <w:highlight w:val="none"/>
                <w:lang w:eastAsia="zh-CN"/>
              </w:rPr>
              <w:t>主体类型</w:t>
            </w:r>
          </w:p>
          <w:p w14:paraId="6D626746">
            <w:pPr>
              <w:pStyle w:val="235"/>
              <w:shd w:val="clear"/>
              <w:jc w:val="center"/>
              <w:rPr>
                <w:rFonts w:eastAsia="宋体"/>
                <w:color w:val="auto"/>
                <w:sz w:val="24"/>
                <w:highlight w:val="none"/>
                <w:lang w:eastAsia="zh-CN"/>
              </w:rPr>
            </w:pPr>
            <w:r>
              <w:rPr>
                <w:rFonts w:hint="eastAsia" w:eastAsia="宋体"/>
                <w:color w:val="auto"/>
                <w:sz w:val="24"/>
                <w:highlight w:val="none"/>
                <w:lang w:eastAsia="zh-CN"/>
              </w:rPr>
              <w:t>（勾选）</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737BE55">
            <w:pPr>
              <w:pStyle w:val="235"/>
              <w:shd w:val="clear"/>
              <w:jc w:val="center"/>
              <w:rPr>
                <w:rFonts w:eastAsia="宋体"/>
                <w:color w:val="auto"/>
                <w:sz w:val="24"/>
                <w:highlight w:val="none"/>
              </w:rPr>
            </w:pPr>
            <w:r>
              <w:rPr>
                <w:rFonts w:hint="eastAsia" w:eastAsia="宋体"/>
                <w:color w:val="auto"/>
                <w:sz w:val="24"/>
                <w:highlight w:val="none"/>
              </w:rPr>
              <w:t>资质等级</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13D8C944">
            <w:pPr>
              <w:pStyle w:val="235"/>
              <w:shd w:val="clear"/>
              <w:jc w:val="center"/>
              <w:rPr>
                <w:rFonts w:eastAsia="宋体"/>
                <w:color w:val="auto"/>
                <w:sz w:val="24"/>
                <w:highlight w:val="none"/>
              </w:rPr>
            </w:pPr>
            <w:r>
              <w:rPr>
                <w:rFonts w:hint="eastAsia" w:eastAsia="宋体"/>
                <w:color w:val="auto"/>
                <w:sz w:val="24"/>
                <w:highlight w:val="none"/>
              </w:rPr>
              <w:t>拟分包</w:t>
            </w:r>
          </w:p>
          <w:p w14:paraId="750FA174">
            <w:pPr>
              <w:pStyle w:val="235"/>
              <w:shd w:val="clear"/>
              <w:jc w:val="center"/>
              <w:rPr>
                <w:rFonts w:eastAsia="宋体"/>
                <w:color w:val="auto"/>
                <w:sz w:val="24"/>
                <w:highlight w:val="none"/>
              </w:rPr>
            </w:pPr>
            <w:r>
              <w:rPr>
                <w:rFonts w:hint="eastAsia" w:eastAsia="宋体"/>
                <w:color w:val="auto"/>
                <w:sz w:val="24"/>
                <w:highlight w:val="none"/>
              </w:rPr>
              <w:t>合同内容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22D072BA">
            <w:pPr>
              <w:pStyle w:val="235"/>
              <w:shd w:val="clear"/>
              <w:jc w:val="center"/>
              <w:rPr>
                <w:rFonts w:eastAsia="宋体"/>
                <w:color w:val="auto"/>
                <w:sz w:val="24"/>
                <w:highlight w:val="none"/>
                <w:lang w:eastAsia="zh-CN"/>
              </w:rPr>
            </w:pPr>
            <w:r>
              <w:rPr>
                <w:rFonts w:hint="eastAsia" w:eastAsia="宋体"/>
                <w:color w:val="auto"/>
                <w:sz w:val="24"/>
                <w:highlight w:val="none"/>
                <w:lang w:eastAsia="zh-CN"/>
              </w:rPr>
              <w:t>拟分包</w:t>
            </w:r>
          </w:p>
          <w:p w14:paraId="3E5F4F47">
            <w:pPr>
              <w:pStyle w:val="235"/>
              <w:shd w:val="clear"/>
              <w:jc w:val="center"/>
              <w:rPr>
                <w:rFonts w:eastAsia="宋体"/>
                <w:color w:val="auto"/>
                <w:sz w:val="24"/>
                <w:highlight w:val="none"/>
                <w:lang w:eastAsia="zh-CN"/>
              </w:rPr>
            </w:pPr>
            <w:r>
              <w:rPr>
                <w:rFonts w:hint="eastAsia" w:eastAsia="宋体"/>
                <w:color w:val="auto"/>
                <w:sz w:val="24"/>
                <w:highlight w:val="none"/>
                <w:lang w:eastAsia="zh-CN"/>
              </w:rPr>
              <w:t>合同金额</w:t>
            </w:r>
          </w:p>
          <w:p w14:paraId="30419811">
            <w:pPr>
              <w:pStyle w:val="235"/>
              <w:shd w:val="clear"/>
              <w:jc w:val="center"/>
              <w:rPr>
                <w:rFonts w:eastAsia="宋体"/>
                <w:color w:val="auto"/>
                <w:sz w:val="24"/>
                <w:highlight w:val="none"/>
                <w:lang w:eastAsia="zh-CN"/>
              </w:rPr>
            </w:pPr>
            <w:r>
              <w:rPr>
                <w:rFonts w:hint="eastAsia" w:eastAsia="宋体"/>
                <w:color w:val="auto"/>
                <w:sz w:val="24"/>
                <w:highlight w:val="none"/>
                <w:lang w:eastAsia="zh-CN"/>
              </w:rPr>
              <w:t>（人民币元）</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FA1B314">
            <w:pPr>
              <w:pStyle w:val="235"/>
              <w:shd w:val="clear"/>
              <w:jc w:val="center"/>
              <w:rPr>
                <w:rFonts w:eastAsia="宋体"/>
                <w:color w:val="auto"/>
                <w:sz w:val="24"/>
                <w:highlight w:val="none"/>
                <w:lang w:eastAsia="zh-CN"/>
              </w:rPr>
            </w:pPr>
            <w:r>
              <w:rPr>
                <w:rFonts w:hint="eastAsia" w:eastAsia="宋体"/>
                <w:color w:val="auto"/>
                <w:sz w:val="24"/>
                <w:highlight w:val="none"/>
                <w:lang w:eastAsia="zh-CN"/>
              </w:rPr>
              <w:t>占该采购包</w:t>
            </w:r>
          </w:p>
          <w:p w14:paraId="7361DB99">
            <w:pPr>
              <w:pStyle w:val="235"/>
              <w:shd w:val="clear"/>
              <w:jc w:val="center"/>
              <w:rPr>
                <w:rFonts w:eastAsia="宋体"/>
                <w:b/>
                <w:color w:val="auto"/>
                <w:sz w:val="24"/>
                <w:highlight w:val="none"/>
                <w:lang w:eastAsia="zh-CN"/>
              </w:rPr>
            </w:pPr>
            <w:r>
              <w:rPr>
                <w:rFonts w:hint="eastAsia" w:eastAsia="宋体"/>
                <w:b/>
                <w:color w:val="auto"/>
                <w:sz w:val="24"/>
                <w:highlight w:val="none"/>
                <w:lang w:eastAsia="zh-CN"/>
              </w:rPr>
              <w:t>预算金额的</w:t>
            </w:r>
          </w:p>
          <w:p w14:paraId="7A17A3D4">
            <w:pPr>
              <w:pStyle w:val="235"/>
              <w:shd w:val="clear"/>
              <w:jc w:val="center"/>
              <w:rPr>
                <w:rFonts w:eastAsia="宋体"/>
                <w:color w:val="auto"/>
                <w:sz w:val="24"/>
                <w:highlight w:val="none"/>
                <w:lang w:eastAsia="zh-CN"/>
              </w:rPr>
            </w:pPr>
            <w:r>
              <w:rPr>
                <w:rFonts w:hint="eastAsia" w:eastAsia="宋体"/>
                <w:color w:val="auto"/>
                <w:sz w:val="24"/>
                <w:highlight w:val="none"/>
                <w:lang w:eastAsia="zh-CN"/>
              </w:rPr>
              <w:t>比例（</w:t>
            </w:r>
            <w:r>
              <w:rPr>
                <w:rFonts w:ascii="Times New Roman" w:eastAsia="Times New Roman"/>
                <w:color w:val="auto"/>
                <w:sz w:val="24"/>
                <w:highlight w:val="none"/>
                <w:lang w:eastAsia="zh-CN"/>
              </w:rPr>
              <w:t>%</w:t>
            </w:r>
            <w:r>
              <w:rPr>
                <w:rFonts w:hint="eastAsia" w:eastAsia="宋体"/>
                <w:color w:val="auto"/>
                <w:sz w:val="24"/>
                <w:highlight w:val="none"/>
                <w:lang w:eastAsia="zh-CN"/>
              </w:rPr>
              <w:t>）</w:t>
            </w:r>
          </w:p>
        </w:tc>
      </w:tr>
      <w:tr w14:paraId="693E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24DC2D0A">
            <w:pPr>
              <w:pStyle w:val="235"/>
              <w:shd w:val="clear"/>
              <w:jc w:val="center"/>
              <w:rPr>
                <w:rFonts w:ascii="Times New Roman" w:eastAsia="宋体"/>
                <w:color w:val="auto"/>
                <w:sz w:val="24"/>
                <w:highlight w:val="none"/>
              </w:rPr>
            </w:pPr>
            <w:r>
              <w:rPr>
                <w:rFonts w:ascii="Times New Roman" w:eastAsia="宋体"/>
                <w:color w:val="auto"/>
                <w:sz w:val="24"/>
                <w:highlight w:val="none"/>
              </w:rPr>
              <w:t>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3DAB5D5">
            <w:pPr>
              <w:pStyle w:val="235"/>
              <w:shd w:val="clear"/>
              <w:jc w:val="center"/>
              <w:rPr>
                <w:rFonts w:ascii="Times New Roman" w:hAnsi="Times New Roman" w:eastAsia="宋体" w:cs="Times New Roman"/>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939E2EE">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中型企业</w:t>
            </w:r>
          </w:p>
          <w:p w14:paraId="5079B9FB">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97B791">
            <w:pPr>
              <w:pStyle w:val="235"/>
              <w:shd w:val="clear"/>
              <w:jc w:val="center"/>
              <w:rPr>
                <w:rFonts w:ascii="Times New Roman" w:eastAsia="宋体"/>
                <w:color w:val="auto"/>
                <w:sz w:val="30"/>
                <w:highlight w:val="none"/>
                <w:lang w:eastAsia="zh-CN"/>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21287E1F">
            <w:pPr>
              <w:pStyle w:val="235"/>
              <w:shd w:val="clear"/>
              <w:jc w:val="center"/>
              <w:rPr>
                <w:rFonts w:ascii="Times New Roman" w:eastAsia="宋体"/>
                <w:color w:val="auto"/>
                <w:sz w:val="30"/>
                <w:highlight w:val="none"/>
                <w:lang w:eastAsia="zh-CN"/>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0C07633">
            <w:pPr>
              <w:pStyle w:val="235"/>
              <w:shd w:val="clear"/>
              <w:jc w:val="center"/>
              <w:rPr>
                <w:rFonts w:ascii="Times New Roman" w:eastAsia="宋体"/>
                <w:color w:val="auto"/>
                <w:sz w:val="30"/>
                <w:highlight w:val="none"/>
                <w:lang w:eastAsia="zh-CN"/>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AD336A7">
            <w:pPr>
              <w:pStyle w:val="235"/>
              <w:shd w:val="clear"/>
              <w:jc w:val="center"/>
              <w:rPr>
                <w:rFonts w:ascii="Times New Roman" w:eastAsia="宋体"/>
                <w:color w:val="auto"/>
                <w:sz w:val="30"/>
                <w:highlight w:val="none"/>
                <w:lang w:eastAsia="zh-CN"/>
              </w:rPr>
            </w:pPr>
          </w:p>
        </w:tc>
      </w:tr>
      <w:tr w14:paraId="6452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686CD154">
            <w:pPr>
              <w:pStyle w:val="235"/>
              <w:shd w:val="clear"/>
              <w:jc w:val="center"/>
              <w:rPr>
                <w:rFonts w:ascii="Times New Roman" w:eastAsia="宋体"/>
                <w:color w:val="auto"/>
                <w:sz w:val="24"/>
                <w:highlight w:val="none"/>
                <w:lang w:eastAsia="zh-CN"/>
              </w:rPr>
            </w:pPr>
            <w:r>
              <w:rPr>
                <w:rFonts w:ascii="Times New Roman" w:eastAsia="宋体"/>
                <w:color w:val="auto"/>
                <w:sz w:val="24"/>
                <w:highlight w:val="none"/>
                <w:lang w:eastAsia="zh-CN"/>
              </w:rPr>
              <w:t>2</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1054B603">
            <w:pPr>
              <w:pStyle w:val="235"/>
              <w:shd w:val="clear"/>
              <w:jc w:val="center"/>
              <w:rPr>
                <w:rFonts w:ascii="Times New Roman" w:eastAsia="宋体"/>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2B67EC4">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中型企业</w:t>
            </w:r>
          </w:p>
          <w:p w14:paraId="40880CD9">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183CC0">
            <w:pPr>
              <w:pStyle w:val="235"/>
              <w:shd w:val="clear"/>
              <w:jc w:val="center"/>
              <w:rPr>
                <w:rFonts w:ascii="Times New Roman" w:eastAsia="宋体"/>
                <w:color w:val="auto"/>
                <w:sz w:val="30"/>
                <w:highlight w:val="none"/>
                <w:lang w:eastAsia="zh-CN"/>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01203603">
            <w:pPr>
              <w:pStyle w:val="235"/>
              <w:shd w:val="clear"/>
              <w:jc w:val="center"/>
              <w:rPr>
                <w:rFonts w:ascii="Times New Roman" w:eastAsia="宋体"/>
                <w:color w:val="auto"/>
                <w:sz w:val="30"/>
                <w:highlight w:val="none"/>
                <w:lang w:eastAsia="zh-CN"/>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32B511B">
            <w:pPr>
              <w:pStyle w:val="235"/>
              <w:shd w:val="clear"/>
              <w:jc w:val="center"/>
              <w:rPr>
                <w:rFonts w:ascii="Times New Roman" w:eastAsia="宋体"/>
                <w:color w:val="auto"/>
                <w:sz w:val="30"/>
                <w:highlight w:val="none"/>
                <w:lang w:eastAsia="zh-CN"/>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9CE3AF1">
            <w:pPr>
              <w:pStyle w:val="235"/>
              <w:shd w:val="clear"/>
              <w:jc w:val="center"/>
              <w:rPr>
                <w:rFonts w:ascii="Times New Roman" w:eastAsia="宋体"/>
                <w:color w:val="auto"/>
                <w:sz w:val="30"/>
                <w:highlight w:val="none"/>
                <w:lang w:eastAsia="zh-CN"/>
              </w:rPr>
            </w:pPr>
          </w:p>
        </w:tc>
      </w:tr>
      <w:tr w14:paraId="4ED4F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6D2C1B43">
            <w:pPr>
              <w:pStyle w:val="235"/>
              <w:shd w:val="clear"/>
              <w:jc w:val="center"/>
              <w:rPr>
                <w:rFonts w:ascii="Times New Roman" w:eastAsia="宋体"/>
                <w:color w:val="auto"/>
                <w:sz w:val="24"/>
                <w:highlight w:val="none"/>
                <w:lang w:eastAsia="zh-CN"/>
              </w:rPr>
            </w:pPr>
            <w:r>
              <w:rPr>
                <w:rFonts w:hint="eastAsia" w:ascii="Times New Roman" w:eastAsia="宋体"/>
                <w:color w:val="auto"/>
                <w:sz w:val="24"/>
                <w:highlight w:val="none"/>
                <w:lang w:eastAsia="zh-CN"/>
              </w:rPr>
              <w:t>…</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57413C3">
            <w:pPr>
              <w:pStyle w:val="235"/>
              <w:shd w:val="clear"/>
              <w:jc w:val="center"/>
              <w:rPr>
                <w:rFonts w:ascii="Times New Roman" w:eastAsia="宋体"/>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6B5B045">
            <w:pPr>
              <w:pStyle w:val="235"/>
              <w:shd w:val="clear"/>
              <w:tabs>
                <w:tab w:val="left" w:pos="235"/>
              </w:tabs>
              <w:jc w:val="center"/>
              <w:rPr>
                <w:rFonts w:eastAsia="宋体"/>
                <w:color w:val="auto"/>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80B9F87">
            <w:pPr>
              <w:pStyle w:val="235"/>
              <w:shd w:val="clear"/>
              <w:jc w:val="center"/>
              <w:rPr>
                <w:rFonts w:ascii="Times New Roman" w:eastAsia="宋体"/>
                <w:color w:val="auto"/>
                <w:sz w:val="30"/>
                <w:highlight w:val="none"/>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384935C2">
            <w:pPr>
              <w:pStyle w:val="235"/>
              <w:shd w:val="clear"/>
              <w:jc w:val="center"/>
              <w:rPr>
                <w:rFonts w:ascii="Times New Roman" w:eastAsia="宋体"/>
                <w:color w:val="auto"/>
                <w:sz w:val="30"/>
                <w:highlight w:val="none"/>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2895B74">
            <w:pPr>
              <w:pStyle w:val="235"/>
              <w:shd w:val="clear"/>
              <w:jc w:val="center"/>
              <w:rPr>
                <w:rFonts w:ascii="Times New Roman" w:eastAsia="宋体"/>
                <w:color w:val="auto"/>
                <w:sz w:val="3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5C20E16">
            <w:pPr>
              <w:pStyle w:val="235"/>
              <w:shd w:val="clear"/>
              <w:jc w:val="center"/>
              <w:rPr>
                <w:rFonts w:ascii="Times New Roman" w:eastAsia="宋体"/>
                <w:color w:val="auto"/>
                <w:sz w:val="30"/>
                <w:highlight w:val="none"/>
              </w:rPr>
            </w:pPr>
          </w:p>
        </w:tc>
      </w:tr>
      <w:tr w14:paraId="3CCD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5779" w:type="dxa"/>
            <w:gridSpan w:val="5"/>
            <w:tcBorders>
              <w:top w:val="single" w:color="000000" w:sz="4" w:space="0"/>
              <w:left w:val="single" w:color="000000" w:sz="4" w:space="0"/>
              <w:bottom w:val="single" w:color="000000" w:sz="4" w:space="0"/>
              <w:right w:val="single" w:color="000000" w:sz="4" w:space="0"/>
            </w:tcBorders>
            <w:noWrap w:val="0"/>
            <w:vAlign w:val="center"/>
          </w:tcPr>
          <w:p w14:paraId="07E526B4">
            <w:pPr>
              <w:pStyle w:val="235"/>
              <w:shd w:val="clear"/>
              <w:ind w:right="57" w:rightChars="27"/>
              <w:jc w:val="right"/>
              <w:rPr>
                <w:rFonts w:eastAsia="宋体"/>
                <w:color w:val="auto"/>
                <w:sz w:val="24"/>
                <w:highlight w:val="none"/>
                <w:lang w:eastAsia="zh-CN"/>
              </w:rPr>
            </w:pPr>
            <w:r>
              <w:rPr>
                <w:rFonts w:hint="eastAsia" w:eastAsia="宋体"/>
                <w:color w:val="auto"/>
                <w:sz w:val="24"/>
                <w:highlight w:val="none"/>
                <w:lang w:eastAsia="zh-CN"/>
              </w:rPr>
              <w:t>合计：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2FA3906">
            <w:pPr>
              <w:pStyle w:val="235"/>
              <w:shd w:val="clear"/>
              <w:jc w:val="center"/>
              <w:rPr>
                <w:rFonts w:ascii="Times New Roman" w:eastAsia="宋体"/>
                <w:color w:val="auto"/>
                <w:sz w:val="3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2B181A6">
            <w:pPr>
              <w:pStyle w:val="235"/>
              <w:shd w:val="clear"/>
              <w:jc w:val="center"/>
              <w:rPr>
                <w:rFonts w:ascii="Times New Roman" w:eastAsia="宋体"/>
                <w:color w:val="auto"/>
                <w:sz w:val="30"/>
                <w:highlight w:val="none"/>
              </w:rPr>
            </w:pPr>
          </w:p>
        </w:tc>
      </w:tr>
    </w:tbl>
    <w:p w14:paraId="249F187E">
      <w:pPr>
        <w:shd w:val="clear"/>
        <w:adjustRightInd w:val="0"/>
        <w:snapToGrid w:val="0"/>
        <w:spacing w:line="360" w:lineRule="auto"/>
        <w:jc w:val="left"/>
        <w:rPr>
          <w:rFonts w:eastAsia="宋体"/>
          <w:color w:val="auto"/>
          <w:sz w:val="24"/>
          <w:highlight w:val="none"/>
        </w:rPr>
      </w:pPr>
    </w:p>
    <w:p w14:paraId="551BB353">
      <w:pPr>
        <w:shd w:val="clear"/>
        <w:autoSpaceDE w:val="0"/>
        <w:autoSpaceDN w:val="0"/>
        <w:adjustRightInd w:val="0"/>
        <w:snapToGrid w:val="0"/>
        <w:spacing w:before="25" w:after="25" w:line="360" w:lineRule="auto"/>
        <w:jc w:val="righ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4575D29A">
      <w:pPr>
        <w:shd w:val="clear"/>
        <w:spacing w:line="360" w:lineRule="auto"/>
        <w:ind w:right="-57" w:firstLine="480"/>
        <w:jc w:val="right"/>
        <w:rPr>
          <w:rFonts w:eastAsia="宋体"/>
          <w:color w:val="auto"/>
          <w:sz w:val="24"/>
          <w:highlight w:val="none"/>
        </w:rPr>
      </w:pPr>
      <w:r>
        <w:rPr>
          <w:rFonts w:eastAsia="宋体"/>
          <w:color w:val="auto"/>
          <w:sz w:val="24"/>
          <w:szCs w:val="20"/>
          <w:highlight w:val="none"/>
        </w:rPr>
        <w:t>日期：</w:t>
      </w:r>
      <w:r>
        <w:rPr>
          <w:rFonts w:eastAsia="宋体"/>
          <w:color w:val="auto"/>
          <w:sz w:val="24"/>
          <w:highlight w:val="none"/>
        </w:rPr>
        <w:t>___</w:t>
      </w:r>
      <w:r>
        <w:rPr>
          <w:rFonts w:eastAsia="宋体"/>
          <w:color w:val="auto"/>
          <w:sz w:val="24"/>
          <w:szCs w:val="20"/>
          <w:highlight w:val="none"/>
        </w:rPr>
        <w:t>年</w:t>
      </w:r>
      <w:r>
        <w:rPr>
          <w:rFonts w:eastAsia="宋体"/>
          <w:color w:val="auto"/>
          <w:sz w:val="24"/>
          <w:highlight w:val="none"/>
        </w:rPr>
        <w:t>___</w:t>
      </w:r>
      <w:r>
        <w:rPr>
          <w:rFonts w:eastAsia="宋体"/>
          <w:color w:val="auto"/>
          <w:sz w:val="24"/>
          <w:szCs w:val="20"/>
          <w:highlight w:val="none"/>
        </w:rPr>
        <w:t>月</w:t>
      </w:r>
      <w:r>
        <w:rPr>
          <w:rFonts w:eastAsia="宋体"/>
          <w:color w:val="auto"/>
          <w:sz w:val="24"/>
          <w:highlight w:val="none"/>
        </w:rPr>
        <w:t>___</w:t>
      </w:r>
      <w:r>
        <w:rPr>
          <w:rFonts w:eastAsia="宋体"/>
          <w:color w:val="auto"/>
          <w:sz w:val="24"/>
          <w:szCs w:val="20"/>
          <w:highlight w:val="none"/>
        </w:rPr>
        <w:t>日</w:t>
      </w:r>
    </w:p>
    <w:p w14:paraId="08948AD4">
      <w:pPr>
        <w:shd w:val="clear"/>
        <w:adjustRightInd w:val="0"/>
        <w:snapToGrid w:val="0"/>
        <w:spacing w:line="360" w:lineRule="auto"/>
        <w:jc w:val="left"/>
        <w:rPr>
          <w:rFonts w:eastAsia="宋体"/>
          <w:color w:val="auto"/>
          <w:sz w:val="24"/>
          <w:highlight w:val="none"/>
        </w:rPr>
      </w:pPr>
    </w:p>
    <w:p w14:paraId="2F505519">
      <w:pPr>
        <w:shd w:val="clear"/>
        <w:adjustRightInd w:val="0"/>
        <w:snapToGrid w:val="0"/>
        <w:spacing w:line="360" w:lineRule="auto"/>
        <w:jc w:val="left"/>
        <w:rPr>
          <w:rFonts w:eastAsia="宋体"/>
          <w:color w:val="auto"/>
          <w:sz w:val="24"/>
          <w:highlight w:val="none"/>
        </w:rPr>
      </w:pPr>
      <w:r>
        <w:rPr>
          <w:rFonts w:eastAsia="宋体"/>
          <w:color w:val="auto"/>
          <w:sz w:val="24"/>
          <w:highlight w:val="none"/>
        </w:rPr>
        <w:t>说明：</w:t>
      </w:r>
    </w:p>
    <w:p w14:paraId="1076A5DB">
      <w:pPr>
        <w:shd w:val="clear"/>
        <w:adjustRightInd w:val="0"/>
        <w:snapToGrid w:val="0"/>
        <w:spacing w:line="360" w:lineRule="auto"/>
        <w:jc w:val="left"/>
        <w:rPr>
          <w:rFonts w:eastAsia="宋体"/>
          <w:color w:val="auto"/>
          <w:sz w:val="24"/>
          <w:highlight w:val="none"/>
        </w:rPr>
      </w:pPr>
      <w:r>
        <w:rPr>
          <w:rFonts w:eastAsia="宋体"/>
          <w:color w:val="auto"/>
          <w:sz w:val="24"/>
          <w:highlight w:val="none"/>
        </w:rPr>
        <w:t>（1）本表仅在供应商“为落实政府采购政策”而向中小企业分包时填写，非因“为落实政府采购政策”而进行的分包请按照《</w:t>
      </w:r>
      <w:r>
        <w:rPr>
          <w:rFonts w:eastAsia="宋体"/>
          <w:color w:val="auto"/>
          <w:sz w:val="24"/>
          <w:szCs w:val="20"/>
          <w:highlight w:val="none"/>
        </w:rPr>
        <w:t>拟分包情况说明（类型二）</w:t>
      </w:r>
      <w:r>
        <w:rPr>
          <w:rFonts w:eastAsia="宋体"/>
          <w:color w:val="auto"/>
          <w:sz w:val="24"/>
          <w:highlight w:val="none"/>
        </w:rPr>
        <w:t>》要求填写。</w:t>
      </w:r>
    </w:p>
    <w:p w14:paraId="3A5DF39F">
      <w:pPr>
        <w:shd w:val="clear"/>
        <w:adjustRightInd w:val="0"/>
        <w:snapToGrid w:val="0"/>
        <w:spacing w:line="360" w:lineRule="auto"/>
        <w:jc w:val="left"/>
        <w:rPr>
          <w:rFonts w:eastAsia="宋体"/>
          <w:color w:val="auto"/>
          <w:sz w:val="24"/>
          <w:highlight w:val="none"/>
        </w:rPr>
      </w:pPr>
      <w:r>
        <w:rPr>
          <w:rFonts w:eastAsia="宋体"/>
          <w:color w:val="auto"/>
          <w:sz w:val="24"/>
          <w:highlight w:val="none"/>
        </w:rPr>
        <w:t>（2）如本竞争性磋商文件《供应商须知资料表》载明本项目分包承担主体应具备的相应资质条件，则供应商须在本表中列明分包承担主体的资质等级，并后附资质证书电子件，否则</w:t>
      </w:r>
      <w:r>
        <w:rPr>
          <w:rFonts w:eastAsia="宋体"/>
          <w:b/>
          <w:color w:val="auto"/>
          <w:sz w:val="24"/>
          <w:highlight w:val="none"/>
        </w:rPr>
        <w:t>响应无效</w:t>
      </w:r>
      <w:r>
        <w:rPr>
          <w:rFonts w:eastAsia="宋体"/>
          <w:color w:val="auto"/>
          <w:sz w:val="24"/>
          <w:highlight w:val="none"/>
        </w:rPr>
        <w:t>。</w:t>
      </w:r>
    </w:p>
    <w:p w14:paraId="412E8664">
      <w:pPr>
        <w:shd w:val="clear"/>
        <w:adjustRightInd w:val="0"/>
        <w:snapToGrid w:val="0"/>
        <w:spacing w:line="360" w:lineRule="auto"/>
        <w:jc w:val="left"/>
        <w:rPr>
          <w:rFonts w:eastAsia="宋体"/>
          <w:color w:val="auto"/>
          <w:sz w:val="30"/>
          <w:szCs w:val="30"/>
          <w:highlight w:val="none"/>
        </w:rPr>
      </w:pPr>
      <w:r>
        <w:rPr>
          <w:rFonts w:eastAsia="宋体"/>
          <w:color w:val="auto"/>
          <w:sz w:val="24"/>
          <w:highlight w:val="none"/>
        </w:rPr>
        <w:t>（3）供应商与上述拟分包承担主体签署的《分包意向协议》后附。</w:t>
      </w:r>
    </w:p>
    <w:p w14:paraId="496701F7">
      <w:pPr>
        <w:shd w:val="clear"/>
        <w:autoSpaceDE w:val="0"/>
        <w:autoSpaceDN w:val="0"/>
        <w:adjustRightInd w:val="0"/>
        <w:spacing w:line="360" w:lineRule="auto"/>
        <w:jc w:val="center"/>
        <w:rPr>
          <w:rFonts w:eastAsia="宋体"/>
          <w:b/>
          <w:color w:val="auto"/>
          <w:sz w:val="36"/>
          <w:szCs w:val="36"/>
          <w:highlight w:val="none"/>
        </w:rPr>
      </w:pPr>
      <w:r>
        <w:rPr>
          <w:rFonts w:eastAsia="宋体"/>
          <w:color w:val="auto"/>
          <w:sz w:val="30"/>
          <w:szCs w:val="30"/>
          <w:highlight w:val="none"/>
        </w:rPr>
        <w:br w:type="page"/>
      </w:r>
      <w:r>
        <w:rPr>
          <w:rFonts w:hint="eastAsia" w:eastAsia="宋体"/>
          <w:b/>
          <w:color w:val="auto"/>
          <w:sz w:val="36"/>
          <w:szCs w:val="36"/>
          <w:highlight w:val="none"/>
        </w:rPr>
        <w:t>附：分包意向协议（实质性格式）（</w:t>
      </w:r>
      <w:r>
        <w:rPr>
          <w:rFonts w:hint="eastAsia"/>
          <w:b/>
          <w:color w:val="auto"/>
          <w:sz w:val="36"/>
          <w:szCs w:val="36"/>
          <w:highlight w:val="none"/>
          <w:lang w:val="en-US" w:eastAsia="zh-CN"/>
        </w:rPr>
        <w:t>如有</w:t>
      </w:r>
      <w:r>
        <w:rPr>
          <w:rFonts w:hint="eastAsia" w:eastAsia="宋体"/>
          <w:b/>
          <w:color w:val="auto"/>
          <w:sz w:val="36"/>
          <w:szCs w:val="36"/>
          <w:highlight w:val="none"/>
        </w:rPr>
        <w:t>）</w:t>
      </w:r>
    </w:p>
    <w:p w14:paraId="62E1285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甲方（供应商）：______</w:t>
      </w:r>
    </w:p>
    <w:p w14:paraId="65D37769">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乙方（拟分包单位）：______</w:t>
      </w:r>
    </w:p>
    <w:p w14:paraId="3D351831">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甲方承诺，一旦在______（采购项目名称）（项目编号/包号为：______）采购项目中获得采购合同，将按照下述约定将合同项下部分内容分包给乙方：</w:t>
      </w:r>
    </w:p>
    <w:p w14:paraId="2C946CF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1.分包内容：______。</w:t>
      </w:r>
    </w:p>
    <w:p w14:paraId="36D76C8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2.分包金额：______，该金额占该采购包预算总金额的比例为______%。</w:t>
      </w:r>
    </w:p>
    <w:p w14:paraId="438E3DC6">
      <w:pPr>
        <w:shd w:val="clear"/>
        <w:adjustRightInd w:val="0"/>
        <w:snapToGrid w:val="0"/>
        <w:spacing w:line="360" w:lineRule="auto"/>
        <w:ind w:firstLine="480" w:firstLineChars="200"/>
        <w:jc w:val="left"/>
        <w:rPr>
          <w:rFonts w:eastAsia="宋体"/>
          <w:bCs/>
          <w:color w:val="auto"/>
          <w:sz w:val="24"/>
          <w:highlight w:val="none"/>
        </w:rPr>
      </w:pPr>
      <w:r>
        <w:rPr>
          <w:rFonts w:eastAsia="宋体"/>
          <w:color w:val="auto"/>
          <w:sz w:val="24"/>
          <w:highlight w:val="none"/>
        </w:rPr>
        <w:t>乙方承诺将在上述情况下与甲方签订分包合同。</w:t>
      </w:r>
    </w:p>
    <w:p w14:paraId="0C4F0A27">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本协议自各方盖章之日起生效，如甲方未在该项目（采购包）成交，本协议自动终止。</w:t>
      </w:r>
    </w:p>
    <w:p w14:paraId="075F41E8">
      <w:pPr>
        <w:shd w:val="clear"/>
        <w:spacing w:line="360" w:lineRule="auto"/>
        <w:ind w:firstLine="471"/>
        <w:rPr>
          <w:rFonts w:eastAsia="宋体"/>
          <w:b/>
          <w:color w:val="auto"/>
          <w:sz w:val="24"/>
          <w:highlight w:val="none"/>
        </w:rPr>
      </w:pPr>
    </w:p>
    <w:p w14:paraId="2C30937F">
      <w:pPr>
        <w:shd w:val="clear"/>
        <w:spacing w:line="360" w:lineRule="auto"/>
        <w:ind w:firstLine="471"/>
        <w:rPr>
          <w:rFonts w:eastAsia="宋体"/>
          <w:b/>
          <w:color w:val="auto"/>
          <w:sz w:val="24"/>
          <w:highlight w:val="none"/>
        </w:rPr>
      </w:pPr>
      <w:r>
        <w:rPr>
          <w:rFonts w:eastAsia="宋体"/>
          <w:color w:val="auto"/>
          <w:sz w:val="24"/>
          <w:highlight w:val="none"/>
        </w:rPr>
        <w:t>甲方（盖章）：______                     乙方（盖章）：______</w:t>
      </w:r>
    </w:p>
    <w:p w14:paraId="0271CAA5">
      <w:pPr>
        <w:shd w:val="clear"/>
        <w:spacing w:line="360" w:lineRule="auto"/>
        <w:ind w:left="480"/>
        <w:jc w:val="right"/>
        <w:rPr>
          <w:rFonts w:eastAsia="宋体"/>
          <w:color w:val="auto"/>
          <w:sz w:val="24"/>
          <w:highlight w:val="none"/>
        </w:rPr>
      </w:pPr>
    </w:p>
    <w:p w14:paraId="1C806174">
      <w:pPr>
        <w:shd w:val="clear"/>
        <w:wordWrap w:val="0"/>
        <w:spacing w:line="360" w:lineRule="auto"/>
        <w:ind w:left="480"/>
        <w:jc w:val="right"/>
        <w:rPr>
          <w:rFonts w:eastAsia="宋体"/>
          <w:b/>
          <w:color w:val="auto"/>
          <w:sz w:val="24"/>
          <w:highlight w:val="none"/>
        </w:rPr>
      </w:pPr>
      <w:r>
        <w:rPr>
          <w:rFonts w:eastAsia="宋体"/>
          <w:color w:val="auto"/>
          <w:sz w:val="24"/>
          <w:szCs w:val="20"/>
          <w:highlight w:val="none"/>
        </w:rPr>
        <w:t>日期：</w:t>
      </w:r>
      <w:r>
        <w:rPr>
          <w:rFonts w:eastAsia="宋体"/>
          <w:color w:val="auto"/>
          <w:sz w:val="24"/>
          <w:highlight w:val="none"/>
        </w:rPr>
        <w:t>______</w:t>
      </w:r>
      <w:r>
        <w:rPr>
          <w:rFonts w:eastAsia="宋体"/>
          <w:color w:val="auto"/>
          <w:sz w:val="24"/>
          <w:szCs w:val="20"/>
          <w:highlight w:val="none"/>
        </w:rPr>
        <w:t>年</w:t>
      </w:r>
      <w:r>
        <w:rPr>
          <w:rFonts w:eastAsia="宋体"/>
          <w:color w:val="auto"/>
          <w:sz w:val="24"/>
          <w:highlight w:val="none"/>
        </w:rPr>
        <w:t>______</w:t>
      </w:r>
      <w:r>
        <w:rPr>
          <w:rFonts w:eastAsia="宋体"/>
          <w:color w:val="auto"/>
          <w:sz w:val="24"/>
          <w:szCs w:val="20"/>
          <w:highlight w:val="none"/>
        </w:rPr>
        <w:t>月</w:t>
      </w:r>
      <w:r>
        <w:rPr>
          <w:rFonts w:eastAsia="宋体"/>
          <w:color w:val="auto"/>
          <w:sz w:val="24"/>
          <w:highlight w:val="none"/>
        </w:rPr>
        <w:t>______</w:t>
      </w:r>
      <w:r>
        <w:rPr>
          <w:rFonts w:eastAsia="宋体"/>
          <w:color w:val="auto"/>
          <w:sz w:val="24"/>
          <w:szCs w:val="20"/>
          <w:highlight w:val="none"/>
        </w:rPr>
        <w:t xml:space="preserve">日   </w:t>
      </w:r>
    </w:p>
    <w:p w14:paraId="43521237">
      <w:pPr>
        <w:shd w:val="clear"/>
        <w:tabs>
          <w:tab w:val="left" w:pos="8280"/>
        </w:tabs>
        <w:spacing w:line="360" w:lineRule="auto"/>
        <w:ind w:firstLine="480"/>
        <w:rPr>
          <w:rFonts w:eastAsia="宋体"/>
          <w:color w:val="auto"/>
          <w:sz w:val="24"/>
          <w:highlight w:val="none"/>
        </w:rPr>
      </w:pPr>
    </w:p>
    <w:p w14:paraId="0B44C335">
      <w:pPr>
        <w:shd w:val="clear"/>
        <w:tabs>
          <w:tab w:val="left" w:pos="8280"/>
        </w:tabs>
        <w:spacing w:line="360" w:lineRule="auto"/>
        <w:rPr>
          <w:rFonts w:eastAsia="宋体"/>
          <w:color w:val="auto"/>
          <w:sz w:val="24"/>
          <w:highlight w:val="none"/>
        </w:rPr>
        <w:sectPr>
          <w:headerReference r:id="rId23" w:type="first"/>
          <w:footerReference r:id="rId26" w:type="first"/>
          <w:footerReference r:id="rId24" w:type="default"/>
          <w:headerReference r:id="rId22" w:type="even"/>
          <w:footerReference r:id="rId25" w:type="even"/>
          <w:pgSz w:w="11907" w:h="16840"/>
          <w:pgMar w:top="1440" w:right="1800" w:bottom="1440" w:left="1800" w:header="851" w:footer="851" w:gutter="0"/>
          <w:pgNumType w:fmt="decimal"/>
          <w:cols w:space="720" w:num="1"/>
          <w:docGrid w:linePitch="462" w:charSpace="0"/>
        </w:sectPr>
      </w:pPr>
      <w:r>
        <w:rPr>
          <w:rFonts w:eastAsia="宋体"/>
          <w:color w:val="auto"/>
          <w:sz w:val="24"/>
          <w:highlight w:val="none"/>
        </w:rPr>
        <w:t>说明：供应商须与所有拟分包单位分别签订《分包意向协议》，每单位签订一份，并在响应文件中提交全部协议原件的电子件，否则</w:t>
      </w:r>
      <w:r>
        <w:rPr>
          <w:rFonts w:eastAsia="宋体"/>
          <w:b/>
          <w:color w:val="auto"/>
          <w:sz w:val="24"/>
          <w:highlight w:val="none"/>
        </w:rPr>
        <w:t>响应无效</w:t>
      </w:r>
      <w:r>
        <w:rPr>
          <w:rFonts w:eastAsia="宋体"/>
          <w:color w:val="auto"/>
          <w:sz w:val="24"/>
          <w:highlight w:val="none"/>
        </w:rPr>
        <w:t>。</w:t>
      </w:r>
    </w:p>
    <w:p w14:paraId="70F63C9B">
      <w:pPr>
        <w:shd w:val="clear"/>
        <w:spacing w:line="360" w:lineRule="auto"/>
        <w:outlineLvl w:val="2"/>
        <w:rPr>
          <w:rFonts w:eastAsia="宋体"/>
          <w:color w:val="auto"/>
          <w:sz w:val="24"/>
          <w:szCs w:val="20"/>
          <w:highlight w:val="none"/>
        </w:rPr>
      </w:pPr>
      <w:r>
        <w:rPr>
          <w:rFonts w:eastAsia="宋体"/>
          <w:color w:val="auto"/>
          <w:sz w:val="24"/>
          <w:szCs w:val="20"/>
          <w:highlight w:val="none"/>
        </w:rPr>
        <w:t xml:space="preserve">2-2 </w:t>
      </w:r>
      <w:r>
        <w:rPr>
          <w:rFonts w:eastAsia="宋体"/>
          <w:color w:val="auto"/>
          <w:sz w:val="24"/>
          <w:highlight w:val="none"/>
        </w:rPr>
        <w:t>其它落实政府采购政策的资格要求</w:t>
      </w:r>
      <w:r>
        <w:rPr>
          <w:rFonts w:eastAsia="宋体"/>
          <w:color w:val="auto"/>
          <w:sz w:val="24"/>
          <w:szCs w:val="20"/>
          <w:highlight w:val="none"/>
        </w:rPr>
        <w:t>（如有）</w:t>
      </w:r>
    </w:p>
    <w:p w14:paraId="5D5A00E2">
      <w:pPr>
        <w:widowControl/>
        <w:shd w:val="clear"/>
        <w:jc w:val="left"/>
        <w:rPr>
          <w:rFonts w:eastAsia="宋体"/>
          <w:color w:val="auto"/>
          <w:sz w:val="24"/>
          <w:highlight w:val="none"/>
        </w:rPr>
      </w:pPr>
    </w:p>
    <w:p w14:paraId="39F01423">
      <w:pPr>
        <w:widowControl/>
        <w:shd w:val="clear"/>
        <w:jc w:val="left"/>
        <w:rPr>
          <w:rFonts w:eastAsia="宋体"/>
          <w:color w:val="auto"/>
          <w:sz w:val="24"/>
          <w:highlight w:val="none"/>
        </w:rPr>
      </w:pPr>
      <w:r>
        <w:rPr>
          <w:rFonts w:eastAsia="宋体"/>
          <w:color w:val="auto"/>
          <w:sz w:val="24"/>
          <w:highlight w:val="none"/>
        </w:rPr>
        <w:br w:type="page"/>
      </w:r>
    </w:p>
    <w:p w14:paraId="6AE8A87F">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3 本项目的特定资格要求（如有）</w:t>
      </w:r>
    </w:p>
    <w:p w14:paraId="477CA098">
      <w:pPr>
        <w:shd w:val="clear"/>
        <w:spacing w:line="360" w:lineRule="auto"/>
        <w:outlineLvl w:val="2"/>
        <w:rPr>
          <w:rFonts w:eastAsia="宋体"/>
          <w:color w:val="auto"/>
          <w:sz w:val="24"/>
          <w:szCs w:val="20"/>
          <w:highlight w:val="none"/>
        </w:rPr>
      </w:pPr>
      <w:r>
        <w:rPr>
          <w:rFonts w:eastAsia="宋体"/>
          <w:color w:val="auto"/>
          <w:sz w:val="24"/>
          <w:szCs w:val="20"/>
          <w:highlight w:val="none"/>
        </w:rPr>
        <w:t>3-1联合协议（如有）（实质性格式）</w:t>
      </w:r>
    </w:p>
    <w:p w14:paraId="11134DFC">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联合协议</w:t>
      </w:r>
    </w:p>
    <w:p w14:paraId="278FD68D">
      <w:pPr>
        <w:shd w:val="clear"/>
        <w:spacing w:line="360" w:lineRule="auto"/>
        <w:ind w:firstLine="828" w:firstLineChars="345"/>
        <w:rPr>
          <w:rFonts w:eastAsia="宋体"/>
          <w:bCs/>
          <w:color w:val="auto"/>
          <w:highlight w:val="none"/>
        </w:rPr>
      </w:pPr>
      <w:r>
        <w:rPr>
          <w:rFonts w:eastAsia="宋体"/>
          <w:color w:val="auto"/>
          <w:sz w:val="24"/>
          <w:highlight w:val="none"/>
        </w:rPr>
        <w:t>______</w:t>
      </w:r>
      <w:r>
        <w:rPr>
          <w:rFonts w:eastAsia="宋体"/>
          <w:bCs/>
          <w:color w:val="auto"/>
          <w:sz w:val="24"/>
          <w:highlight w:val="none"/>
        </w:rPr>
        <w:t xml:space="preserve"> 、</w:t>
      </w:r>
      <w:r>
        <w:rPr>
          <w:rFonts w:eastAsia="宋体"/>
          <w:color w:val="auto"/>
          <w:sz w:val="24"/>
          <w:highlight w:val="none"/>
        </w:rPr>
        <w:t>______</w:t>
      </w:r>
      <w:r>
        <w:rPr>
          <w:rFonts w:eastAsia="宋体"/>
          <w:bCs/>
          <w:color w:val="auto"/>
          <w:sz w:val="24"/>
          <w:highlight w:val="none"/>
        </w:rPr>
        <w:t>及</w:t>
      </w:r>
      <w:r>
        <w:rPr>
          <w:rFonts w:eastAsia="宋体"/>
          <w:color w:val="auto"/>
          <w:sz w:val="24"/>
          <w:highlight w:val="none"/>
        </w:rPr>
        <w:t>______</w:t>
      </w:r>
      <w:r>
        <w:rPr>
          <w:rFonts w:eastAsia="宋体"/>
          <w:bCs/>
          <w:color w:val="auto"/>
          <w:sz w:val="24"/>
          <w:highlight w:val="none"/>
        </w:rPr>
        <w:t>就“</w:t>
      </w:r>
      <w:r>
        <w:rPr>
          <w:rFonts w:eastAsia="宋体"/>
          <w:color w:val="auto"/>
          <w:sz w:val="24"/>
          <w:highlight w:val="none"/>
        </w:rPr>
        <w:t>______</w:t>
      </w:r>
      <w:r>
        <w:rPr>
          <w:rFonts w:eastAsia="宋体"/>
          <w:bCs/>
          <w:color w:val="auto"/>
          <w:sz w:val="24"/>
          <w:highlight w:val="none"/>
        </w:rPr>
        <w:t>（项目名称）</w:t>
      </w:r>
      <w:r>
        <w:rPr>
          <w:rFonts w:eastAsia="宋体"/>
          <w:color w:val="auto"/>
          <w:sz w:val="24"/>
          <w:highlight w:val="none"/>
        </w:rPr>
        <w:t>” ______包</w:t>
      </w:r>
      <w:r>
        <w:rPr>
          <w:rFonts w:eastAsia="宋体"/>
          <w:bCs/>
          <w:color w:val="auto"/>
          <w:sz w:val="24"/>
          <w:highlight w:val="none"/>
        </w:rPr>
        <w:t>采购项目的磋商事宜，经各方充分协商一致，达成如下协议：</w:t>
      </w:r>
    </w:p>
    <w:p w14:paraId="20E42696">
      <w:pPr>
        <w:numPr>
          <w:ilvl w:val="0"/>
          <w:numId w:val="17"/>
        </w:numPr>
        <w:shd w:val="clear"/>
        <w:spacing w:line="360" w:lineRule="auto"/>
        <w:rPr>
          <w:rFonts w:eastAsia="宋体"/>
          <w:bCs/>
          <w:color w:val="auto"/>
          <w:sz w:val="24"/>
          <w:highlight w:val="none"/>
        </w:rPr>
      </w:pPr>
      <w:r>
        <w:rPr>
          <w:rFonts w:eastAsia="宋体"/>
          <w:bCs/>
          <w:color w:val="auto"/>
          <w:sz w:val="24"/>
          <w:highlight w:val="none"/>
        </w:rPr>
        <w:t>由</w:t>
      </w:r>
      <w:r>
        <w:rPr>
          <w:rFonts w:eastAsia="宋体"/>
          <w:color w:val="auto"/>
          <w:sz w:val="24"/>
          <w:highlight w:val="none"/>
        </w:rPr>
        <w:t>____</w:t>
      </w:r>
      <w:r>
        <w:rPr>
          <w:bCs/>
          <w:color w:val="auto"/>
          <w:sz w:val="24"/>
          <w:highlight w:val="none"/>
        </w:rPr>
        <w:t>__</w:t>
      </w:r>
      <w:r>
        <w:rPr>
          <w:rFonts w:eastAsia="宋体"/>
          <w:color w:val="auto"/>
          <w:sz w:val="24"/>
          <w:highlight w:val="none"/>
        </w:rPr>
        <w:t>__</w:t>
      </w:r>
      <w:r>
        <w:rPr>
          <w:rFonts w:eastAsia="宋体"/>
          <w:bCs/>
          <w:color w:val="auto"/>
          <w:sz w:val="24"/>
          <w:highlight w:val="none"/>
        </w:rPr>
        <w:t>牵头，</w:t>
      </w:r>
      <w:r>
        <w:rPr>
          <w:rFonts w:eastAsia="宋体"/>
          <w:color w:val="auto"/>
          <w:sz w:val="24"/>
          <w:highlight w:val="none"/>
        </w:rPr>
        <w:t>___</w:t>
      </w:r>
      <w:r>
        <w:rPr>
          <w:bCs/>
          <w:color w:val="auto"/>
          <w:sz w:val="24"/>
          <w:highlight w:val="none"/>
        </w:rPr>
        <w:t>__</w:t>
      </w:r>
      <w:r>
        <w:rPr>
          <w:rFonts w:eastAsia="宋体"/>
          <w:color w:val="auto"/>
          <w:sz w:val="24"/>
          <w:highlight w:val="none"/>
        </w:rPr>
        <w:t>___</w:t>
      </w:r>
      <w:r>
        <w:rPr>
          <w:rFonts w:eastAsia="宋体"/>
          <w:bCs/>
          <w:color w:val="auto"/>
          <w:sz w:val="24"/>
          <w:highlight w:val="none"/>
        </w:rPr>
        <w:t>、</w:t>
      </w:r>
      <w:r>
        <w:rPr>
          <w:rFonts w:eastAsia="宋体"/>
          <w:color w:val="auto"/>
          <w:sz w:val="24"/>
          <w:highlight w:val="none"/>
        </w:rPr>
        <w:t>___</w:t>
      </w:r>
      <w:r>
        <w:rPr>
          <w:bCs/>
          <w:color w:val="auto"/>
          <w:sz w:val="24"/>
          <w:highlight w:val="none"/>
        </w:rPr>
        <w:t>__</w:t>
      </w:r>
      <w:r>
        <w:rPr>
          <w:rFonts w:eastAsia="宋体"/>
          <w:color w:val="auto"/>
          <w:sz w:val="24"/>
          <w:highlight w:val="none"/>
        </w:rPr>
        <w:t>___</w:t>
      </w:r>
      <w:r>
        <w:rPr>
          <w:rFonts w:eastAsia="宋体"/>
          <w:bCs/>
          <w:color w:val="auto"/>
          <w:sz w:val="24"/>
          <w:highlight w:val="none"/>
        </w:rPr>
        <w:t>参加，组成联合体共同进行采购项目的磋商工作。</w:t>
      </w:r>
    </w:p>
    <w:p w14:paraId="34AB09E6">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为本次磋商的牵头人，联合体以牵头人的名义参加磋商，联合体成交后，联合体各方共同与采购人签订合同，就</w:t>
      </w:r>
      <w:r>
        <w:rPr>
          <w:rFonts w:eastAsia="宋体"/>
          <w:color w:val="auto"/>
          <w:sz w:val="24"/>
          <w:szCs w:val="20"/>
          <w:highlight w:val="none"/>
        </w:rPr>
        <w:t>采购合同约定的事项</w:t>
      </w:r>
      <w:r>
        <w:rPr>
          <w:rFonts w:eastAsia="宋体"/>
          <w:bCs/>
          <w:color w:val="auto"/>
          <w:sz w:val="24"/>
          <w:highlight w:val="none"/>
        </w:rPr>
        <w:t>对采购人承担连带责任。</w:t>
      </w:r>
    </w:p>
    <w:p w14:paraId="3E3DC056">
      <w:pPr>
        <w:numPr>
          <w:ilvl w:val="0"/>
          <w:numId w:val="17"/>
        </w:numPr>
        <w:shd w:val="clear"/>
        <w:spacing w:line="360" w:lineRule="auto"/>
        <w:rPr>
          <w:rFonts w:eastAsia="宋体"/>
          <w:bCs/>
          <w:color w:val="auto"/>
          <w:sz w:val="24"/>
          <w:highlight w:val="none"/>
        </w:rPr>
      </w:pPr>
      <w:r>
        <w:rPr>
          <w:rFonts w:eastAsia="宋体"/>
          <w:bCs/>
          <w:color w:val="auto"/>
          <w:sz w:val="24"/>
          <w:highlight w:val="none"/>
        </w:rPr>
        <w:t>联合体各方均同意由牵头人代表其他联合体成员单位按竞争性磋商文件要求出具《授权委托书》。</w:t>
      </w:r>
    </w:p>
    <w:p w14:paraId="441A99FE">
      <w:pPr>
        <w:numPr>
          <w:ilvl w:val="0"/>
          <w:numId w:val="17"/>
        </w:numPr>
        <w:shd w:val="clear"/>
        <w:spacing w:line="360" w:lineRule="auto"/>
        <w:rPr>
          <w:rFonts w:eastAsia="宋体"/>
          <w:bCs/>
          <w:color w:val="auto"/>
          <w:sz w:val="24"/>
          <w:highlight w:val="none"/>
        </w:rPr>
      </w:pPr>
      <w:r>
        <w:rPr>
          <w:rFonts w:eastAsia="宋体"/>
          <w:bCs/>
          <w:color w:val="auto"/>
          <w:sz w:val="24"/>
          <w:highlight w:val="none"/>
        </w:rPr>
        <w:t>牵头人为项目的总负责单位；组织各参加方进行项目实施工作。</w:t>
      </w:r>
    </w:p>
    <w:p w14:paraId="73F2C960">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，具体工作范围、内容以响应文件及合同为准。</w:t>
      </w:r>
    </w:p>
    <w:p w14:paraId="543F09B5">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，具体工作范围、内容以响应文件及合同为准。</w:t>
      </w:r>
    </w:p>
    <w:p w14:paraId="6193FF85">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（如有），具体工作范围、内容以响应文件及合同为准。</w:t>
      </w:r>
    </w:p>
    <w:p w14:paraId="5555EFD5">
      <w:pPr>
        <w:numPr>
          <w:ilvl w:val="0"/>
          <w:numId w:val="17"/>
        </w:numPr>
        <w:shd w:val="clear"/>
        <w:spacing w:line="360" w:lineRule="auto"/>
        <w:rPr>
          <w:rFonts w:eastAsia="宋体"/>
          <w:color w:val="auto"/>
          <w:sz w:val="24"/>
          <w:highlight w:val="none"/>
        </w:rPr>
      </w:pPr>
      <w:r>
        <w:rPr>
          <w:rFonts w:eastAsia="宋体"/>
          <w:color w:val="auto"/>
          <w:sz w:val="24"/>
          <w:highlight w:val="none"/>
        </w:rPr>
        <w:t>本项目联合协议合同总额为______元，联合体各成员按照如下比例分摊（按联合体成员分别列明）：</w:t>
      </w:r>
    </w:p>
    <w:p w14:paraId="5C66B0D0">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（1）</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70CCB0D9">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（2）</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7FD25361">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4E9FBDDC">
      <w:pPr>
        <w:numPr>
          <w:ilvl w:val="0"/>
          <w:numId w:val="17"/>
        </w:numPr>
        <w:shd w:val="clear"/>
        <w:tabs>
          <w:tab w:val="left" w:pos="993"/>
        </w:tabs>
        <w:spacing w:line="360" w:lineRule="auto"/>
        <w:rPr>
          <w:rFonts w:eastAsia="宋体"/>
          <w:bCs/>
          <w:color w:val="auto"/>
          <w:sz w:val="24"/>
          <w:highlight w:val="none"/>
        </w:rPr>
      </w:pPr>
      <w:r>
        <w:rPr>
          <w:rFonts w:eastAsia="宋体"/>
          <w:color w:val="auto"/>
          <w:sz w:val="24"/>
          <w:szCs w:val="20"/>
          <w:highlight w:val="none"/>
        </w:rPr>
        <w:t>以联合体形式参加政府采购活动的，联合体各方不得再单独参加或者与其他供应商另外组成联合体参加同一合同项下的政府采购活动。</w:t>
      </w:r>
    </w:p>
    <w:p w14:paraId="51754BDF">
      <w:pPr>
        <w:numPr>
          <w:ilvl w:val="0"/>
          <w:numId w:val="17"/>
        </w:numPr>
        <w:shd w:val="clear"/>
        <w:spacing w:line="360" w:lineRule="auto"/>
        <w:rPr>
          <w:rFonts w:eastAsia="宋体"/>
          <w:bCs/>
          <w:color w:val="auto"/>
          <w:sz w:val="24"/>
          <w:highlight w:val="none"/>
        </w:rPr>
      </w:pPr>
      <w:r>
        <w:rPr>
          <w:rFonts w:eastAsia="宋体"/>
          <w:bCs/>
          <w:color w:val="auto"/>
          <w:sz w:val="24"/>
          <w:highlight w:val="none"/>
        </w:rPr>
        <w:t>其他约定（如有）：</w:t>
      </w:r>
      <w:r>
        <w:rPr>
          <w:rFonts w:eastAsia="宋体"/>
          <w:color w:val="auto"/>
          <w:sz w:val="24"/>
          <w:highlight w:val="none"/>
        </w:rPr>
        <w:t>______</w:t>
      </w:r>
      <w:r>
        <w:rPr>
          <w:rFonts w:hint="eastAsia" w:eastAsia="宋体"/>
          <w:color w:val="auto"/>
          <w:sz w:val="24"/>
          <w:highlight w:val="none"/>
        </w:rPr>
        <w:t>。</w:t>
      </w:r>
    </w:p>
    <w:p w14:paraId="0F4BE44B">
      <w:pPr>
        <w:shd w:val="clear"/>
        <w:tabs>
          <w:tab w:val="left" w:pos="780"/>
        </w:tabs>
        <w:spacing w:line="360" w:lineRule="auto"/>
        <w:ind w:left="180" w:firstLine="480" w:firstLineChars="200"/>
        <w:rPr>
          <w:rFonts w:eastAsia="宋体"/>
          <w:b/>
          <w:color w:val="auto"/>
          <w:sz w:val="24"/>
          <w:highlight w:val="none"/>
        </w:rPr>
      </w:pPr>
      <w:r>
        <w:rPr>
          <w:rFonts w:eastAsia="宋体"/>
          <w:bCs/>
          <w:color w:val="auto"/>
          <w:sz w:val="24"/>
          <w:highlight w:val="none"/>
        </w:rPr>
        <w:t>本协议自各方盖章后生效，采购合同履行完毕后自动失效。如未成交，本协议自动终止。</w:t>
      </w:r>
    </w:p>
    <w:p w14:paraId="11E8CE1A">
      <w:pPr>
        <w:shd w:val="clear"/>
        <w:spacing w:line="360" w:lineRule="auto"/>
        <w:ind w:firstLine="471"/>
        <w:rPr>
          <w:color w:val="auto"/>
          <w:sz w:val="24"/>
          <w:highlight w:val="none"/>
        </w:rPr>
      </w:pPr>
    </w:p>
    <w:p w14:paraId="7A587479">
      <w:pPr>
        <w:shd w:val="clea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5F30AB13">
      <w:pPr>
        <w:shd w:val="clea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74D052BB">
      <w:pPr>
        <w:shd w:val="clear"/>
        <w:spacing w:line="360" w:lineRule="auto"/>
        <w:ind w:firstLine="471"/>
        <w:rPr>
          <w:color w:val="auto"/>
          <w:sz w:val="24"/>
          <w:highlight w:val="none"/>
        </w:rPr>
      </w:pPr>
    </w:p>
    <w:p w14:paraId="114A458E">
      <w:pPr>
        <w:shd w:val="clear"/>
        <w:spacing w:line="360" w:lineRule="auto"/>
        <w:ind w:firstLine="471"/>
        <w:rPr>
          <w:color w:val="auto"/>
          <w:sz w:val="24"/>
          <w:highlight w:val="none"/>
        </w:rPr>
      </w:pPr>
    </w:p>
    <w:p w14:paraId="7A172739">
      <w:pPr>
        <w:shd w:val="clea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25D48E44">
      <w:pPr>
        <w:widowControl/>
        <w:shd w:val="clear"/>
        <w:ind w:firstLine="480" w:firstLineChars="200"/>
        <w:jc w:val="left"/>
        <w:rPr>
          <w:rFonts w:eastAsia="宋体"/>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r>
        <w:rPr>
          <w:rFonts w:eastAsia="宋体"/>
          <w:color w:val="auto"/>
          <w:sz w:val="24"/>
          <w:highlight w:val="none"/>
        </w:rPr>
        <w:t xml:space="preserve"> </w:t>
      </w:r>
    </w:p>
    <w:p w14:paraId="3157BE74">
      <w:pPr>
        <w:shd w:val="clear"/>
        <w:spacing w:line="360" w:lineRule="auto"/>
        <w:ind w:left="480"/>
        <w:jc w:val="right"/>
        <w:rPr>
          <w:rFonts w:eastAsia="宋体"/>
          <w:color w:val="auto"/>
          <w:sz w:val="24"/>
          <w:highlight w:val="none"/>
        </w:rPr>
      </w:pPr>
    </w:p>
    <w:p w14:paraId="08D4D98F">
      <w:pPr>
        <w:shd w:val="clear"/>
        <w:spacing w:line="360" w:lineRule="auto"/>
        <w:ind w:left="480"/>
        <w:jc w:val="right"/>
        <w:rPr>
          <w:rFonts w:eastAsia="宋体"/>
          <w:color w:val="auto"/>
          <w:sz w:val="24"/>
          <w:highlight w:val="none"/>
        </w:rPr>
      </w:pPr>
      <w:r>
        <w:rPr>
          <w:rFonts w:eastAsia="宋体"/>
          <w:color w:val="auto"/>
          <w:sz w:val="24"/>
          <w:szCs w:val="20"/>
          <w:highlight w:val="none"/>
        </w:rPr>
        <w:t>日期：</w:t>
      </w:r>
      <w:r>
        <w:rPr>
          <w:rFonts w:eastAsia="宋体"/>
          <w:color w:val="auto"/>
          <w:sz w:val="24"/>
          <w:highlight w:val="none"/>
        </w:rPr>
        <w:t>______</w:t>
      </w:r>
      <w:r>
        <w:rPr>
          <w:rFonts w:eastAsia="宋体"/>
          <w:color w:val="auto"/>
          <w:sz w:val="24"/>
          <w:szCs w:val="20"/>
          <w:highlight w:val="none"/>
        </w:rPr>
        <w:t>年</w:t>
      </w:r>
      <w:r>
        <w:rPr>
          <w:rFonts w:eastAsia="宋体"/>
          <w:color w:val="auto"/>
          <w:sz w:val="24"/>
          <w:highlight w:val="none"/>
        </w:rPr>
        <w:t>______</w:t>
      </w:r>
      <w:r>
        <w:rPr>
          <w:rFonts w:eastAsia="宋体"/>
          <w:color w:val="auto"/>
          <w:sz w:val="24"/>
          <w:szCs w:val="20"/>
          <w:highlight w:val="none"/>
        </w:rPr>
        <w:t>月</w:t>
      </w:r>
      <w:r>
        <w:rPr>
          <w:rFonts w:eastAsia="宋体"/>
          <w:color w:val="auto"/>
          <w:sz w:val="24"/>
          <w:highlight w:val="none"/>
        </w:rPr>
        <w:t>______</w:t>
      </w:r>
      <w:r>
        <w:rPr>
          <w:rFonts w:eastAsia="宋体"/>
          <w:color w:val="auto"/>
          <w:sz w:val="24"/>
          <w:szCs w:val="20"/>
          <w:highlight w:val="none"/>
        </w:rPr>
        <w:t>日</w:t>
      </w:r>
    </w:p>
    <w:p w14:paraId="6C2698B0">
      <w:pPr>
        <w:shd w:val="clear"/>
        <w:spacing w:line="360" w:lineRule="auto"/>
        <w:ind w:left="480"/>
        <w:jc w:val="right"/>
        <w:rPr>
          <w:rFonts w:eastAsia="宋体"/>
          <w:b/>
          <w:color w:val="auto"/>
          <w:sz w:val="24"/>
          <w:highlight w:val="none"/>
        </w:rPr>
      </w:pPr>
    </w:p>
    <w:p w14:paraId="77D29C68">
      <w:pPr>
        <w:shd w:val="clear"/>
        <w:tabs>
          <w:tab w:val="left" w:pos="8280"/>
        </w:tabs>
        <w:spacing w:line="360" w:lineRule="auto"/>
        <w:ind w:firstLine="480"/>
        <w:rPr>
          <w:rFonts w:eastAsia="宋体"/>
          <w:color w:val="auto"/>
          <w:sz w:val="24"/>
          <w:highlight w:val="none"/>
        </w:rPr>
      </w:pPr>
    </w:p>
    <w:p w14:paraId="23A1916E">
      <w:pPr>
        <w:shd w:val="clear"/>
        <w:tabs>
          <w:tab w:val="left" w:pos="8280"/>
        </w:tabs>
        <w:spacing w:line="360" w:lineRule="auto"/>
        <w:ind w:firstLine="480"/>
        <w:rPr>
          <w:rFonts w:eastAsia="宋体"/>
          <w:color w:val="auto"/>
          <w:sz w:val="24"/>
          <w:highlight w:val="none"/>
        </w:rPr>
      </w:pPr>
    </w:p>
    <w:p w14:paraId="67F9C5B7">
      <w:pPr>
        <w:shd w:val="clear"/>
        <w:spacing w:line="360" w:lineRule="auto"/>
        <w:ind w:left="719" w:leftChars="228" w:hanging="240" w:hangingChars="100"/>
        <w:rPr>
          <w:rFonts w:eastAsia="宋体"/>
          <w:color w:val="auto"/>
          <w:sz w:val="24"/>
          <w:highlight w:val="none"/>
        </w:rPr>
      </w:pPr>
      <w:r>
        <w:rPr>
          <w:rFonts w:eastAsia="宋体"/>
          <w:color w:val="auto"/>
          <w:sz w:val="24"/>
          <w:highlight w:val="none"/>
        </w:rPr>
        <w:t>注：联合体各方成员应在本协议上共同盖章，不得分别签署协议书。</w:t>
      </w:r>
    </w:p>
    <w:p w14:paraId="229FEFCA">
      <w:pPr>
        <w:widowControl/>
        <w:shd w:val="clear"/>
        <w:jc w:val="left"/>
        <w:rPr>
          <w:rFonts w:eastAsia="宋体"/>
          <w:color w:val="auto"/>
          <w:sz w:val="24"/>
          <w:highlight w:val="none"/>
        </w:rPr>
      </w:pPr>
      <w:r>
        <w:rPr>
          <w:rFonts w:eastAsia="宋体"/>
          <w:color w:val="auto"/>
          <w:sz w:val="24"/>
          <w:highlight w:val="none"/>
        </w:rPr>
        <w:br w:type="page"/>
      </w:r>
    </w:p>
    <w:p w14:paraId="38125310">
      <w:pPr>
        <w:shd w:val="clear"/>
        <w:spacing w:line="360" w:lineRule="auto"/>
        <w:outlineLvl w:val="2"/>
        <w:rPr>
          <w:rFonts w:eastAsia="宋体"/>
          <w:color w:val="auto"/>
          <w:sz w:val="24"/>
          <w:szCs w:val="20"/>
          <w:highlight w:val="none"/>
        </w:rPr>
      </w:pPr>
      <w:r>
        <w:rPr>
          <w:rFonts w:eastAsia="宋体"/>
          <w:color w:val="auto"/>
          <w:sz w:val="24"/>
          <w:szCs w:val="20"/>
          <w:highlight w:val="none"/>
        </w:rPr>
        <w:t>3-2其他特定资格要求</w:t>
      </w:r>
    </w:p>
    <w:p w14:paraId="0F334989">
      <w:pPr>
        <w:shd w:val="clear"/>
        <w:tabs>
          <w:tab w:val="left" w:pos="5580"/>
        </w:tabs>
        <w:spacing w:line="360" w:lineRule="auto"/>
        <w:rPr>
          <w:rFonts w:eastAsia="宋体"/>
          <w:color w:val="auto"/>
          <w:sz w:val="24"/>
          <w:highlight w:val="none"/>
        </w:rPr>
      </w:pPr>
    </w:p>
    <w:p w14:paraId="6CD8D41C">
      <w:pPr>
        <w:widowControl/>
        <w:shd w:val="clear"/>
        <w:jc w:val="left"/>
        <w:rPr>
          <w:rFonts w:eastAsia="宋体"/>
          <w:color w:val="auto"/>
          <w:sz w:val="24"/>
          <w:szCs w:val="20"/>
          <w:highlight w:val="none"/>
        </w:rPr>
      </w:pPr>
      <w:r>
        <w:rPr>
          <w:rFonts w:eastAsia="宋体"/>
          <w:color w:val="auto"/>
          <w:sz w:val="24"/>
          <w:szCs w:val="20"/>
          <w:highlight w:val="none"/>
        </w:rPr>
        <w:br w:type="page"/>
      </w:r>
    </w:p>
    <w:p w14:paraId="220FBD54">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4 磋商保证金凭证/交款单据电子件</w:t>
      </w:r>
    </w:p>
    <w:p w14:paraId="57A82968">
      <w:pPr>
        <w:widowControl/>
        <w:shd w:val="clear"/>
        <w:jc w:val="left"/>
        <w:rPr>
          <w:rFonts w:eastAsia="宋体"/>
          <w:color w:val="auto"/>
          <w:kern w:val="0"/>
          <w:sz w:val="24"/>
          <w:szCs w:val="20"/>
          <w:highlight w:val="none"/>
        </w:rPr>
      </w:pPr>
      <w:r>
        <w:rPr>
          <w:rFonts w:eastAsia="宋体"/>
          <w:b/>
          <w:color w:val="auto"/>
          <w:sz w:val="24"/>
          <w:highlight w:val="none"/>
        </w:rPr>
        <w:br w:type="page"/>
      </w:r>
    </w:p>
    <w:p w14:paraId="2B421AD2">
      <w:pPr>
        <w:widowControl/>
        <w:shd w:val="clear"/>
        <w:jc w:val="left"/>
        <w:rPr>
          <w:rFonts w:eastAsia="宋体"/>
          <w:b/>
          <w:color w:val="auto"/>
          <w:sz w:val="24"/>
          <w:highlight w:val="none"/>
        </w:rPr>
      </w:pPr>
    </w:p>
    <w:p w14:paraId="5C750501">
      <w:pPr>
        <w:shd w:val="clear"/>
        <w:tabs>
          <w:tab w:val="left" w:pos="360"/>
        </w:tabs>
        <w:snapToGrid w:val="0"/>
        <w:spacing w:line="360" w:lineRule="auto"/>
        <w:outlineLvl w:val="1"/>
        <w:rPr>
          <w:rFonts w:eastAsia="宋体"/>
          <w:color w:val="auto"/>
          <w:sz w:val="24"/>
          <w:highlight w:val="none"/>
        </w:rPr>
      </w:pPr>
      <w:bookmarkStart w:id="717" w:name="_Hlt520343000"/>
      <w:bookmarkEnd w:id="717"/>
      <w:bookmarkStart w:id="718" w:name="_Hlt520274121"/>
      <w:bookmarkEnd w:id="718"/>
      <w:bookmarkStart w:id="719" w:name="_Hlt520273711"/>
      <w:bookmarkEnd w:id="719"/>
      <w:bookmarkStart w:id="720" w:name="_Hlt520343392"/>
      <w:bookmarkEnd w:id="720"/>
      <w:bookmarkStart w:id="721" w:name="_Hlt520274393"/>
      <w:bookmarkEnd w:id="721"/>
      <w:bookmarkStart w:id="722" w:name="_Hlt520274065"/>
      <w:bookmarkEnd w:id="722"/>
      <w:bookmarkStart w:id="723" w:name="_Hlt520350918"/>
      <w:bookmarkEnd w:id="723"/>
      <w:bookmarkStart w:id="724" w:name="_Hlt520274407"/>
      <w:bookmarkEnd w:id="724"/>
      <w:bookmarkStart w:id="725" w:name="_Hlt520355504"/>
      <w:bookmarkEnd w:id="725"/>
      <w:bookmarkStart w:id="726" w:name="_Hlt520271212"/>
      <w:bookmarkEnd w:id="726"/>
      <w:bookmarkStart w:id="727" w:name="_Ref467988698"/>
      <w:bookmarkStart w:id="728" w:name="_Toc480942349"/>
      <w:bookmarkStart w:id="729" w:name="_Toc520356217"/>
      <w:bookmarkStart w:id="730" w:name="_Toc226309800"/>
      <w:bookmarkStart w:id="731" w:name="_Toc226965829"/>
      <w:bookmarkStart w:id="732" w:name="_Toc226337252"/>
      <w:bookmarkStart w:id="733" w:name="_Toc150774761"/>
      <w:bookmarkStart w:id="734" w:name="_Toc226965746"/>
      <w:bookmarkStart w:id="735" w:name="_Toc127151556"/>
      <w:bookmarkStart w:id="736" w:name="_Toc142311058"/>
      <w:bookmarkStart w:id="737" w:name="_Toc195842921"/>
      <w:bookmarkStart w:id="738" w:name="_Toc150480794"/>
      <w:r>
        <w:rPr>
          <w:rFonts w:eastAsia="宋体"/>
          <w:color w:val="auto"/>
          <w:sz w:val="24"/>
          <w:highlight w:val="none"/>
        </w:rPr>
        <w:t xml:space="preserve">5  </w:t>
      </w:r>
      <w:bookmarkEnd w:id="727"/>
      <w:bookmarkEnd w:id="728"/>
      <w:r>
        <w:rPr>
          <w:rFonts w:eastAsia="宋体"/>
          <w:color w:val="auto"/>
          <w:sz w:val="24"/>
          <w:highlight w:val="none"/>
        </w:rPr>
        <w:t>响应书</w:t>
      </w:r>
      <w:bookmarkEnd w:id="729"/>
      <w:bookmarkEnd w:id="730"/>
      <w:bookmarkEnd w:id="731"/>
      <w:bookmarkEnd w:id="732"/>
      <w:bookmarkEnd w:id="733"/>
      <w:bookmarkEnd w:id="734"/>
      <w:bookmarkEnd w:id="735"/>
      <w:bookmarkEnd w:id="736"/>
      <w:bookmarkEnd w:id="737"/>
      <w:bookmarkEnd w:id="738"/>
    </w:p>
    <w:p w14:paraId="275030E3">
      <w:pPr>
        <w:shd w:val="clear"/>
        <w:tabs>
          <w:tab w:val="left" w:pos="5580"/>
        </w:tabs>
        <w:spacing w:line="360" w:lineRule="auto"/>
        <w:rPr>
          <w:rFonts w:eastAsia="宋体"/>
          <w:color w:val="auto"/>
          <w:sz w:val="24"/>
          <w:highlight w:val="none"/>
        </w:rPr>
      </w:pPr>
    </w:p>
    <w:p w14:paraId="1EEAE500">
      <w:pPr>
        <w:shd w:val="clear"/>
        <w:spacing w:line="360" w:lineRule="auto"/>
        <w:jc w:val="center"/>
        <w:rPr>
          <w:rFonts w:eastAsia="宋体"/>
          <w:b/>
          <w:color w:val="auto"/>
          <w:sz w:val="36"/>
          <w:szCs w:val="36"/>
          <w:highlight w:val="none"/>
        </w:rPr>
      </w:pPr>
      <w:r>
        <w:rPr>
          <w:rFonts w:hint="eastAsia" w:eastAsia="宋体"/>
          <w:b/>
          <w:color w:val="auto"/>
          <w:sz w:val="36"/>
          <w:szCs w:val="36"/>
          <w:highlight w:val="none"/>
        </w:rPr>
        <w:t>响应书</w:t>
      </w:r>
    </w:p>
    <w:p w14:paraId="17A7CEC5">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760ED5A0">
      <w:pPr>
        <w:shd w:val="clear"/>
        <w:tabs>
          <w:tab w:val="left" w:pos="5580"/>
        </w:tabs>
        <w:spacing w:line="360" w:lineRule="auto"/>
        <w:rPr>
          <w:rFonts w:eastAsia="宋体"/>
          <w:color w:val="auto"/>
          <w:sz w:val="24"/>
          <w:szCs w:val="20"/>
          <w:highlight w:val="none"/>
        </w:rPr>
      </w:pPr>
    </w:p>
    <w:p w14:paraId="64923D82">
      <w:pPr>
        <w:shd w:val="clear"/>
        <w:tabs>
          <w:tab w:val="left" w:pos="5580"/>
        </w:tabs>
        <w:spacing w:line="360" w:lineRule="auto"/>
        <w:ind w:firstLine="408"/>
        <w:rPr>
          <w:rFonts w:eastAsia="宋体"/>
          <w:color w:val="auto"/>
          <w:sz w:val="24"/>
          <w:szCs w:val="20"/>
          <w:highlight w:val="none"/>
        </w:rPr>
      </w:pPr>
      <w:r>
        <w:rPr>
          <w:rFonts w:eastAsia="宋体"/>
          <w:color w:val="auto"/>
          <w:sz w:val="24"/>
          <w:szCs w:val="20"/>
          <w:highlight w:val="none"/>
        </w:rPr>
        <w:t>我方参加你方就</w:t>
      </w:r>
      <w:r>
        <w:rPr>
          <w:rFonts w:eastAsia="宋体"/>
          <w:color w:val="auto"/>
          <w:sz w:val="24"/>
          <w:highlight w:val="none"/>
        </w:rPr>
        <w:t>______</w:t>
      </w:r>
      <w:r>
        <w:rPr>
          <w:rFonts w:eastAsia="宋体"/>
          <w:color w:val="auto"/>
          <w:sz w:val="24"/>
          <w:szCs w:val="20"/>
          <w:highlight w:val="none"/>
        </w:rPr>
        <w:t>（项目名称，项目编号/包号）组织的采购活动，并对此项目进行磋商。</w:t>
      </w:r>
    </w:p>
    <w:p w14:paraId="209F3DF3">
      <w:pPr>
        <w:shd w:val="clear"/>
        <w:tabs>
          <w:tab w:val="left" w:pos="5580"/>
        </w:tabs>
        <w:spacing w:line="360" w:lineRule="auto"/>
        <w:ind w:firstLine="408"/>
        <w:rPr>
          <w:rFonts w:eastAsia="宋体"/>
          <w:color w:val="auto"/>
          <w:sz w:val="24"/>
          <w:szCs w:val="20"/>
          <w:highlight w:val="none"/>
        </w:rPr>
      </w:pPr>
      <w:r>
        <w:rPr>
          <w:rFonts w:eastAsia="宋体"/>
          <w:color w:val="auto"/>
          <w:sz w:val="24"/>
          <w:szCs w:val="20"/>
          <w:highlight w:val="none"/>
        </w:rPr>
        <w:t>1. 我方</w:t>
      </w:r>
      <w:r>
        <w:rPr>
          <w:rFonts w:eastAsia="宋体"/>
          <w:color w:val="auto"/>
          <w:sz w:val="24"/>
          <w:highlight w:val="none"/>
        </w:rPr>
        <w:t>已详细审查全部竞争性磋商文件</w:t>
      </w:r>
      <w:r>
        <w:rPr>
          <w:rFonts w:eastAsia="宋体"/>
          <w:color w:val="auto"/>
          <w:sz w:val="24"/>
          <w:szCs w:val="20"/>
          <w:highlight w:val="none"/>
        </w:rPr>
        <w:t>，自愿参与磋商并承诺如下：</w:t>
      </w:r>
    </w:p>
    <w:p w14:paraId="4EEF1726">
      <w:pPr>
        <w:shd w:val="clear"/>
        <w:tabs>
          <w:tab w:val="left" w:pos="720"/>
          <w:tab w:val="left" w:pos="900"/>
        </w:tabs>
        <w:spacing w:line="360" w:lineRule="auto"/>
        <w:ind w:left="360" w:firstLine="72" w:firstLineChars="30"/>
        <w:rPr>
          <w:rFonts w:eastAsia="宋体"/>
          <w:color w:val="auto"/>
          <w:sz w:val="24"/>
          <w:szCs w:val="20"/>
          <w:highlight w:val="none"/>
        </w:rPr>
      </w:pPr>
      <w:r>
        <w:rPr>
          <w:rFonts w:eastAsia="宋体"/>
          <w:color w:val="auto"/>
          <w:sz w:val="24"/>
          <w:szCs w:val="20"/>
          <w:highlight w:val="none"/>
        </w:rPr>
        <w:t>（1）本响应有效期为自提交响应文件的截止之日起</w:t>
      </w:r>
      <w:r>
        <w:rPr>
          <w:rFonts w:eastAsia="宋体"/>
          <w:color w:val="auto"/>
          <w:sz w:val="24"/>
          <w:highlight w:val="none"/>
        </w:rPr>
        <w:t>______</w:t>
      </w:r>
      <w:r>
        <w:rPr>
          <w:rFonts w:eastAsia="宋体"/>
          <w:color w:val="auto"/>
          <w:sz w:val="24"/>
          <w:szCs w:val="20"/>
          <w:highlight w:val="none"/>
        </w:rPr>
        <w:t>个日历日。</w:t>
      </w:r>
    </w:p>
    <w:p w14:paraId="04FA0149">
      <w:pPr>
        <w:shd w:val="clear"/>
        <w:tabs>
          <w:tab w:val="left" w:pos="720"/>
          <w:tab w:val="left" w:pos="900"/>
        </w:tabs>
        <w:spacing w:line="360" w:lineRule="auto"/>
        <w:ind w:left="360" w:firstLine="72" w:firstLineChars="30"/>
        <w:rPr>
          <w:rFonts w:eastAsia="宋体"/>
          <w:color w:val="auto"/>
          <w:sz w:val="24"/>
          <w:szCs w:val="20"/>
          <w:highlight w:val="none"/>
        </w:rPr>
      </w:pPr>
      <w:r>
        <w:rPr>
          <w:rFonts w:eastAsia="宋体"/>
          <w:color w:val="auto"/>
          <w:sz w:val="24"/>
          <w:szCs w:val="20"/>
          <w:highlight w:val="none"/>
        </w:rPr>
        <w:t>（2）除合同条款及采购需求偏离表列出的偏离外，我方响应竞争性磋商文件的全部要求。</w:t>
      </w:r>
    </w:p>
    <w:p w14:paraId="15D2F2F0">
      <w:pPr>
        <w:shd w:val="clear"/>
        <w:tabs>
          <w:tab w:val="left" w:pos="5580"/>
        </w:tabs>
        <w:spacing w:line="360" w:lineRule="auto"/>
        <w:ind w:firstLine="420" w:firstLineChars="175"/>
        <w:rPr>
          <w:rFonts w:eastAsia="宋体"/>
          <w:color w:val="auto"/>
          <w:sz w:val="24"/>
          <w:szCs w:val="20"/>
          <w:highlight w:val="none"/>
        </w:rPr>
      </w:pPr>
      <w:r>
        <w:rPr>
          <w:rFonts w:eastAsia="宋体"/>
          <w:color w:val="auto"/>
          <w:sz w:val="24"/>
          <w:szCs w:val="20"/>
          <w:highlight w:val="none"/>
        </w:rPr>
        <w:t>（3）我方已提供的全部文件资料是真实、准确的，并对此承担一切法律后果。</w:t>
      </w:r>
    </w:p>
    <w:p w14:paraId="1CBF1F3C">
      <w:pPr>
        <w:shd w:val="clear"/>
        <w:tabs>
          <w:tab w:val="left" w:pos="5580"/>
        </w:tabs>
        <w:spacing w:line="360" w:lineRule="auto"/>
        <w:ind w:firstLine="420" w:firstLineChars="175"/>
        <w:rPr>
          <w:rFonts w:eastAsia="宋体"/>
          <w:color w:val="auto"/>
          <w:sz w:val="24"/>
          <w:highlight w:val="none"/>
        </w:rPr>
      </w:pPr>
      <w:r>
        <w:rPr>
          <w:rFonts w:eastAsia="宋体"/>
          <w:color w:val="auto"/>
          <w:sz w:val="24"/>
          <w:szCs w:val="20"/>
          <w:highlight w:val="none"/>
        </w:rPr>
        <w:t>（4）如我方成交，我方将在法律规定的期限内与你方签订合同，按照竞争性磋商文件要求提交履约保证金，并在合同约定的期限内完成合同规定的全部义务。</w:t>
      </w:r>
    </w:p>
    <w:p w14:paraId="0AE584C5">
      <w:pPr>
        <w:shd w:val="clear"/>
        <w:spacing w:line="360" w:lineRule="auto"/>
        <w:ind w:left="420"/>
        <w:rPr>
          <w:rFonts w:eastAsia="宋体"/>
          <w:color w:val="auto"/>
          <w:sz w:val="24"/>
          <w:highlight w:val="none"/>
        </w:rPr>
      </w:pPr>
      <w:r>
        <w:rPr>
          <w:rFonts w:eastAsia="宋体"/>
          <w:color w:val="auto"/>
          <w:sz w:val="24"/>
          <w:highlight w:val="none"/>
        </w:rPr>
        <w:t>2. 其他补充条款（如有）：______。</w:t>
      </w:r>
    </w:p>
    <w:p w14:paraId="3AE60F71">
      <w:pPr>
        <w:shd w:val="clear"/>
        <w:spacing w:line="360" w:lineRule="auto"/>
        <w:ind w:firstLine="480" w:firstLineChars="200"/>
        <w:rPr>
          <w:rFonts w:eastAsia="宋体"/>
          <w:color w:val="auto"/>
          <w:sz w:val="24"/>
          <w:highlight w:val="none"/>
        </w:rPr>
      </w:pPr>
      <w:r>
        <w:rPr>
          <w:rFonts w:eastAsia="宋体"/>
          <w:color w:val="auto"/>
          <w:sz w:val="24"/>
          <w:highlight w:val="none"/>
        </w:rPr>
        <w:t>与本磋商有关的一切正式往来信函请寄：</w:t>
      </w:r>
    </w:p>
    <w:p w14:paraId="25A1E65C">
      <w:pPr>
        <w:shd w:val="clear"/>
        <w:tabs>
          <w:tab w:val="left" w:pos="5580"/>
        </w:tabs>
        <w:spacing w:line="360" w:lineRule="auto"/>
        <w:ind w:left="420"/>
        <w:rPr>
          <w:rFonts w:eastAsia="宋体"/>
          <w:color w:val="auto"/>
          <w:sz w:val="24"/>
          <w:szCs w:val="20"/>
          <w:highlight w:val="none"/>
        </w:rPr>
      </w:pPr>
    </w:p>
    <w:p w14:paraId="0911F4D8">
      <w:pPr>
        <w:shd w:val="clear"/>
        <w:tabs>
          <w:tab w:val="left" w:pos="5580"/>
        </w:tabs>
        <w:spacing w:line="360" w:lineRule="auto"/>
        <w:ind w:left="420"/>
        <w:rPr>
          <w:rFonts w:eastAsia="宋体"/>
          <w:color w:val="auto"/>
          <w:sz w:val="24"/>
          <w:szCs w:val="20"/>
          <w:highlight w:val="none"/>
        </w:rPr>
      </w:pPr>
      <w:r>
        <w:rPr>
          <w:rFonts w:eastAsia="宋体"/>
          <w:color w:val="auto"/>
          <w:sz w:val="24"/>
          <w:szCs w:val="20"/>
          <w:highlight w:val="none"/>
        </w:rPr>
        <w:t>地址</w:t>
      </w:r>
      <w:r>
        <w:rPr>
          <w:rFonts w:eastAsia="宋体"/>
          <w:bCs/>
          <w:color w:val="auto"/>
          <w:sz w:val="24"/>
          <w:highlight w:val="none"/>
        </w:rPr>
        <w:t>_________________________</w:t>
      </w:r>
      <w:r>
        <w:rPr>
          <w:rFonts w:eastAsia="宋体"/>
          <w:color w:val="auto"/>
          <w:sz w:val="24"/>
          <w:szCs w:val="20"/>
          <w:highlight w:val="none"/>
        </w:rPr>
        <w:t xml:space="preserve">      传   真</w:t>
      </w:r>
      <w:r>
        <w:rPr>
          <w:rFonts w:eastAsia="宋体"/>
          <w:bCs/>
          <w:color w:val="auto"/>
          <w:sz w:val="24"/>
          <w:highlight w:val="none"/>
        </w:rPr>
        <w:t>_________________________</w:t>
      </w:r>
    </w:p>
    <w:p w14:paraId="7D031175">
      <w:pPr>
        <w:shd w:val="clear"/>
        <w:tabs>
          <w:tab w:val="left" w:pos="5580"/>
        </w:tabs>
        <w:spacing w:line="360" w:lineRule="auto"/>
        <w:ind w:left="420"/>
        <w:rPr>
          <w:rFonts w:eastAsia="宋体"/>
          <w:color w:val="auto"/>
          <w:sz w:val="24"/>
          <w:szCs w:val="20"/>
          <w:highlight w:val="none"/>
        </w:rPr>
      </w:pPr>
      <w:r>
        <w:rPr>
          <w:rFonts w:eastAsia="宋体"/>
          <w:color w:val="auto"/>
          <w:sz w:val="24"/>
          <w:szCs w:val="20"/>
          <w:highlight w:val="none"/>
        </w:rPr>
        <w:t>电话</w:t>
      </w:r>
      <w:r>
        <w:rPr>
          <w:rFonts w:eastAsia="宋体"/>
          <w:bCs/>
          <w:color w:val="auto"/>
          <w:sz w:val="24"/>
          <w:highlight w:val="none"/>
        </w:rPr>
        <w:t>_________________________</w:t>
      </w:r>
      <w:r>
        <w:rPr>
          <w:rFonts w:eastAsia="宋体"/>
          <w:color w:val="auto"/>
          <w:sz w:val="24"/>
          <w:szCs w:val="20"/>
          <w:highlight w:val="none"/>
        </w:rPr>
        <w:t xml:space="preserve">      电子函件</w:t>
      </w:r>
      <w:r>
        <w:rPr>
          <w:rFonts w:eastAsia="宋体"/>
          <w:bCs/>
          <w:color w:val="auto"/>
          <w:sz w:val="24"/>
          <w:highlight w:val="none"/>
        </w:rPr>
        <w:t>_________________________</w:t>
      </w:r>
    </w:p>
    <w:p w14:paraId="3198A94B">
      <w:pPr>
        <w:shd w:val="clear"/>
        <w:tabs>
          <w:tab w:val="left" w:pos="5580"/>
        </w:tabs>
        <w:spacing w:line="360" w:lineRule="auto"/>
        <w:ind w:left="420"/>
        <w:rPr>
          <w:rFonts w:eastAsia="宋体"/>
          <w:color w:val="auto"/>
          <w:sz w:val="24"/>
          <w:szCs w:val="20"/>
          <w:highlight w:val="none"/>
        </w:rPr>
      </w:pPr>
    </w:p>
    <w:p w14:paraId="1F60F3F2">
      <w:pPr>
        <w:shd w:val="clear"/>
        <w:tabs>
          <w:tab w:val="left" w:pos="5580"/>
        </w:tabs>
        <w:spacing w:line="360" w:lineRule="auto"/>
        <w:ind w:left="420"/>
        <w:rPr>
          <w:rFonts w:eastAsia="宋体"/>
          <w:color w:val="auto"/>
          <w:sz w:val="24"/>
          <w:szCs w:val="20"/>
          <w:highlight w:val="none"/>
        </w:rPr>
      </w:pPr>
    </w:p>
    <w:p w14:paraId="6D190B07">
      <w:pPr>
        <w:shd w:val="clear"/>
        <w:tabs>
          <w:tab w:val="left" w:pos="5580"/>
        </w:tabs>
        <w:spacing w:line="360" w:lineRule="auto"/>
        <w:ind w:left="420"/>
        <w:rPr>
          <w:rFonts w:eastAsia="宋体"/>
          <w:color w:val="auto"/>
          <w:sz w:val="24"/>
          <w:szCs w:val="20"/>
          <w:highlight w:val="none"/>
        </w:rPr>
      </w:pPr>
    </w:p>
    <w:p w14:paraId="32F401D3">
      <w:pPr>
        <w:shd w:val="clear"/>
        <w:autoSpaceDE w:val="0"/>
        <w:autoSpaceDN w:val="0"/>
        <w:adjustRightInd w:val="0"/>
        <w:snapToGrid w:val="0"/>
        <w:spacing w:before="25" w:after="25" w:line="360" w:lineRule="auto"/>
        <w:ind w:right="360" w:firstLine="360" w:firstLineChars="150"/>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7FEBA36C">
      <w:pPr>
        <w:shd w:val="clear"/>
        <w:tabs>
          <w:tab w:val="left" w:pos="5580"/>
        </w:tabs>
        <w:spacing w:line="360" w:lineRule="auto"/>
        <w:ind w:firstLine="360" w:firstLineChars="150"/>
        <w:rPr>
          <w:rFonts w:eastAsia="宋体"/>
          <w:color w:val="auto"/>
          <w:sz w:val="24"/>
          <w:szCs w:val="20"/>
          <w:highlight w:val="none"/>
        </w:rPr>
      </w:pPr>
      <w:r>
        <w:rPr>
          <w:rFonts w:eastAsia="宋体"/>
          <w:color w:val="auto"/>
          <w:sz w:val="24"/>
          <w:szCs w:val="20"/>
          <w:highlight w:val="none"/>
        </w:rPr>
        <w:t xml:space="preserve">日期：____年____月____日  </w:t>
      </w:r>
    </w:p>
    <w:p w14:paraId="1F0FF1B7">
      <w:pPr>
        <w:shd w:val="clear"/>
        <w:tabs>
          <w:tab w:val="left" w:pos="5580"/>
        </w:tabs>
        <w:spacing w:line="360" w:lineRule="auto"/>
        <w:ind w:left="420"/>
        <w:jc w:val="left"/>
        <w:rPr>
          <w:rFonts w:eastAsia="宋体"/>
          <w:color w:val="auto"/>
          <w:sz w:val="24"/>
          <w:szCs w:val="20"/>
          <w:highlight w:val="none"/>
        </w:rPr>
      </w:pPr>
    </w:p>
    <w:p w14:paraId="2004C5B2">
      <w:pPr>
        <w:widowControl/>
        <w:shd w:val="clear"/>
        <w:jc w:val="left"/>
        <w:rPr>
          <w:rFonts w:eastAsia="宋体"/>
          <w:b/>
          <w:color w:val="auto"/>
          <w:sz w:val="24"/>
          <w:szCs w:val="20"/>
          <w:highlight w:val="none"/>
        </w:rPr>
      </w:pPr>
      <w:r>
        <w:rPr>
          <w:rFonts w:eastAsia="宋体"/>
          <w:b/>
          <w:color w:val="auto"/>
          <w:sz w:val="24"/>
          <w:szCs w:val="20"/>
          <w:highlight w:val="none"/>
        </w:rPr>
        <w:br w:type="page"/>
      </w:r>
    </w:p>
    <w:p w14:paraId="3693A5CE">
      <w:pPr>
        <w:widowControl/>
        <w:shd w:val="clear"/>
        <w:jc w:val="left"/>
        <w:rPr>
          <w:rFonts w:eastAsia="宋体"/>
          <w:color w:val="auto"/>
          <w:sz w:val="24"/>
          <w:highlight w:val="none"/>
        </w:rPr>
      </w:pPr>
      <w:bookmarkStart w:id="739" w:name="_Hlt520356243"/>
      <w:bookmarkEnd w:id="739"/>
      <w:bookmarkStart w:id="740" w:name="_Hlt520355938"/>
      <w:bookmarkEnd w:id="740"/>
      <w:bookmarkStart w:id="741" w:name="_Toc150480795"/>
      <w:bookmarkStart w:id="742" w:name="_Toc226965747"/>
      <w:bookmarkStart w:id="743" w:name="_Toc520356218"/>
      <w:bookmarkStart w:id="744" w:name="_Toc480942350"/>
      <w:bookmarkStart w:id="745" w:name="_Toc195842922"/>
      <w:bookmarkStart w:id="746" w:name="_Toc305158899"/>
      <w:bookmarkStart w:id="747" w:name="_Toc226309801"/>
      <w:bookmarkStart w:id="748" w:name="_Toc226965830"/>
      <w:bookmarkStart w:id="749" w:name="_Toc142311059"/>
      <w:bookmarkStart w:id="750" w:name="_Ref467988705"/>
      <w:bookmarkStart w:id="751" w:name="_Toc265228395"/>
      <w:bookmarkStart w:id="752" w:name="_Toc264969247"/>
      <w:bookmarkStart w:id="753" w:name="_Toc305158825"/>
      <w:bookmarkStart w:id="754" w:name="_Toc127151557"/>
      <w:bookmarkStart w:id="755" w:name="_Toc150774762"/>
      <w:bookmarkStart w:id="756" w:name="_Toc226337253"/>
    </w:p>
    <w:p w14:paraId="00A73763">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6  授权委托书</w:t>
      </w:r>
    </w:p>
    <w:p w14:paraId="3D2175E4">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授权委托书</w:t>
      </w:r>
    </w:p>
    <w:p w14:paraId="6B3652D8">
      <w:pPr>
        <w:shd w:val="clear"/>
        <w:spacing w:line="360" w:lineRule="auto"/>
        <w:ind w:firstLine="420"/>
        <w:rPr>
          <w:rFonts w:eastAsia="宋体"/>
          <w:color w:val="auto"/>
          <w:sz w:val="24"/>
          <w:szCs w:val="20"/>
          <w:highlight w:val="none"/>
        </w:rPr>
      </w:pPr>
      <w:r>
        <w:rPr>
          <w:rFonts w:eastAsia="宋体"/>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6B4D343">
      <w:pPr>
        <w:shd w:val="clear"/>
        <w:spacing w:line="360" w:lineRule="auto"/>
        <w:ind w:firstLine="420"/>
        <w:rPr>
          <w:rFonts w:eastAsia="宋体"/>
          <w:color w:val="auto"/>
          <w:sz w:val="24"/>
          <w:szCs w:val="20"/>
          <w:highlight w:val="none"/>
        </w:rPr>
      </w:pPr>
      <w:r>
        <w:rPr>
          <w:rFonts w:eastAsia="宋体"/>
          <w:color w:val="auto"/>
          <w:sz w:val="24"/>
          <w:szCs w:val="20"/>
          <w:highlight w:val="none"/>
        </w:rPr>
        <w:t>委托期限：自本授权委托书签署之日起至响应有效期届满之日止。</w:t>
      </w:r>
    </w:p>
    <w:p w14:paraId="5ED90F31">
      <w:pPr>
        <w:shd w:val="clear"/>
        <w:spacing w:line="360" w:lineRule="auto"/>
        <w:ind w:firstLine="420"/>
        <w:rPr>
          <w:rFonts w:eastAsia="宋体"/>
          <w:color w:val="auto"/>
          <w:sz w:val="24"/>
          <w:szCs w:val="20"/>
          <w:highlight w:val="none"/>
        </w:rPr>
      </w:pPr>
      <w:r>
        <w:rPr>
          <w:rFonts w:eastAsia="宋体"/>
          <w:color w:val="auto"/>
          <w:sz w:val="24"/>
          <w:szCs w:val="20"/>
          <w:highlight w:val="none"/>
        </w:rPr>
        <w:t>代理人无转委托权。</w:t>
      </w:r>
      <w:r>
        <w:rPr>
          <w:rFonts w:eastAsia="宋体"/>
          <w:color w:val="auto"/>
          <w:sz w:val="24"/>
          <w:szCs w:val="20"/>
          <w:highlight w:val="none"/>
        </w:rPr>
        <w:cr/>
      </w:r>
    </w:p>
    <w:p w14:paraId="50BFC60F">
      <w:pPr>
        <w:shd w:val="clear"/>
        <w:spacing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szCs w:val="20"/>
          <w:highlight w:val="none"/>
        </w:rPr>
        <w:t>______________</w:t>
      </w:r>
    </w:p>
    <w:p w14:paraId="1F97FAB3">
      <w:pPr>
        <w:shd w:val="clear"/>
        <w:spacing w:line="360" w:lineRule="auto"/>
        <w:rPr>
          <w:rFonts w:eastAsia="宋体"/>
          <w:color w:val="auto"/>
          <w:sz w:val="24"/>
          <w:szCs w:val="20"/>
          <w:highlight w:val="none"/>
        </w:rPr>
      </w:pPr>
      <w:r>
        <w:rPr>
          <w:rFonts w:eastAsia="宋体"/>
          <w:color w:val="auto"/>
          <w:sz w:val="24"/>
          <w:szCs w:val="20"/>
          <w:highlight w:val="none"/>
        </w:rPr>
        <w:t>法定代表人（单位负责人）（签字</w:t>
      </w:r>
      <w:r>
        <w:rPr>
          <w:rFonts w:hint="eastAsia" w:ascii="宋体" w:hAnsi="宋体"/>
          <w:color w:val="auto"/>
          <w:sz w:val="24"/>
          <w:szCs w:val="20"/>
          <w:highlight w:val="none"/>
        </w:rPr>
        <w:t>、签章</w:t>
      </w:r>
      <w:r>
        <w:rPr>
          <w:rFonts w:eastAsia="宋体"/>
          <w:color w:val="auto"/>
          <w:sz w:val="24"/>
          <w:szCs w:val="20"/>
          <w:highlight w:val="none"/>
        </w:rPr>
        <w:t>或印鉴）：______________</w:t>
      </w:r>
    </w:p>
    <w:p w14:paraId="402E9BA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委托代理人（签字</w:t>
      </w:r>
      <w:r>
        <w:rPr>
          <w:rFonts w:hint="eastAsia" w:ascii="宋体" w:hAnsi="宋体"/>
          <w:color w:val="auto"/>
          <w:sz w:val="24"/>
          <w:szCs w:val="20"/>
          <w:highlight w:val="none"/>
        </w:rPr>
        <w:t>/签章</w:t>
      </w:r>
      <w:r>
        <w:rPr>
          <w:rFonts w:eastAsia="宋体"/>
          <w:color w:val="auto"/>
          <w:sz w:val="24"/>
          <w:highlight w:val="none"/>
        </w:rPr>
        <w:t>）：</w:t>
      </w:r>
      <w:r>
        <w:rPr>
          <w:rFonts w:eastAsia="宋体"/>
          <w:color w:val="auto"/>
          <w:sz w:val="24"/>
          <w:szCs w:val="20"/>
          <w:highlight w:val="none"/>
        </w:rPr>
        <w:t>______________</w:t>
      </w:r>
      <w:r>
        <w:rPr>
          <w:rFonts w:eastAsia="宋体"/>
          <w:color w:val="auto"/>
          <w:sz w:val="24"/>
          <w:highlight w:val="none"/>
          <w:lang w:val="zh-CN"/>
        </w:rPr>
        <w:t xml:space="preserve">        </w:t>
      </w:r>
    </w:p>
    <w:p w14:paraId="7431FB5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w:t>
      </w:r>
      <w:r>
        <w:rPr>
          <w:rFonts w:eastAsia="宋体"/>
          <w:color w:val="auto"/>
          <w:sz w:val="24"/>
          <w:highlight w:val="none"/>
        </w:rPr>
        <w:t>年</w:t>
      </w:r>
      <w:r>
        <w:rPr>
          <w:rFonts w:eastAsia="宋体"/>
          <w:color w:val="auto"/>
          <w:sz w:val="24"/>
          <w:szCs w:val="20"/>
          <w:highlight w:val="none"/>
        </w:rPr>
        <w:t>____</w:t>
      </w:r>
      <w:r>
        <w:rPr>
          <w:rFonts w:eastAsia="宋体"/>
          <w:color w:val="auto"/>
          <w:sz w:val="24"/>
          <w:highlight w:val="none"/>
        </w:rPr>
        <w:t>月</w:t>
      </w:r>
      <w:r>
        <w:rPr>
          <w:rFonts w:eastAsia="宋体"/>
          <w:color w:val="auto"/>
          <w:sz w:val="24"/>
          <w:szCs w:val="20"/>
          <w:highlight w:val="none"/>
        </w:rPr>
        <w:t>____</w:t>
      </w:r>
      <w:r>
        <w:rPr>
          <w:rFonts w:eastAsia="宋体"/>
          <w:color w:val="auto"/>
          <w:sz w:val="24"/>
          <w:highlight w:val="none"/>
        </w:rPr>
        <w:t>日</w:t>
      </w:r>
    </w:p>
    <w:p w14:paraId="31F0F818">
      <w:pPr>
        <w:shd w:val="clear"/>
        <w:tabs>
          <w:tab w:val="left" w:pos="5580"/>
        </w:tabs>
        <w:spacing w:line="360" w:lineRule="auto"/>
        <w:ind w:firstLine="480" w:firstLineChars="200"/>
        <w:rPr>
          <w:rFonts w:eastAsia="宋体"/>
          <w:color w:val="auto"/>
          <w:sz w:val="24"/>
          <w:szCs w:val="20"/>
          <w:highlight w:val="none"/>
        </w:rPr>
      </w:pPr>
    </w:p>
    <w:p w14:paraId="573D287A">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法定代表人（单位负责人）有效期内的身份证</w:t>
      </w:r>
      <w:r>
        <w:rPr>
          <w:rFonts w:eastAsia="宋体"/>
          <w:b/>
          <w:color w:val="auto"/>
          <w:sz w:val="24"/>
          <w:szCs w:val="20"/>
          <w:highlight w:val="none"/>
        </w:rPr>
        <w:t>正反面</w:t>
      </w:r>
      <w:r>
        <w:rPr>
          <w:rFonts w:eastAsia="宋体"/>
          <w:color w:val="auto"/>
          <w:sz w:val="24"/>
          <w:szCs w:val="20"/>
          <w:highlight w:val="none"/>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D4E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0CEC410">
            <w:pPr>
              <w:shd w:val="clear"/>
              <w:tabs>
                <w:tab w:val="left" w:pos="5580"/>
              </w:tabs>
              <w:spacing w:line="360" w:lineRule="auto"/>
              <w:jc w:val="left"/>
              <w:rPr>
                <w:rFonts w:eastAsia="宋体"/>
                <w:color w:val="auto"/>
                <w:sz w:val="24"/>
                <w:szCs w:val="20"/>
                <w:highlight w:val="none"/>
              </w:rPr>
            </w:pPr>
          </w:p>
          <w:p w14:paraId="1C62F3B4">
            <w:pPr>
              <w:shd w:val="clear"/>
              <w:tabs>
                <w:tab w:val="left" w:pos="5580"/>
              </w:tabs>
              <w:spacing w:line="360" w:lineRule="auto"/>
              <w:jc w:val="left"/>
              <w:rPr>
                <w:rFonts w:eastAsia="宋体"/>
                <w:color w:val="auto"/>
                <w:sz w:val="24"/>
                <w:szCs w:val="20"/>
                <w:highlight w:val="none"/>
              </w:rPr>
            </w:pPr>
          </w:p>
          <w:p w14:paraId="385732E2">
            <w:pPr>
              <w:shd w:val="clear"/>
              <w:tabs>
                <w:tab w:val="left" w:pos="5580"/>
              </w:tabs>
              <w:spacing w:line="360" w:lineRule="auto"/>
              <w:jc w:val="left"/>
              <w:rPr>
                <w:rFonts w:eastAsia="宋体"/>
                <w:color w:val="auto"/>
                <w:sz w:val="24"/>
                <w:szCs w:val="20"/>
                <w:highlight w:val="none"/>
              </w:rPr>
            </w:pPr>
          </w:p>
        </w:tc>
        <w:tc>
          <w:tcPr>
            <w:tcW w:w="4536" w:type="dxa"/>
            <w:noWrap w:val="0"/>
            <w:vAlign w:val="top"/>
          </w:tcPr>
          <w:p w14:paraId="51FB3279">
            <w:pPr>
              <w:shd w:val="clear"/>
              <w:tabs>
                <w:tab w:val="left" w:pos="5580"/>
              </w:tabs>
              <w:spacing w:line="360" w:lineRule="auto"/>
              <w:jc w:val="left"/>
              <w:rPr>
                <w:rFonts w:eastAsia="宋体"/>
                <w:color w:val="auto"/>
                <w:sz w:val="24"/>
                <w:szCs w:val="20"/>
                <w:highlight w:val="none"/>
              </w:rPr>
            </w:pPr>
          </w:p>
          <w:p w14:paraId="61046CCB">
            <w:pPr>
              <w:shd w:val="clear"/>
              <w:tabs>
                <w:tab w:val="left" w:pos="5580"/>
              </w:tabs>
              <w:spacing w:line="360" w:lineRule="auto"/>
              <w:jc w:val="left"/>
              <w:rPr>
                <w:rFonts w:eastAsia="宋体"/>
                <w:color w:val="auto"/>
                <w:sz w:val="24"/>
                <w:szCs w:val="20"/>
                <w:highlight w:val="none"/>
              </w:rPr>
            </w:pPr>
          </w:p>
          <w:p w14:paraId="4BD5550D">
            <w:pPr>
              <w:shd w:val="clear"/>
              <w:tabs>
                <w:tab w:val="left" w:pos="5580"/>
              </w:tabs>
              <w:spacing w:line="360" w:lineRule="auto"/>
              <w:jc w:val="left"/>
              <w:rPr>
                <w:rFonts w:eastAsia="宋体"/>
                <w:color w:val="auto"/>
                <w:sz w:val="24"/>
                <w:szCs w:val="20"/>
                <w:highlight w:val="none"/>
              </w:rPr>
            </w:pPr>
          </w:p>
        </w:tc>
      </w:tr>
    </w:tbl>
    <w:p w14:paraId="4E559B19">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委托代理人有效期内的身份证</w:t>
      </w:r>
      <w:r>
        <w:rPr>
          <w:rFonts w:eastAsia="宋体"/>
          <w:b/>
          <w:color w:val="auto"/>
          <w:sz w:val="24"/>
          <w:szCs w:val="20"/>
          <w:highlight w:val="none"/>
        </w:rPr>
        <w:t>正反面</w:t>
      </w:r>
      <w:r>
        <w:rPr>
          <w:rFonts w:eastAsia="宋体"/>
          <w:color w:val="auto"/>
          <w:sz w:val="24"/>
          <w:szCs w:val="20"/>
          <w:highlight w:val="none"/>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35D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B143E9B">
            <w:pPr>
              <w:shd w:val="clear"/>
              <w:tabs>
                <w:tab w:val="left" w:pos="5580"/>
              </w:tabs>
              <w:spacing w:line="360" w:lineRule="auto"/>
              <w:jc w:val="left"/>
              <w:rPr>
                <w:rFonts w:eastAsia="宋体"/>
                <w:color w:val="auto"/>
                <w:sz w:val="24"/>
                <w:szCs w:val="20"/>
                <w:highlight w:val="none"/>
              </w:rPr>
            </w:pPr>
          </w:p>
          <w:p w14:paraId="4A0F37A2">
            <w:pPr>
              <w:shd w:val="clear"/>
              <w:tabs>
                <w:tab w:val="left" w:pos="5580"/>
              </w:tabs>
              <w:spacing w:line="360" w:lineRule="auto"/>
              <w:jc w:val="left"/>
              <w:rPr>
                <w:rFonts w:eastAsia="宋体"/>
                <w:color w:val="auto"/>
                <w:sz w:val="24"/>
                <w:szCs w:val="20"/>
                <w:highlight w:val="none"/>
              </w:rPr>
            </w:pPr>
          </w:p>
          <w:p w14:paraId="5998C7BD">
            <w:pPr>
              <w:shd w:val="clear"/>
              <w:tabs>
                <w:tab w:val="left" w:pos="5580"/>
              </w:tabs>
              <w:spacing w:line="360" w:lineRule="auto"/>
              <w:jc w:val="left"/>
              <w:rPr>
                <w:rFonts w:eastAsia="宋体"/>
                <w:color w:val="auto"/>
                <w:sz w:val="24"/>
                <w:szCs w:val="20"/>
                <w:highlight w:val="none"/>
              </w:rPr>
            </w:pPr>
          </w:p>
        </w:tc>
        <w:tc>
          <w:tcPr>
            <w:tcW w:w="4536" w:type="dxa"/>
            <w:noWrap w:val="0"/>
            <w:vAlign w:val="top"/>
          </w:tcPr>
          <w:p w14:paraId="77670ACA">
            <w:pPr>
              <w:shd w:val="clear"/>
              <w:tabs>
                <w:tab w:val="left" w:pos="5580"/>
              </w:tabs>
              <w:spacing w:line="360" w:lineRule="auto"/>
              <w:jc w:val="left"/>
              <w:rPr>
                <w:rFonts w:eastAsia="宋体"/>
                <w:color w:val="auto"/>
                <w:sz w:val="24"/>
                <w:szCs w:val="20"/>
                <w:highlight w:val="none"/>
              </w:rPr>
            </w:pPr>
          </w:p>
          <w:p w14:paraId="7AC12464">
            <w:pPr>
              <w:shd w:val="clear"/>
              <w:tabs>
                <w:tab w:val="left" w:pos="5580"/>
              </w:tabs>
              <w:spacing w:line="360" w:lineRule="auto"/>
              <w:jc w:val="left"/>
              <w:rPr>
                <w:rFonts w:eastAsia="宋体"/>
                <w:color w:val="auto"/>
                <w:sz w:val="24"/>
                <w:szCs w:val="20"/>
                <w:highlight w:val="none"/>
              </w:rPr>
            </w:pPr>
          </w:p>
          <w:p w14:paraId="15B542EF">
            <w:pPr>
              <w:shd w:val="clear"/>
              <w:tabs>
                <w:tab w:val="left" w:pos="5580"/>
              </w:tabs>
              <w:spacing w:line="360" w:lineRule="auto"/>
              <w:jc w:val="left"/>
              <w:rPr>
                <w:rFonts w:eastAsia="宋体"/>
                <w:color w:val="auto"/>
                <w:sz w:val="24"/>
                <w:szCs w:val="20"/>
                <w:highlight w:val="none"/>
              </w:rPr>
            </w:pPr>
          </w:p>
        </w:tc>
      </w:tr>
    </w:tbl>
    <w:p w14:paraId="28EFDAEE">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说明：</w:t>
      </w:r>
    </w:p>
    <w:p w14:paraId="7EFB4EBB">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1.若供应商为事业单位或其他组织或分支机构（仅当磋商文件注明允许分支机构响应的），则法定代表人（单位负责人）处的签署人可为单位负责人。</w:t>
      </w:r>
    </w:p>
    <w:p w14:paraId="3C49E532">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2.若响应文件中签字之处均为法定代表人（单位负责人）本人签署，则可不提供本《授权委托书》，但须提供《法定代表人（单位负责人）身份证明》（实质性格式）。</w:t>
      </w:r>
    </w:p>
    <w:p w14:paraId="27EAEDA2">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3.供应商为自然人的情形，可不提供本《授权委托书》。</w:t>
      </w:r>
    </w:p>
    <w:p w14:paraId="7131882A">
      <w:pPr>
        <w:widowControl/>
        <w:shd w:val="clear"/>
        <w:jc w:val="left"/>
        <w:rPr>
          <w:rFonts w:eastAsia="宋体"/>
          <w:color w:val="auto"/>
          <w:sz w:val="30"/>
          <w:szCs w:val="30"/>
          <w:highlight w:val="none"/>
        </w:rPr>
      </w:pPr>
    </w:p>
    <w:p w14:paraId="362063D6">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附：法定代表人（单位负责人）身份证明</w:t>
      </w:r>
    </w:p>
    <w:p w14:paraId="1C50669D">
      <w:pPr>
        <w:shd w:val="clear"/>
        <w:kinsoku w:val="0"/>
        <w:overflowPunct w:val="0"/>
        <w:spacing w:line="200" w:lineRule="exact"/>
        <w:rPr>
          <w:rFonts w:eastAsia="宋体"/>
          <w:color w:val="auto"/>
          <w:sz w:val="20"/>
          <w:szCs w:val="20"/>
          <w:highlight w:val="none"/>
        </w:rPr>
      </w:pPr>
    </w:p>
    <w:p w14:paraId="571549FB">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szCs w:val="20"/>
          <w:highlight w:val="none"/>
        </w:rPr>
        <w:t>____</w:t>
      </w:r>
      <w:r>
        <w:rPr>
          <w:rFonts w:eastAsia="宋体"/>
          <w:color w:val="auto"/>
          <w:sz w:val="24"/>
          <w:highlight w:val="none"/>
        </w:rPr>
        <w:t>（采购人或采购代理机构）</w:t>
      </w:r>
    </w:p>
    <w:p w14:paraId="3794BB5E">
      <w:pPr>
        <w:pStyle w:val="19"/>
        <w:shd w:val="clear"/>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color w:val="auto"/>
          <w:highlight w:val="none"/>
        </w:rPr>
      </w:pPr>
      <w:r>
        <w:rPr>
          <w:rFonts w:ascii="Times New Roman" w:hAnsi="Times New Roman" w:eastAsia="宋体"/>
          <w:color w:val="auto"/>
          <w:highlight w:val="none"/>
        </w:rPr>
        <w:t>兹证明，</w:t>
      </w:r>
    </w:p>
    <w:p w14:paraId="22D24E60">
      <w:pPr>
        <w:pStyle w:val="19"/>
        <w:shd w:val="clear"/>
        <w:tabs>
          <w:tab w:val="left" w:pos="1690"/>
          <w:tab w:val="left" w:pos="3400"/>
          <w:tab w:val="left" w:pos="5110"/>
          <w:tab w:val="left" w:pos="6821"/>
        </w:tabs>
        <w:kinsoku w:val="0"/>
        <w:overflowPunct w:val="0"/>
        <w:spacing w:line="335" w:lineRule="exact"/>
        <w:rPr>
          <w:rFonts w:ascii="Times New Roman" w:hAnsi="Times New Roman" w:eastAsia="宋体"/>
          <w:color w:val="auto"/>
          <w:highlight w:val="none"/>
        </w:rPr>
      </w:pPr>
      <w:r>
        <w:rPr>
          <w:rFonts w:ascii="Times New Roman" w:hAnsi="Times New Roman" w:eastAsia="宋体"/>
          <w:color w:val="auto"/>
          <w:highlight w:val="none"/>
        </w:rPr>
        <w:t>姓名：</w:t>
      </w:r>
      <w:r>
        <w:rPr>
          <w:rFonts w:ascii="Times New Roman" w:hAnsi="Times New Roman" w:eastAsia="宋体"/>
          <w:color w:val="auto"/>
          <w:szCs w:val="20"/>
          <w:highlight w:val="none"/>
        </w:rPr>
        <w:t>____</w:t>
      </w:r>
      <w:r>
        <w:rPr>
          <w:rFonts w:ascii="Times New Roman" w:hAnsi="Times New Roman" w:eastAsia="宋体"/>
          <w:color w:val="auto"/>
          <w:highlight w:val="none"/>
        </w:rPr>
        <w:t>性别：</w:t>
      </w:r>
      <w:r>
        <w:rPr>
          <w:rFonts w:ascii="Times New Roman" w:hAnsi="Times New Roman" w:eastAsia="宋体"/>
          <w:color w:val="auto"/>
          <w:szCs w:val="20"/>
          <w:highlight w:val="none"/>
        </w:rPr>
        <w:t>____</w:t>
      </w:r>
      <w:r>
        <w:rPr>
          <w:rFonts w:ascii="Times New Roman" w:hAnsi="Times New Roman" w:eastAsia="宋体"/>
          <w:color w:val="auto"/>
          <w:highlight w:val="none"/>
        </w:rPr>
        <w:t>年龄：</w:t>
      </w:r>
      <w:r>
        <w:rPr>
          <w:rFonts w:ascii="Times New Roman" w:hAnsi="Times New Roman" w:eastAsia="宋体"/>
          <w:color w:val="auto"/>
          <w:szCs w:val="20"/>
          <w:highlight w:val="none"/>
        </w:rPr>
        <w:t>____</w:t>
      </w:r>
      <w:r>
        <w:rPr>
          <w:rFonts w:ascii="Times New Roman" w:hAnsi="Times New Roman" w:eastAsia="宋体"/>
          <w:color w:val="auto"/>
          <w:highlight w:val="none"/>
        </w:rPr>
        <w:t>职务：</w:t>
      </w:r>
      <w:r>
        <w:rPr>
          <w:rFonts w:ascii="Times New Roman" w:hAnsi="Times New Roman" w:eastAsia="宋体"/>
          <w:color w:val="auto"/>
          <w:szCs w:val="20"/>
          <w:highlight w:val="none"/>
        </w:rPr>
        <w:t>____</w:t>
      </w:r>
    </w:p>
    <w:p w14:paraId="7ECC876B">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39C1D41A">
      <w:pPr>
        <w:pStyle w:val="19"/>
        <w:shd w:val="clear"/>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color w:val="auto"/>
          <w:highlight w:val="none"/>
        </w:rPr>
      </w:pPr>
      <w:r>
        <w:rPr>
          <w:rFonts w:ascii="Times New Roman" w:hAnsi="Times New Roman" w:eastAsia="宋体"/>
          <w:color w:val="auto"/>
          <w:highlight w:val="none"/>
        </w:rPr>
        <w:t>系</w:t>
      </w:r>
      <w:r>
        <w:rPr>
          <w:rFonts w:ascii="Times New Roman" w:hAnsi="Times New Roman" w:eastAsia="宋体"/>
          <w:color w:val="auto"/>
          <w:szCs w:val="20"/>
          <w:highlight w:val="none"/>
        </w:rPr>
        <w:t>__________</w:t>
      </w:r>
      <w:r>
        <w:rPr>
          <w:rFonts w:ascii="Times New Roman" w:hAnsi="Times New Roman" w:eastAsia="宋体"/>
          <w:color w:val="auto"/>
          <w:highlight w:val="none"/>
        </w:rPr>
        <w:t>（供应商名称）的法定代表人（单位负责人）。</w:t>
      </w:r>
    </w:p>
    <w:p w14:paraId="5A35EA74">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33FFE1A0">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2BE6BB0E">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6CC70036">
      <w:pPr>
        <w:pStyle w:val="19"/>
        <w:shd w:val="clear"/>
        <w:kinsoku w:val="0"/>
        <w:overflowPunct w:val="0"/>
        <w:spacing w:line="583" w:lineRule="auto"/>
        <w:ind w:right="-46"/>
        <w:rPr>
          <w:rFonts w:ascii="Times New Roman" w:hAnsi="Times New Roman" w:eastAsia="宋体"/>
          <w:color w:val="auto"/>
          <w:spacing w:val="-3"/>
          <w:highlight w:val="none"/>
        </w:rPr>
      </w:pPr>
      <w:r>
        <w:rPr>
          <w:rFonts w:ascii="Times New Roman" w:hAnsi="Times New Roman" w:eastAsia="宋体"/>
          <w:color w:val="auto"/>
          <w:highlight w:val="none"/>
        </w:rPr>
        <w:t>附：</w:t>
      </w:r>
      <w:r>
        <w:rPr>
          <w:rFonts w:ascii="Times New Roman" w:hAnsi="Times New Roman" w:eastAsia="宋体"/>
          <w:color w:val="auto"/>
          <w:spacing w:val="-3"/>
          <w:highlight w:val="none"/>
        </w:rPr>
        <w:t>法</w:t>
      </w:r>
      <w:r>
        <w:rPr>
          <w:rFonts w:ascii="Times New Roman" w:hAnsi="Times New Roman" w:eastAsia="宋体"/>
          <w:color w:val="auto"/>
          <w:highlight w:val="none"/>
        </w:rPr>
        <w:t>定</w:t>
      </w:r>
      <w:r>
        <w:rPr>
          <w:rFonts w:ascii="Times New Roman" w:hAnsi="Times New Roman" w:eastAsia="宋体"/>
          <w:color w:val="auto"/>
          <w:spacing w:val="-3"/>
          <w:highlight w:val="none"/>
        </w:rPr>
        <w:t>代</w:t>
      </w:r>
      <w:r>
        <w:rPr>
          <w:rFonts w:ascii="Times New Roman" w:hAnsi="Times New Roman" w:eastAsia="宋体"/>
          <w:color w:val="auto"/>
          <w:highlight w:val="none"/>
        </w:rPr>
        <w:t>表</w:t>
      </w:r>
      <w:r>
        <w:rPr>
          <w:rFonts w:ascii="Times New Roman" w:hAnsi="Times New Roman" w:eastAsia="宋体"/>
          <w:color w:val="auto"/>
          <w:spacing w:val="-3"/>
          <w:highlight w:val="none"/>
        </w:rPr>
        <w:t>人</w:t>
      </w:r>
      <w:r>
        <w:rPr>
          <w:rFonts w:ascii="Times New Roman" w:hAnsi="Times New Roman" w:eastAsia="宋体"/>
          <w:color w:val="auto"/>
          <w:highlight w:val="none"/>
        </w:rPr>
        <w:t>（</w:t>
      </w:r>
      <w:r>
        <w:rPr>
          <w:rFonts w:ascii="Times New Roman" w:hAnsi="Times New Roman" w:eastAsia="宋体"/>
          <w:color w:val="auto"/>
          <w:spacing w:val="-3"/>
          <w:highlight w:val="none"/>
        </w:rPr>
        <w:t>单</w:t>
      </w:r>
      <w:r>
        <w:rPr>
          <w:rFonts w:ascii="Times New Roman" w:hAnsi="Times New Roman" w:eastAsia="宋体"/>
          <w:color w:val="auto"/>
          <w:highlight w:val="none"/>
        </w:rPr>
        <w:t>位</w:t>
      </w:r>
      <w:r>
        <w:rPr>
          <w:rFonts w:ascii="Times New Roman" w:hAnsi="Times New Roman" w:eastAsia="宋体"/>
          <w:color w:val="auto"/>
          <w:spacing w:val="-3"/>
          <w:highlight w:val="none"/>
        </w:rPr>
        <w:t>负</w:t>
      </w:r>
      <w:r>
        <w:rPr>
          <w:rFonts w:ascii="Times New Roman" w:hAnsi="Times New Roman" w:eastAsia="宋体"/>
          <w:color w:val="auto"/>
          <w:highlight w:val="none"/>
        </w:rPr>
        <w:t>责人</w:t>
      </w:r>
      <w:r>
        <w:rPr>
          <w:rFonts w:ascii="Times New Roman" w:hAnsi="Times New Roman" w:eastAsia="宋体"/>
          <w:color w:val="auto"/>
          <w:spacing w:val="-3"/>
          <w:highlight w:val="none"/>
        </w:rPr>
        <w:t>）有效期内的身份证正反面电子件。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0"/>
        <w:gridCol w:w="5103"/>
      </w:tblGrid>
      <w:tr w14:paraId="52A2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0" w:type="dxa"/>
            <w:noWrap w:val="0"/>
            <w:vAlign w:val="top"/>
          </w:tcPr>
          <w:p w14:paraId="7D313027">
            <w:pPr>
              <w:shd w:val="clear"/>
              <w:tabs>
                <w:tab w:val="left" w:pos="5580"/>
              </w:tabs>
              <w:spacing w:line="360" w:lineRule="auto"/>
              <w:jc w:val="left"/>
              <w:rPr>
                <w:rFonts w:eastAsia="宋体"/>
                <w:color w:val="auto"/>
                <w:sz w:val="24"/>
                <w:szCs w:val="20"/>
                <w:highlight w:val="none"/>
              </w:rPr>
            </w:pPr>
          </w:p>
          <w:p w14:paraId="5737E207">
            <w:pPr>
              <w:shd w:val="clear"/>
              <w:tabs>
                <w:tab w:val="left" w:pos="5580"/>
              </w:tabs>
              <w:spacing w:line="360" w:lineRule="auto"/>
              <w:jc w:val="left"/>
              <w:rPr>
                <w:rFonts w:eastAsia="宋体"/>
                <w:color w:val="auto"/>
                <w:sz w:val="24"/>
                <w:szCs w:val="20"/>
                <w:highlight w:val="none"/>
              </w:rPr>
            </w:pPr>
          </w:p>
          <w:p w14:paraId="521BEB3B">
            <w:pPr>
              <w:shd w:val="clear"/>
              <w:tabs>
                <w:tab w:val="left" w:pos="5580"/>
              </w:tabs>
              <w:spacing w:line="360" w:lineRule="auto"/>
              <w:jc w:val="left"/>
              <w:rPr>
                <w:rFonts w:eastAsia="宋体"/>
                <w:color w:val="auto"/>
                <w:sz w:val="24"/>
                <w:szCs w:val="20"/>
                <w:highlight w:val="none"/>
              </w:rPr>
            </w:pPr>
          </w:p>
        </w:tc>
        <w:tc>
          <w:tcPr>
            <w:tcW w:w="5103" w:type="dxa"/>
            <w:noWrap w:val="0"/>
            <w:vAlign w:val="top"/>
          </w:tcPr>
          <w:p w14:paraId="009FFD4D">
            <w:pPr>
              <w:shd w:val="clear"/>
              <w:tabs>
                <w:tab w:val="left" w:pos="5580"/>
              </w:tabs>
              <w:spacing w:line="360" w:lineRule="auto"/>
              <w:jc w:val="left"/>
              <w:rPr>
                <w:rFonts w:eastAsia="宋体"/>
                <w:color w:val="auto"/>
                <w:sz w:val="24"/>
                <w:szCs w:val="20"/>
                <w:highlight w:val="none"/>
              </w:rPr>
            </w:pPr>
          </w:p>
          <w:p w14:paraId="065D7B62">
            <w:pPr>
              <w:shd w:val="clear"/>
              <w:tabs>
                <w:tab w:val="left" w:pos="5580"/>
              </w:tabs>
              <w:spacing w:line="360" w:lineRule="auto"/>
              <w:jc w:val="left"/>
              <w:rPr>
                <w:rFonts w:eastAsia="宋体"/>
                <w:color w:val="auto"/>
                <w:sz w:val="24"/>
                <w:szCs w:val="20"/>
                <w:highlight w:val="none"/>
              </w:rPr>
            </w:pPr>
          </w:p>
          <w:p w14:paraId="485B5B72">
            <w:pPr>
              <w:shd w:val="clear"/>
              <w:tabs>
                <w:tab w:val="left" w:pos="5580"/>
              </w:tabs>
              <w:spacing w:line="360" w:lineRule="auto"/>
              <w:jc w:val="left"/>
              <w:rPr>
                <w:rFonts w:eastAsia="宋体"/>
                <w:color w:val="auto"/>
                <w:sz w:val="24"/>
                <w:szCs w:val="20"/>
                <w:highlight w:val="none"/>
              </w:rPr>
            </w:pPr>
          </w:p>
        </w:tc>
      </w:tr>
    </w:tbl>
    <w:p w14:paraId="2C4A5DB3">
      <w:pPr>
        <w:pStyle w:val="19"/>
        <w:shd w:val="clear"/>
        <w:kinsoku w:val="0"/>
        <w:overflowPunct w:val="0"/>
        <w:spacing w:line="583" w:lineRule="auto"/>
        <w:ind w:right="4305"/>
        <w:rPr>
          <w:rFonts w:ascii="Times New Roman" w:hAnsi="Times New Roman" w:eastAsia="宋体"/>
          <w:color w:val="auto"/>
          <w:spacing w:val="-3"/>
          <w:highlight w:val="none"/>
        </w:rPr>
      </w:pPr>
    </w:p>
    <w:p w14:paraId="7B08AFA4">
      <w:pPr>
        <w:pStyle w:val="19"/>
        <w:shd w:val="clear"/>
        <w:kinsoku w:val="0"/>
        <w:overflowPunct w:val="0"/>
        <w:spacing w:line="583" w:lineRule="auto"/>
        <w:ind w:right="4305"/>
        <w:rPr>
          <w:rFonts w:ascii="Times New Roman" w:hAnsi="Times New Roman" w:eastAsia="宋体"/>
          <w:color w:val="auto"/>
          <w:spacing w:val="-3"/>
          <w:highlight w:val="none"/>
        </w:rPr>
      </w:pPr>
    </w:p>
    <w:p w14:paraId="68019F1D">
      <w:pPr>
        <w:pStyle w:val="19"/>
        <w:shd w:val="clear"/>
        <w:kinsoku w:val="0"/>
        <w:overflowPunct w:val="0"/>
        <w:spacing w:line="583" w:lineRule="auto"/>
        <w:ind w:right="4305"/>
        <w:rPr>
          <w:rFonts w:ascii="Times New Roman" w:hAnsi="Times New Roman" w:eastAsia="宋体"/>
          <w:color w:val="auto"/>
          <w:spacing w:val="-3"/>
          <w:highlight w:val="none"/>
        </w:rPr>
      </w:pPr>
    </w:p>
    <w:p w14:paraId="7F02D10F">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6C1BBDE3">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pacing w:val="-3"/>
          <w:sz w:val="24"/>
          <w:highlight w:val="none"/>
        </w:rPr>
        <w:t>法定代表人（</w:t>
      </w:r>
      <w:r>
        <w:rPr>
          <w:rFonts w:eastAsia="宋体"/>
          <w:color w:val="auto"/>
          <w:sz w:val="24"/>
          <w:highlight w:val="none"/>
        </w:rPr>
        <w:t>单位负责人</w:t>
      </w:r>
      <w:r>
        <w:rPr>
          <w:rFonts w:eastAsia="宋体"/>
          <w:color w:val="auto"/>
          <w:spacing w:val="-3"/>
          <w:sz w:val="24"/>
          <w:highlight w:val="none"/>
        </w:rPr>
        <w:t>）（签字</w:t>
      </w:r>
      <w:r>
        <w:rPr>
          <w:rFonts w:hint="eastAsia" w:ascii="宋体" w:hAnsi="宋体"/>
          <w:color w:val="auto"/>
          <w:sz w:val="24"/>
          <w:szCs w:val="20"/>
          <w:highlight w:val="none"/>
        </w:rPr>
        <w:t>、签章</w:t>
      </w:r>
      <w:r>
        <w:rPr>
          <w:rFonts w:eastAsia="宋体"/>
          <w:color w:val="auto"/>
          <w:spacing w:val="-3"/>
          <w:sz w:val="24"/>
          <w:highlight w:val="none"/>
        </w:rPr>
        <w:t>或印鉴）：</w:t>
      </w:r>
      <w:r>
        <w:rPr>
          <w:rFonts w:eastAsia="宋体"/>
          <w:color w:val="auto"/>
          <w:sz w:val="24"/>
          <w:highlight w:val="none"/>
        </w:rPr>
        <w:t>______</w:t>
      </w:r>
    </w:p>
    <w:p w14:paraId="6D02070D">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____年____月____日</w:t>
      </w:r>
    </w:p>
    <w:p w14:paraId="0CD33DEA">
      <w:pPr>
        <w:widowControl/>
        <w:shd w:val="clear"/>
        <w:jc w:val="left"/>
        <w:rPr>
          <w:rFonts w:eastAsia="宋体"/>
          <w:i/>
          <w:color w:val="auto"/>
          <w:sz w:val="24"/>
          <w:szCs w:val="20"/>
          <w:highlight w:val="none"/>
          <w:u w:val="single"/>
        </w:rPr>
      </w:pPr>
    </w:p>
    <w:p w14:paraId="52516554">
      <w:pPr>
        <w:widowControl/>
        <w:shd w:val="clear"/>
        <w:jc w:val="left"/>
        <w:rPr>
          <w:rFonts w:eastAsia="宋体"/>
          <w:color w:val="auto"/>
          <w:sz w:val="24"/>
          <w:szCs w:val="20"/>
          <w:highlight w:val="none"/>
        </w:rPr>
      </w:pPr>
      <w:r>
        <w:rPr>
          <w:rFonts w:eastAsia="宋体"/>
          <w:color w:val="auto"/>
          <w:sz w:val="24"/>
          <w:szCs w:val="20"/>
          <w:highlight w:val="none"/>
        </w:rPr>
        <w:br w:type="page"/>
      </w:r>
    </w:p>
    <w:p w14:paraId="6EC2EBC1">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7  报价一览表</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41247CA5">
      <w:pPr>
        <w:shd w:val="clear"/>
        <w:spacing w:line="360" w:lineRule="exact"/>
        <w:jc w:val="center"/>
        <w:rPr>
          <w:rFonts w:eastAsia="宋体"/>
          <w:b/>
          <w:color w:val="auto"/>
          <w:sz w:val="36"/>
          <w:szCs w:val="36"/>
          <w:highlight w:val="none"/>
        </w:rPr>
      </w:pPr>
      <w:bookmarkStart w:id="757" w:name="_Toc195842923"/>
      <w:bookmarkStart w:id="758" w:name="_Toc226965831"/>
      <w:bookmarkStart w:id="759" w:name="_Toc305158900"/>
      <w:bookmarkStart w:id="760" w:name="_Toc164608827"/>
      <w:bookmarkStart w:id="761" w:name="_Toc164608672"/>
      <w:bookmarkStart w:id="762" w:name="_Toc226965748"/>
      <w:bookmarkStart w:id="763" w:name="_Toc265228396"/>
      <w:bookmarkStart w:id="764" w:name="_Toc226337254"/>
      <w:bookmarkStart w:id="765" w:name="_Toc226309802"/>
      <w:bookmarkStart w:id="766" w:name="_Toc305158826"/>
      <w:bookmarkStart w:id="767" w:name="_Toc264969248"/>
      <w:r>
        <w:rPr>
          <w:rFonts w:hint="eastAsia" w:eastAsia="宋体"/>
          <w:b/>
          <w:color w:val="auto"/>
          <w:sz w:val="36"/>
          <w:szCs w:val="36"/>
          <w:highlight w:val="none"/>
        </w:rPr>
        <w:t>报价一览表</w:t>
      </w:r>
      <w:bookmarkEnd w:id="757"/>
      <w:bookmarkEnd w:id="758"/>
      <w:bookmarkEnd w:id="759"/>
      <w:bookmarkEnd w:id="760"/>
      <w:bookmarkEnd w:id="761"/>
      <w:bookmarkEnd w:id="762"/>
      <w:bookmarkEnd w:id="763"/>
      <w:bookmarkEnd w:id="764"/>
      <w:bookmarkEnd w:id="765"/>
      <w:bookmarkEnd w:id="766"/>
      <w:bookmarkEnd w:id="767"/>
    </w:p>
    <w:p w14:paraId="7383F1DF">
      <w:pPr>
        <w:shd w:val="clear"/>
        <w:tabs>
          <w:tab w:val="left" w:pos="1800"/>
          <w:tab w:val="left" w:pos="5580"/>
        </w:tabs>
        <w:spacing w:line="360" w:lineRule="auto"/>
        <w:jc w:val="left"/>
        <w:rPr>
          <w:rFonts w:eastAsia="宋体"/>
          <w:color w:val="auto"/>
          <w:sz w:val="24"/>
          <w:highlight w:val="none"/>
        </w:rPr>
      </w:pPr>
    </w:p>
    <w:p w14:paraId="48F91AAA">
      <w:pPr>
        <w:shd w:val="clear"/>
        <w:tabs>
          <w:tab w:val="left" w:pos="1800"/>
          <w:tab w:val="left" w:pos="5580"/>
        </w:tabs>
        <w:spacing w:line="360" w:lineRule="auto"/>
        <w:ind w:firstLine="240" w:firstLineChars="100"/>
        <w:jc w:val="left"/>
        <w:rPr>
          <w:rFonts w:eastAsia="宋体"/>
          <w:color w:val="auto"/>
          <w:sz w:val="24"/>
          <w:highlight w:val="none"/>
          <w:u w:val="single"/>
        </w:rPr>
      </w:pPr>
      <w:r>
        <w:rPr>
          <w:rFonts w:eastAsia="宋体"/>
          <w:color w:val="auto"/>
          <w:sz w:val="24"/>
          <w:highlight w:val="none"/>
        </w:rPr>
        <w:t>项目编号</w:t>
      </w:r>
      <w:r>
        <w:rPr>
          <w:rFonts w:hint="eastAsia"/>
          <w:color w:val="auto"/>
          <w:sz w:val="24"/>
          <w:highlight w:val="none"/>
          <w:lang w:val="en-US" w:eastAsia="zh-CN"/>
        </w:rPr>
        <w:t>/包号</w:t>
      </w:r>
      <w:r>
        <w:rPr>
          <w:rFonts w:eastAsia="宋体"/>
          <w:color w:val="auto"/>
          <w:sz w:val="24"/>
          <w:highlight w:val="none"/>
        </w:rPr>
        <w:t>：___________     项目名称：___________</w:t>
      </w:r>
    </w:p>
    <w:tbl>
      <w:tblPr>
        <w:tblStyle w:val="44"/>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2175"/>
        <w:gridCol w:w="1616"/>
        <w:gridCol w:w="1452"/>
        <w:gridCol w:w="2270"/>
        <w:gridCol w:w="2035"/>
      </w:tblGrid>
      <w:tr w14:paraId="6D1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2ADA62FB">
            <w:pPr>
              <w:shd w:val="clear"/>
              <w:tabs>
                <w:tab w:val="left" w:pos="5580"/>
              </w:tabs>
              <w:jc w:val="center"/>
              <w:rPr>
                <w:rFonts w:hint="eastAsia" w:eastAsia="宋体"/>
                <w:b/>
                <w:color w:val="auto"/>
                <w:sz w:val="24"/>
                <w:highlight w:val="none"/>
                <w:lang w:eastAsia="zh-CN"/>
              </w:rPr>
            </w:pPr>
            <w:r>
              <w:rPr>
                <w:rFonts w:hint="eastAsia"/>
                <w:b/>
                <w:color w:val="auto"/>
                <w:sz w:val="24"/>
                <w:highlight w:val="none"/>
                <w:lang w:val="en-US" w:eastAsia="zh-CN"/>
              </w:rPr>
              <w:t>包号</w:t>
            </w:r>
          </w:p>
        </w:tc>
        <w:tc>
          <w:tcPr>
            <w:tcW w:w="2175" w:type="dxa"/>
            <w:vMerge w:val="restart"/>
            <w:tcBorders>
              <w:top w:val="single" w:color="auto" w:sz="4" w:space="0"/>
              <w:left w:val="single" w:color="auto" w:sz="4" w:space="0"/>
              <w:bottom w:val="single" w:color="auto" w:sz="4" w:space="0"/>
              <w:right w:val="single" w:color="auto" w:sz="4" w:space="0"/>
            </w:tcBorders>
            <w:noWrap w:val="0"/>
            <w:vAlign w:val="center"/>
          </w:tcPr>
          <w:p w14:paraId="016C2318">
            <w:pPr>
              <w:shd w:val="clear"/>
              <w:tabs>
                <w:tab w:val="left" w:pos="5580"/>
              </w:tabs>
              <w:jc w:val="center"/>
              <w:rPr>
                <w:rFonts w:eastAsia="宋体"/>
                <w:b/>
                <w:color w:val="auto"/>
                <w:sz w:val="24"/>
                <w:highlight w:val="none"/>
              </w:rPr>
            </w:pPr>
            <w:r>
              <w:rPr>
                <w:rFonts w:hint="eastAsia" w:eastAsia="宋体"/>
                <w:b/>
                <w:color w:val="auto"/>
                <w:sz w:val="24"/>
                <w:highlight w:val="none"/>
              </w:rPr>
              <w:t>供应商名称</w:t>
            </w:r>
          </w:p>
        </w:tc>
        <w:tc>
          <w:tcPr>
            <w:tcW w:w="3068" w:type="dxa"/>
            <w:gridSpan w:val="2"/>
            <w:tcBorders>
              <w:top w:val="single" w:color="auto" w:sz="4" w:space="0"/>
              <w:left w:val="single" w:color="auto" w:sz="4" w:space="0"/>
              <w:bottom w:val="single" w:color="auto" w:sz="4" w:space="0"/>
              <w:right w:val="single" w:color="auto" w:sz="4" w:space="0"/>
            </w:tcBorders>
            <w:noWrap w:val="0"/>
            <w:vAlign w:val="center"/>
          </w:tcPr>
          <w:p w14:paraId="742AF6FE">
            <w:pPr>
              <w:shd w:val="clear"/>
              <w:tabs>
                <w:tab w:val="left" w:pos="5580"/>
              </w:tabs>
              <w:jc w:val="center"/>
              <w:rPr>
                <w:rFonts w:eastAsia="宋体"/>
                <w:b/>
                <w:color w:val="auto"/>
                <w:sz w:val="24"/>
                <w:highlight w:val="none"/>
              </w:rPr>
            </w:pPr>
            <w:r>
              <w:rPr>
                <w:rFonts w:hint="eastAsia" w:eastAsia="宋体"/>
                <w:b/>
                <w:color w:val="auto"/>
                <w:sz w:val="24"/>
                <w:highlight w:val="none"/>
              </w:rPr>
              <w:t>报价</w:t>
            </w:r>
          </w:p>
        </w:tc>
        <w:tc>
          <w:tcPr>
            <w:tcW w:w="2270" w:type="dxa"/>
            <w:vMerge w:val="restart"/>
            <w:tcBorders>
              <w:top w:val="single" w:color="auto" w:sz="4" w:space="0"/>
              <w:left w:val="single" w:color="auto" w:sz="4" w:space="0"/>
              <w:right w:val="single" w:color="auto" w:sz="4" w:space="0"/>
            </w:tcBorders>
            <w:noWrap w:val="0"/>
            <w:vAlign w:val="center"/>
          </w:tcPr>
          <w:p w14:paraId="1BF98391">
            <w:pPr>
              <w:shd w:val="clear"/>
              <w:tabs>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服务期限</w:t>
            </w:r>
          </w:p>
        </w:tc>
        <w:tc>
          <w:tcPr>
            <w:tcW w:w="2035" w:type="dxa"/>
            <w:vMerge w:val="restart"/>
            <w:tcBorders>
              <w:top w:val="single" w:color="auto" w:sz="4" w:space="0"/>
              <w:left w:val="single" w:color="auto" w:sz="4" w:space="0"/>
              <w:right w:val="single" w:color="auto" w:sz="4" w:space="0"/>
            </w:tcBorders>
            <w:noWrap w:val="0"/>
            <w:vAlign w:val="center"/>
          </w:tcPr>
          <w:p w14:paraId="2E69FBAE">
            <w:pPr>
              <w:shd w:val="clear"/>
              <w:tabs>
                <w:tab w:val="left" w:pos="5580"/>
              </w:tabs>
              <w:jc w:val="center"/>
              <w:rPr>
                <w:rFonts w:hint="default"/>
                <w:b/>
                <w:color w:val="auto"/>
                <w:sz w:val="24"/>
                <w:highlight w:val="none"/>
                <w:lang w:val="en-US" w:eastAsia="zh-CN"/>
              </w:rPr>
            </w:pPr>
            <w:r>
              <w:rPr>
                <w:rFonts w:hint="eastAsia"/>
                <w:b/>
                <w:color w:val="auto"/>
                <w:sz w:val="24"/>
                <w:highlight w:val="none"/>
                <w:lang w:val="en-US" w:eastAsia="zh-CN"/>
              </w:rPr>
              <w:t>服务地点</w:t>
            </w:r>
          </w:p>
        </w:tc>
      </w:tr>
      <w:tr w14:paraId="164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65FC5A40">
            <w:pPr>
              <w:widowControl/>
              <w:shd w:val="clear"/>
              <w:jc w:val="left"/>
              <w:rPr>
                <w:rFonts w:eastAsia="宋体"/>
                <w:b/>
                <w:color w:val="auto"/>
                <w:sz w:val="24"/>
                <w:highlight w:val="none"/>
              </w:rPr>
            </w:pPr>
          </w:p>
        </w:tc>
        <w:tc>
          <w:tcPr>
            <w:tcW w:w="2175" w:type="dxa"/>
            <w:vMerge w:val="continue"/>
            <w:tcBorders>
              <w:top w:val="single" w:color="auto" w:sz="4" w:space="0"/>
              <w:left w:val="single" w:color="auto" w:sz="4" w:space="0"/>
              <w:bottom w:val="single" w:color="auto" w:sz="4" w:space="0"/>
              <w:right w:val="single" w:color="auto" w:sz="4" w:space="0"/>
            </w:tcBorders>
            <w:noWrap w:val="0"/>
            <w:vAlign w:val="center"/>
          </w:tcPr>
          <w:p w14:paraId="64B9E835">
            <w:pPr>
              <w:widowControl/>
              <w:shd w:val="clear"/>
              <w:jc w:val="left"/>
              <w:rPr>
                <w:rFonts w:eastAsia="宋体"/>
                <w:b/>
                <w:color w:val="auto"/>
                <w:sz w:val="24"/>
                <w:highlight w:val="none"/>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2069A1D">
            <w:pPr>
              <w:shd w:val="clear"/>
              <w:tabs>
                <w:tab w:val="left" w:pos="5580"/>
              </w:tabs>
              <w:jc w:val="center"/>
              <w:rPr>
                <w:rFonts w:eastAsia="宋体"/>
                <w:b/>
                <w:color w:val="auto"/>
                <w:sz w:val="24"/>
                <w:highlight w:val="none"/>
              </w:rPr>
            </w:pPr>
            <w:r>
              <w:rPr>
                <w:rFonts w:hint="eastAsia" w:eastAsia="宋体"/>
                <w:b/>
                <w:color w:val="auto"/>
                <w:sz w:val="24"/>
                <w:highlight w:val="none"/>
              </w:rPr>
              <w:t>大写</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C9CE675">
            <w:pPr>
              <w:shd w:val="clear"/>
              <w:tabs>
                <w:tab w:val="left" w:pos="5580"/>
              </w:tabs>
              <w:jc w:val="center"/>
              <w:rPr>
                <w:rFonts w:eastAsia="宋体"/>
                <w:b/>
                <w:color w:val="auto"/>
                <w:sz w:val="24"/>
                <w:highlight w:val="none"/>
              </w:rPr>
            </w:pPr>
            <w:r>
              <w:rPr>
                <w:rFonts w:hint="eastAsia" w:eastAsia="宋体"/>
                <w:b/>
                <w:color w:val="auto"/>
                <w:sz w:val="24"/>
                <w:highlight w:val="none"/>
              </w:rPr>
              <w:t>小写</w:t>
            </w:r>
          </w:p>
        </w:tc>
        <w:tc>
          <w:tcPr>
            <w:tcW w:w="2270" w:type="dxa"/>
            <w:vMerge w:val="continue"/>
            <w:tcBorders>
              <w:left w:val="single" w:color="auto" w:sz="4" w:space="0"/>
              <w:bottom w:val="single" w:color="auto" w:sz="4" w:space="0"/>
              <w:right w:val="single" w:color="auto" w:sz="4" w:space="0"/>
            </w:tcBorders>
            <w:noWrap w:val="0"/>
            <w:vAlign w:val="center"/>
          </w:tcPr>
          <w:p w14:paraId="4BE84021">
            <w:pPr>
              <w:shd w:val="clear"/>
              <w:tabs>
                <w:tab w:val="left" w:pos="5580"/>
              </w:tabs>
              <w:jc w:val="center"/>
              <w:rPr>
                <w:rFonts w:hint="eastAsia" w:eastAsia="宋体"/>
                <w:b/>
                <w:color w:val="auto"/>
                <w:sz w:val="24"/>
                <w:highlight w:val="none"/>
              </w:rPr>
            </w:pPr>
          </w:p>
        </w:tc>
        <w:tc>
          <w:tcPr>
            <w:tcW w:w="2035" w:type="dxa"/>
            <w:vMerge w:val="continue"/>
            <w:tcBorders>
              <w:left w:val="single" w:color="auto" w:sz="4" w:space="0"/>
              <w:bottom w:val="single" w:color="auto" w:sz="4" w:space="0"/>
              <w:right w:val="single" w:color="auto" w:sz="4" w:space="0"/>
            </w:tcBorders>
            <w:noWrap w:val="0"/>
            <w:vAlign w:val="center"/>
          </w:tcPr>
          <w:p w14:paraId="02B985D1">
            <w:pPr>
              <w:shd w:val="clear"/>
              <w:tabs>
                <w:tab w:val="left" w:pos="5580"/>
              </w:tabs>
              <w:jc w:val="center"/>
              <w:rPr>
                <w:rFonts w:hint="eastAsia" w:eastAsia="宋体"/>
                <w:b/>
                <w:color w:val="auto"/>
                <w:sz w:val="24"/>
                <w:highlight w:val="none"/>
              </w:rPr>
            </w:pPr>
          </w:p>
        </w:tc>
      </w:tr>
      <w:tr w14:paraId="5794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8819153">
            <w:pPr>
              <w:shd w:val="clear"/>
              <w:tabs>
                <w:tab w:val="left" w:pos="5580"/>
              </w:tabs>
              <w:jc w:val="center"/>
              <w:rPr>
                <w:rFonts w:eastAsia="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2D3C74E">
            <w:pPr>
              <w:shd w:val="clear"/>
              <w:tabs>
                <w:tab w:val="left" w:pos="5580"/>
              </w:tabs>
              <w:jc w:val="center"/>
              <w:rPr>
                <w:rFonts w:eastAsia="宋体"/>
                <w:color w:val="auto"/>
                <w:sz w:val="24"/>
                <w:highlight w:val="none"/>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376A6B0">
            <w:pPr>
              <w:shd w:val="clear"/>
              <w:tabs>
                <w:tab w:val="left" w:pos="5580"/>
              </w:tabs>
              <w:jc w:val="center"/>
              <w:rPr>
                <w:rFonts w:eastAsia="宋体"/>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210225E5">
            <w:pPr>
              <w:shd w:val="clear"/>
              <w:tabs>
                <w:tab w:val="left" w:pos="5580"/>
              </w:tabs>
              <w:jc w:val="center"/>
              <w:rPr>
                <w:rFonts w:eastAsia="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487E309">
            <w:pPr>
              <w:shd w:val="clear"/>
              <w:tabs>
                <w:tab w:val="left" w:pos="5580"/>
              </w:tabs>
              <w:jc w:val="center"/>
              <w:rPr>
                <w:rFonts w:eastAsia="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A77BD4D">
            <w:pPr>
              <w:shd w:val="clear"/>
              <w:tabs>
                <w:tab w:val="left" w:pos="5580"/>
              </w:tabs>
              <w:jc w:val="center"/>
              <w:rPr>
                <w:rFonts w:eastAsia="宋体"/>
                <w:color w:val="auto"/>
                <w:sz w:val="24"/>
                <w:highlight w:val="none"/>
              </w:rPr>
            </w:pPr>
          </w:p>
        </w:tc>
      </w:tr>
    </w:tbl>
    <w:p w14:paraId="18095E6A">
      <w:pPr>
        <w:shd w:val="clear"/>
        <w:autoSpaceDE w:val="0"/>
        <w:autoSpaceDN w:val="0"/>
        <w:adjustRightInd w:val="0"/>
        <w:jc w:val="left"/>
        <w:rPr>
          <w:rFonts w:eastAsia="宋体"/>
          <w:color w:val="auto"/>
          <w:kern w:val="0"/>
          <w:sz w:val="24"/>
          <w:highlight w:val="none"/>
        </w:rPr>
      </w:pPr>
    </w:p>
    <w:p w14:paraId="35C0BCF1">
      <w:pPr>
        <w:shd w:val="clear"/>
        <w:autoSpaceDE w:val="0"/>
        <w:autoSpaceDN w:val="0"/>
        <w:adjustRightInd w:val="0"/>
        <w:jc w:val="left"/>
        <w:rPr>
          <w:rFonts w:eastAsia="宋体"/>
          <w:color w:val="auto"/>
          <w:sz w:val="24"/>
          <w:szCs w:val="20"/>
          <w:highlight w:val="none"/>
        </w:rPr>
      </w:pPr>
      <w:r>
        <w:rPr>
          <w:rFonts w:eastAsia="宋体"/>
          <w:color w:val="auto"/>
          <w:kern w:val="0"/>
          <w:sz w:val="24"/>
          <w:highlight w:val="none"/>
        </w:rPr>
        <w:t>注：1</w:t>
      </w:r>
      <w:r>
        <w:rPr>
          <w:rFonts w:eastAsia="宋体"/>
          <w:color w:val="auto"/>
          <w:sz w:val="24"/>
          <w:szCs w:val="20"/>
          <w:highlight w:val="none"/>
        </w:rPr>
        <w:t>.此表中，每包的报价应和《分项报价表》中的总价相一致。</w:t>
      </w:r>
    </w:p>
    <w:p w14:paraId="4C3B54CC">
      <w:pPr>
        <w:shd w:val="clear"/>
        <w:tabs>
          <w:tab w:val="left" w:pos="5580"/>
        </w:tabs>
        <w:ind w:firstLine="480" w:firstLineChars="200"/>
        <w:rPr>
          <w:rFonts w:eastAsia="宋体"/>
          <w:color w:val="auto"/>
          <w:sz w:val="24"/>
          <w:szCs w:val="20"/>
          <w:highlight w:val="none"/>
        </w:rPr>
      </w:pPr>
      <w:r>
        <w:rPr>
          <w:rFonts w:eastAsia="宋体"/>
          <w:color w:val="auto"/>
          <w:sz w:val="24"/>
          <w:szCs w:val="20"/>
          <w:highlight w:val="none"/>
        </w:rPr>
        <w:t>2.本表必须按包分别填写。</w:t>
      </w:r>
    </w:p>
    <w:p w14:paraId="345AF186">
      <w:pPr>
        <w:shd w:val="clear"/>
        <w:tabs>
          <w:tab w:val="left" w:pos="5580"/>
        </w:tabs>
        <w:ind w:firstLine="480" w:firstLineChars="200"/>
        <w:rPr>
          <w:rFonts w:eastAsia="宋体"/>
          <w:color w:val="auto"/>
          <w:sz w:val="24"/>
          <w:szCs w:val="20"/>
          <w:highlight w:val="none"/>
        </w:rPr>
      </w:pPr>
    </w:p>
    <w:p w14:paraId="7655B0E9">
      <w:pPr>
        <w:shd w:val="clear"/>
        <w:autoSpaceDE w:val="0"/>
        <w:autoSpaceDN w:val="0"/>
        <w:adjustRightInd w:val="0"/>
        <w:snapToGrid w:val="0"/>
        <w:spacing w:before="25" w:after="25" w:line="360" w:lineRule="auto"/>
        <w:rPr>
          <w:rFonts w:eastAsia="宋体"/>
          <w:color w:val="auto"/>
          <w:sz w:val="24"/>
          <w:highlight w:val="none"/>
          <w:lang w:val="zh-CN"/>
        </w:rPr>
      </w:pPr>
    </w:p>
    <w:p w14:paraId="643BE1D4">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lang w:val="zh-CN"/>
        </w:rPr>
        <w:t xml:space="preserve">   </w:t>
      </w:r>
    </w:p>
    <w:p w14:paraId="49D47D14">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___________</w:t>
      </w:r>
    </w:p>
    <w:p w14:paraId="5B98218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____年____月____日</w:t>
      </w:r>
    </w:p>
    <w:p w14:paraId="15AAB900">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  </w:t>
      </w:r>
    </w:p>
    <w:p w14:paraId="5367D5B0">
      <w:pPr>
        <w:widowControl/>
        <w:shd w:val="clear"/>
        <w:jc w:val="left"/>
        <w:rPr>
          <w:rFonts w:eastAsia="宋体"/>
          <w:color w:val="auto"/>
          <w:sz w:val="24"/>
          <w:szCs w:val="20"/>
          <w:highlight w:val="none"/>
        </w:rPr>
      </w:pPr>
      <w:bookmarkStart w:id="768" w:name="_Toc226309803"/>
      <w:bookmarkStart w:id="769" w:name="_Toc150774763"/>
      <w:bookmarkStart w:id="770" w:name="_Toc226965749"/>
      <w:bookmarkStart w:id="771" w:name="_Toc264969249"/>
      <w:bookmarkStart w:id="772" w:name="_Toc265228397"/>
      <w:bookmarkStart w:id="773" w:name="_Toc305158901"/>
      <w:bookmarkStart w:id="774" w:name="_Toc127151558"/>
      <w:bookmarkStart w:id="775" w:name="_Toc226337255"/>
      <w:bookmarkStart w:id="776" w:name="_Toc150480796"/>
      <w:bookmarkStart w:id="777" w:name="_Toc305158827"/>
      <w:bookmarkStart w:id="778" w:name="_Toc142311060"/>
      <w:bookmarkStart w:id="779" w:name="_Toc195842924"/>
      <w:bookmarkStart w:id="780" w:name="_Toc226965832"/>
      <w:r>
        <w:rPr>
          <w:rFonts w:eastAsia="宋体"/>
          <w:color w:val="auto"/>
          <w:sz w:val="24"/>
          <w:szCs w:val="20"/>
          <w:highlight w:val="none"/>
        </w:rPr>
        <w:br w:type="page"/>
      </w:r>
    </w:p>
    <w:p w14:paraId="29155698">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8  分项报价表</w:t>
      </w:r>
      <w:bookmarkEnd w:id="768"/>
      <w:bookmarkEnd w:id="769"/>
      <w:bookmarkEnd w:id="770"/>
      <w:bookmarkEnd w:id="771"/>
      <w:bookmarkEnd w:id="772"/>
      <w:bookmarkEnd w:id="773"/>
      <w:bookmarkEnd w:id="774"/>
      <w:bookmarkEnd w:id="775"/>
      <w:bookmarkEnd w:id="776"/>
      <w:bookmarkEnd w:id="777"/>
      <w:bookmarkEnd w:id="778"/>
      <w:bookmarkEnd w:id="779"/>
      <w:bookmarkEnd w:id="780"/>
    </w:p>
    <w:p w14:paraId="52D84890">
      <w:pPr>
        <w:shd w:val="clear"/>
        <w:tabs>
          <w:tab w:val="left" w:pos="1800"/>
          <w:tab w:val="left" w:pos="5580"/>
        </w:tabs>
        <w:rPr>
          <w:rFonts w:eastAsia="宋体"/>
          <w:color w:val="auto"/>
          <w:sz w:val="24"/>
          <w:highlight w:val="none"/>
        </w:rPr>
      </w:pPr>
      <w:r>
        <w:rPr>
          <w:rFonts w:eastAsia="宋体"/>
          <w:color w:val="auto"/>
          <w:sz w:val="24"/>
          <w:highlight w:val="none"/>
        </w:rPr>
        <w:t>项目编号/包号：_________ 项目名称：_________报价单位：人民币元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14D2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39FEEF87">
            <w:pPr>
              <w:shd w:val="clear"/>
              <w:adjustRightInd w:val="0"/>
              <w:snapToGrid w:val="0"/>
              <w:jc w:val="left"/>
              <w:rPr>
                <w:rFonts w:eastAsia="宋体"/>
                <w:b/>
                <w:color w:val="auto"/>
                <w:sz w:val="24"/>
                <w:highlight w:val="none"/>
              </w:rPr>
            </w:pPr>
            <w:r>
              <w:rPr>
                <w:rFonts w:eastAsia="宋体"/>
                <w:b/>
                <w:color w:val="auto"/>
                <w:sz w:val="24"/>
                <w:highlight w:val="none"/>
              </w:rPr>
              <w:t>序号</w:t>
            </w:r>
          </w:p>
        </w:tc>
        <w:tc>
          <w:tcPr>
            <w:tcW w:w="3401" w:type="dxa"/>
            <w:noWrap w:val="0"/>
            <w:vAlign w:val="center"/>
          </w:tcPr>
          <w:p w14:paraId="1D5C0A66">
            <w:pPr>
              <w:shd w:val="clear"/>
              <w:adjustRightInd w:val="0"/>
              <w:snapToGrid w:val="0"/>
              <w:jc w:val="left"/>
              <w:rPr>
                <w:rFonts w:eastAsia="宋体"/>
                <w:b/>
                <w:color w:val="auto"/>
                <w:sz w:val="24"/>
                <w:highlight w:val="none"/>
              </w:rPr>
            </w:pPr>
            <w:r>
              <w:rPr>
                <w:rFonts w:eastAsia="宋体"/>
                <w:b/>
                <w:color w:val="auto"/>
                <w:sz w:val="24"/>
                <w:highlight w:val="none"/>
              </w:rPr>
              <w:t>分项名称</w:t>
            </w:r>
          </w:p>
        </w:tc>
        <w:tc>
          <w:tcPr>
            <w:tcW w:w="1562" w:type="dxa"/>
            <w:noWrap w:val="0"/>
            <w:vAlign w:val="center"/>
          </w:tcPr>
          <w:p w14:paraId="58A2D2A3">
            <w:pPr>
              <w:shd w:val="clear"/>
              <w:adjustRightInd w:val="0"/>
              <w:snapToGrid w:val="0"/>
              <w:jc w:val="left"/>
              <w:rPr>
                <w:rFonts w:eastAsia="宋体"/>
                <w:b/>
                <w:color w:val="auto"/>
                <w:sz w:val="24"/>
                <w:highlight w:val="none"/>
              </w:rPr>
            </w:pPr>
            <w:r>
              <w:rPr>
                <w:rFonts w:eastAsia="宋体"/>
                <w:b/>
                <w:color w:val="auto"/>
                <w:sz w:val="24"/>
                <w:highlight w:val="none"/>
              </w:rPr>
              <w:t>单价（元）</w:t>
            </w:r>
          </w:p>
        </w:tc>
        <w:tc>
          <w:tcPr>
            <w:tcW w:w="1560" w:type="dxa"/>
            <w:noWrap w:val="0"/>
            <w:vAlign w:val="center"/>
          </w:tcPr>
          <w:p w14:paraId="40496926">
            <w:pPr>
              <w:shd w:val="clear"/>
              <w:adjustRightInd w:val="0"/>
              <w:snapToGrid w:val="0"/>
              <w:jc w:val="left"/>
              <w:rPr>
                <w:rFonts w:eastAsia="宋体"/>
                <w:b/>
                <w:color w:val="auto"/>
                <w:sz w:val="24"/>
                <w:highlight w:val="none"/>
              </w:rPr>
            </w:pPr>
            <w:r>
              <w:rPr>
                <w:rFonts w:eastAsia="宋体"/>
                <w:b/>
                <w:color w:val="auto"/>
                <w:sz w:val="24"/>
                <w:highlight w:val="none"/>
              </w:rPr>
              <w:t>合价（元）</w:t>
            </w:r>
          </w:p>
        </w:tc>
        <w:tc>
          <w:tcPr>
            <w:tcW w:w="1982" w:type="dxa"/>
            <w:noWrap w:val="0"/>
            <w:vAlign w:val="center"/>
          </w:tcPr>
          <w:p w14:paraId="039F31EE">
            <w:pPr>
              <w:shd w:val="clear"/>
              <w:adjustRightInd w:val="0"/>
              <w:snapToGrid w:val="0"/>
              <w:jc w:val="left"/>
              <w:rPr>
                <w:rFonts w:eastAsia="宋体"/>
                <w:b/>
                <w:color w:val="auto"/>
                <w:sz w:val="24"/>
                <w:highlight w:val="none"/>
              </w:rPr>
            </w:pPr>
            <w:r>
              <w:rPr>
                <w:rFonts w:eastAsia="宋体"/>
                <w:b/>
                <w:color w:val="auto"/>
                <w:sz w:val="24"/>
                <w:highlight w:val="none"/>
              </w:rPr>
              <w:t>备注/说明</w:t>
            </w:r>
          </w:p>
        </w:tc>
      </w:tr>
      <w:tr w14:paraId="01C6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6A76B078">
            <w:pPr>
              <w:shd w:val="clear"/>
              <w:adjustRightInd w:val="0"/>
              <w:snapToGrid w:val="0"/>
              <w:jc w:val="center"/>
              <w:rPr>
                <w:rFonts w:eastAsia="宋体"/>
                <w:color w:val="auto"/>
                <w:sz w:val="24"/>
                <w:highlight w:val="none"/>
              </w:rPr>
            </w:pPr>
            <w:r>
              <w:rPr>
                <w:rFonts w:eastAsia="宋体"/>
                <w:color w:val="auto"/>
                <w:sz w:val="24"/>
                <w:highlight w:val="none"/>
              </w:rPr>
              <w:t>1</w:t>
            </w:r>
          </w:p>
        </w:tc>
        <w:tc>
          <w:tcPr>
            <w:tcW w:w="3401" w:type="dxa"/>
            <w:noWrap w:val="0"/>
            <w:vAlign w:val="center"/>
          </w:tcPr>
          <w:p w14:paraId="2A9279DC">
            <w:pPr>
              <w:shd w:val="clear"/>
              <w:adjustRightInd w:val="0"/>
              <w:snapToGrid w:val="0"/>
              <w:jc w:val="left"/>
              <w:rPr>
                <w:rFonts w:eastAsia="宋体"/>
                <w:color w:val="auto"/>
                <w:sz w:val="24"/>
                <w:highlight w:val="none"/>
              </w:rPr>
            </w:pPr>
          </w:p>
        </w:tc>
        <w:tc>
          <w:tcPr>
            <w:tcW w:w="1562" w:type="dxa"/>
            <w:noWrap w:val="0"/>
            <w:vAlign w:val="center"/>
          </w:tcPr>
          <w:p w14:paraId="1BB51847">
            <w:pPr>
              <w:shd w:val="clear"/>
              <w:adjustRightInd w:val="0"/>
              <w:snapToGrid w:val="0"/>
              <w:jc w:val="left"/>
              <w:rPr>
                <w:rFonts w:eastAsia="宋体"/>
                <w:color w:val="auto"/>
                <w:sz w:val="24"/>
                <w:highlight w:val="none"/>
              </w:rPr>
            </w:pPr>
          </w:p>
        </w:tc>
        <w:tc>
          <w:tcPr>
            <w:tcW w:w="1560" w:type="dxa"/>
            <w:noWrap w:val="0"/>
            <w:vAlign w:val="center"/>
          </w:tcPr>
          <w:p w14:paraId="039DBED2">
            <w:pPr>
              <w:shd w:val="clear"/>
              <w:adjustRightInd w:val="0"/>
              <w:snapToGrid w:val="0"/>
              <w:jc w:val="left"/>
              <w:rPr>
                <w:rFonts w:eastAsia="宋体"/>
                <w:color w:val="auto"/>
                <w:sz w:val="24"/>
                <w:highlight w:val="none"/>
              </w:rPr>
            </w:pPr>
          </w:p>
        </w:tc>
        <w:tc>
          <w:tcPr>
            <w:tcW w:w="1982" w:type="dxa"/>
            <w:noWrap w:val="0"/>
            <w:vAlign w:val="center"/>
          </w:tcPr>
          <w:p w14:paraId="415EB0FD">
            <w:pPr>
              <w:shd w:val="clear"/>
              <w:adjustRightInd w:val="0"/>
              <w:snapToGrid w:val="0"/>
              <w:jc w:val="left"/>
              <w:rPr>
                <w:rFonts w:eastAsia="宋体"/>
                <w:color w:val="auto"/>
                <w:sz w:val="24"/>
                <w:highlight w:val="none"/>
              </w:rPr>
            </w:pPr>
          </w:p>
        </w:tc>
      </w:tr>
      <w:tr w14:paraId="3022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59272812">
            <w:pPr>
              <w:shd w:val="clear"/>
              <w:adjustRightInd w:val="0"/>
              <w:snapToGrid w:val="0"/>
              <w:jc w:val="center"/>
              <w:rPr>
                <w:rFonts w:eastAsia="宋体"/>
                <w:color w:val="auto"/>
                <w:sz w:val="24"/>
                <w:highlight w:val="none"/>
              </w:rPr>
            </w:pPr>
            <w:r>
              <w:rPr>
                <w:rFonts w:eastAsia="宋体"/>
                <w:color w:val="auto"/>
                <w:sz w:val="24"/>
                <w:highlight w:val="none"/>
              </w:rPr>
              <w:t>2</w:t>
            </w:r>
          </w:p>
        </w:tc>
        <w:tc>
          <w:tcPr>
            <w:tcW w:w="3401" w:type="dxa"/>
            <w:noWrap w:val="0"/>
            <w:vAlign w:val="center"/>
          </w:tcPr>
          <w:p w14:paraId="3B22A4DD">
            <w:pPr>
              <w:shd w:val="clear"/>
              <w:adjustRightInd w:val="0"/>
              <w:snapToGrid w:val="0"/>
              <w:jc w:val="left"/>
              <w:rPr>
                <w:rFonts w:eastAsia="宋体"/>
                <w:color w:val="auto"/>
                <w:sz w:val="24"/>
                <w:highlight w:val="none"/>
              </w:rPr>
            </w:pPr>
          </w:p>
        </w:tc>
        <w:tc>
          <w:tcPr>
            <w:tcW w:w="1562" w:type="dxa"/>
            <w:noWrap w:val="0"/>
            <w:vAlign w:val="center"/>
          </w:tcPr>
          <w:p w14:paraId="3089CC93">
            <w:pPr>
              <w:shd w:val="clear"/>
              <w:adjustRightInd w:val="0"/>
              <w:snapToGrid w:val="0"/>
              <w:jc w:val="left"/>
              <w:rPr>
                <w:rFonts w:eastAsia="宋体"/>
                <w:color w:val="auto"/>
                <w:sz w:val="24"/>
                <w:highlight w:val="none"/>
              </w:rPr>
            </w:pPr>
          </w:p>
        </w:tc>
        <w:tc>
          <w:tcPr>
            <w:tcW w:w="1560" w:type="dxa"/>
            <w:noWrap w:val="0"/>
            <w:vAlign w:val="center"/>
          </w:tcPr>
          <w:p w14:paraId="3C749142">
            <w:pPr>
              <w:shd w:val="clear"/>
              <w:adjustRightInd w:val="0"/>
              <w:snapToGrid w:val="0"/>
              <w:jc w:val="left"/>
              <w:rPr>
                <w:rFonts w:eastAsia="宋体"/>
                <w:color w:val="auto"/>
                <w:sz w:val="24"/>
                <w:highlight w:val="none"/>
              </w:rPr>
            </w:pPr>
          </w:p>
        </w:tc>
        <w:tc>
          <w:tcPr>
            <w:tcW w:w="1982" w:type="dxa"/>
            <w:noWrap w:val="0"/>
            <w:vAlign w:val="center"/>
          </w:tcPr>
          <w:p w14:paraId="2A385D24">
            <w:pPr>
              <w:shd w:val="clear"/>
              <w:adjustRightInd w:val="0"/>
              <w:snapToGrid w:val="0"/>
              <w:jc w:val="left"/>
              <w:rPr>
                <w:rFonts w:eastAsia="宋体"/>
                <w:color w:val="auto"/>
                <w:sz w:val="24"/>
                <w:highlight w:val="none"/>
              </w:rPr>
            </w:pPr>
          </w:p>
        </w:tc>
      </w:tr>
      <w:tr w14:paraId="5CCD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15D8C1ED">
            <w:pPr>
              <w:shd w:val="clear"/>
              <w:adjustRightInd w:val="0"/>
              <w:snapToGrid w:val="0"/>
              <w:jc w:val="center"/>
              <w:rPr>
                <w:rFonts w:eastAsia="宋体"/>
                <w:color w:val="auto"/>
                <w:sz w:val="24"/>
                <w:highlight w:val="none"/>
              </w:rPr>
            </w:pPr>
            <w:r>
              <w:rPr>
                <w:rFonts w:eastAsia="宋体"/>
                <w:color w:val="auto"/>
                <w:sz w:val="24"/>
                <w:highlight w:val="none"/>
              </w:rPr>
              <w:t>3</w:t>
            </w:r>
          </w:p>
        </w:tc>
        <w:tc>
          <w:tcPr>
            <w:tcW w:w="3401" w:type="dxa"/>
            <w:noWrap w:val="0"/>
            <w:vAlign w:val="center"/>
          </w:tcPr>
          <w:p w14:paraId="3EFFCDA2">
            <w:pPr>
              <w:shd w:val="clear"/>
              <w:adjustRightInd w:val="0"/>
              <w:snapToGrid w:val="0"/>
              <w:jc w:val="left"/>
              <w:rPr>
                <w:rFonts w:eastAsia="宋体"/>
                <w:color w:val="auto"/>
                <w:sz w:val="24"/>
                <w:highlight w:val="none"/>
              </w:rPr>
            </w:pPr>
            <w:r>
              <w:rPr>
                <w:rFonts w:eastAsia="宋体"/>
                <w:color w:val="auto"/>
                <w:sz w:val="24"/>
                <w:highlight w:val="none"/>
              </w:rPr>
              <w:t>…</w:t>
            </w:r>
          </w:p>
        </w:tc>
        <w:tc>
          <w:tcPr>
            <w:tcW w:w="1562" w:type="dxa"/>
            <w:noWrap w:val="0"/>
            <w:vAlign w:val="center"/>
          </w:tcPr>
          <w:p w14:paraId="6299C584">
            <w:pPr>
              <w:shd w:val="clear"/>
              <w:adjustRightInd w:val="0"/>
              <w:snapToGrid w:val="0"/>
              <w:jc w:val="left"/>
              <w:rPr>
                <w:rFonts w:eastAsia="宋体"/>
                <w:color w:val="auto"/>
                <w:sz w:val="24"/>
                <w:highlight w:val="none"/>
              </w:rPr>
            </w:pPr>
          </w:p>
        </w:tc>
        <w:tc>
          <w:tcPr>
            <w:tcW w:w="1560" w:type="dxa"/>
            <w:noWrap w:val="0"/>
            <w:vAlign w:val="center"/>
          </w:tcPr>
          <w:p w14:paraId="3DF05E8F">
            <w:pPr>
              <w:shd w:val="clear"/>
              <w:adjustRightInd w:val="0"/>
              <w:snapToGrid w:val="0"/>
              <w:jc w:val="left"/>
              <w:rPr>
                <w:rFonts w:eastAsia="宋体"/>
                <w:color w:val="auto"/>
                <w:sz w:val="24"/>
                <w:highlight w:val="none"/>
              </w:rPr>
            </w:pPr>
          </w:p>
        </w:tc>
        <w:tc>
          <w:tcPr>
            <w:tcW w:w="1982" w:type="dxa"/>
            <w:noWrap w:val="0"/>
            <w:vAlign w:val="center"/>
          </w:tcPr>
          <w:p w14:paraId="31C2CFFC">
            <w:pPr>
              <w:shd w:val="clear"/>
              <w:adjustRightInd w:val="0"/>
              <w:snapToGrid w:val="0"/>
              <w:jc w:val="left"/>
              <w:rPr>
                <w:rFonts w:eastAsia="宋体"/>
                <w:color w:val="auto"/>
                <w:sz w:val="24"/>
                <w:highlight w:val="none"/>
              </w:rPr>
            </w:pPr>
          </w:p>
        </w:tc>
      </w:tr>
      <w:tr w14:paraId="0A70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noWrap w:val="0"/>
            <w:vAlign w:val="center"/>
          </w:tcPr>
          <w:p w14:paraId="38CC2F80">
            <w:pPr>
              <w:shd w:val="clear"/>
              <w:adjustRightInd w:val="0"/>
              <w:snapToGrid w:val="0"/>
              <w:jc w:val="left"/>
              <w:rPr>
                <w:rFonts w:eastAsia="宋体"/>
                <w:color w:val="auto"/>
                <w:sz w:val="24"/>
                <w:highlight w:val="none"/>
              </w:rPr>
            </w:pPr>
            <w:r>
              <w:rPr>
                <w:rFonts w:eastAsia="宋体"/>
                <w:color w:val="auto"/>
                <w:sz w:val="24"/>
                <w:highlight w:val="none"/>
              </w:rPr>
              <w:t>总价（元）</w:t>
            </w:r>
          </w:p>
        </w:tc>
        <w:tc>
          <w:tcPr>
            <w:tcW w:w="1560" w:type="dxa"/>
            <w:noWrap w:val="0"/>
            <w:vAlign w:val="center"/>
          </w:tcPr>
          <w:p w14:paraId="184A090B">
            <w:pPr>
              <w:shd w:val="clear"/>
              <w:adjustRightInd w:val="0"/>
              <w:snapToGrid w:val="0"/>
              <w:jc w:val="left"/>
              <w:rPr>
                <w:rFonts w:eastAsia="宋体"/>
                <w:color w:val="auto"/>
                <w:sz w:val="24"/>
                <w:highlight w:val="none"/>
              </w:rPr>
            </w:pPr>
          </w:p>
        </w:tc>
        <w:tc>
          <w:tcPr>
            <w:tcW w:w="1982" w:type="dxa"/>
            <w:noWrap w:val="0"/>
            <w:vAlign w:val="center"/>
          </w:tcPr>
          <w:p w14:paraId="319906EA">
            <w:pPr>
              <w:shd w:val="clear"/>
              <w:adjustRightInd w:val="0"/>
              <w:snapToGrid w:val="0"/>
              <w:jc w:val="left"/>
              <w:rPr>
                <w:rFonts w:eastAsia="宋体"/>
                <w:color w:val="auto"/>
                <w:sz w:val="24"/>
                <w:highlight w:val="none"/>
              </w:rPr>
            </w:pPr>
          </w:p>
        </w:tc>
      </w:tr>
    </w:tbl>
    <w:p w14:paraId="514D518D">
      <w:pPr>
        <w:shd w:val="clear"/>
        <w:tabs>
          <w:tab w:val="left" w:pos="1800"/>
          <w:tab w:val="left" w:pos="5580"/>
        </w:tabs>
        <w:jc w:val="left"/>
        <w:rPr>
          <w:rFonts w:eastAsia="宋体"/>
          <w:color w:val="auto"/>
          <w:sz w:val="24"/>
          <w:highlight w:val="none"/>
        </w:rPr>
      </w:pPr>
    </w:p>
    <w:p w14:paraId="24038197">
      <w:pPr>
        <w:shd w:val="clear"/>
        <w:tabs>
          <w:tab w:val="left" w:pos="1800"/>
          <w:tab w:val="left" w:pos="5580"/>
        </w:tabs>
        <w:jc w:val="left"/>
        <w:rPr>
          <w:rFonts w:eastAsia="宋体"/>
          <w:color w:val="auto"/>
          <w:sz w:val="24"/>
          <w:highlight w:val="none"/>
        </w:rPr>
      </w:pPr>
    </w:p>
    <w:p w14:paraId="647E6B77">
      <w:pPr>
        <w:shd w:val="clear"/>
        <w:tabs>
          <w:tab w:val="left" w:pos="1800"/>
          <w:tab w:val="left" w:pos="5580"/>
        </w:tabs>
        <w:jc w:val="left"/>
        <w:rPr>
          <w:rFonts w:eastAsia="宋体"/>
          <w:color w:val="auto"/>
          <w:sz w:val="24"/>
          <w:highlight w:val="none"/>
        </w:rPr>
      </w:pPr>
    </w:p>
    <w:p w14:paraId="6C4048E7">
      <w:pPr>
        <w:shd w:val="clear"/>
        <w:tabs>
          <w:tab w:val="left" w:pos="1800"/>
          <w:tab w:val="left" w:pos="5580"/>
        </w:tabs>
        <w:jc w:val="left"/>
        <w:rPr>
          <w:rFonts w:eastAsia="宋体"/>
          <w:color w:val="auto"/>
          <w:sz w:val="24"/>
          <w:highlight w:val="none"/>
        </w:rPr>
      </w:pPr>
    </w:p>
    <w:p w14:paraId="4227C087">
      <w:pPr>
        <w:shd w:val="clear"/>
        <w:tabs>
          <w:tab w:val="left" w:pos="1800"/>
          <w:tab w:val="left" w:pos="5580"/>
        </w:tabs>
        <w:jc w:val="left"/>
        <w:rPr>
          <w:rFonts w:eastAsia="宋体"/>
          <w:color w:val="auto"/>
          <w:sz w:val="24"/>
          <w:highlight w:val="none"/>
        </w:rPr>
      </w:pPr>
      <w:r>
        <w:rPr>
          <w:rFonts w:eastAsia="宋体"/>
          <w:color w:val="auto"/>
          <w:sz w:val="24"/>
          <w:highlight w:val="none"/>
        </w:rPr>
        <w:t>注：1.本表应按包分别填写</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eastAsia="宋体"/>
          <w:color w:val="auto"/>
          <w:sz w:val="24"/>
          <w:highlight w:val="none"/>
        </w:rPr>
        <w:t>。</w:t>
      </w:r>
    </w:p>
    <w:p w14:paraId="520D69FA">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2.如果不提供分项报价将视为没有实质性响应竞争性磋商文件。</w:t>
      </w:r>
    </w:p>
    <w:p w14:paraId="4E193865">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3.上述各项的详细规格（如有），可另页描述。</w:t>
      </w:r>
    </w:p>
    <w:p w14:paraId="32845FD1">
      <w:pPr>
        <w:shd w:val="clear"/>
        <w:autoSpaceDE w:val="0"/>
        <w:autoSpaceDN w:val="0"/>
        <w:adjustRightInd w:val="0"/>
        <w:snapToGrid w:val="0"/>
        <w:spacing w:before="25" w:after="25" w:line="360" w:lineRule="auto"/>
        <w:rPr>
          <w:rFonts w:eastAsia="宋体"/>
          <w:color w:val="auto"/>
          <w:sz w:val="24"/>
          <w:highlight w:val="none"/>
        </w:rPr>
      </w:pPr>
    </w:p>
    <w:p w14:paraId="6C02744D">
      <w:pPr>
        <w:shd w:val="clear"/>
        <w:autoSpaceDE w:val="0"/>
        <w:autoSpaceDN w:val="0"/>
        <w:adjustRightInd w:val="0"/>
        <w:snapToGrid w:val="0"/>
        <w:spacing w:before="25" w:after="25" w:line="360" w:lineRule="auto"/>
        <w:rPr>
          <w:rFonts w:eastAsia="宋体"/>
          <w:color w:val="auto"/>
          <w:sz w:val="24"/>
          <w:highlight w:val="none"/>
        </w:rPr>
      </w:pPr>
    </w:p>
    <w:p w14:paraId="76DBE975">
      <w:pPr>
        <w:shd w:val="clear"/>
        <w:autoSpaceDE w:val="0"/>
        <w:autoSpaceDN w:val="0"/>
        <w:adjustRightInd w:val="0"/>
        <w:snapToGrid w:val="0"/>
        <w:spacing w:before="25" w:after="25" w:line="360" w:lineRule="auto"/>
        <w:ind w:right="360"/>
        <w:jc w:val="lef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1A5F1745">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日期：____年____月____日  </w:t>
      </w:r>
    </w:p>
    <w:p w14:paraId="476988CA">
      <w:pPr>
        <w:shd w:val="clear"/>
        <w:tabs>
          <w:tab w:val="left" w:pos="360"/>
        </w:tabs>
        <w:snapToGrid w:val="0"/>
        <w:spacing w:line="360" w:lineRule="auto"/>
        <w:outlineLvl w:val="1"/>
        <w:rPr>
          <w:rFonts w:eastAsia="宋体"/>
          <w:color w:val="auto"/>
          <w:sz w:val="24"/>
          <w:szCs w:val="20"/>
          <w:highlight w:val="none"/>
        </w:rPr>
      </w:pPr>
      <w:bookmarkStart w:id="781" w:name="_Toc226965752"/>
      <w:bookmarkStart w:id="782" w:name="_Toc142311062"/>
      <w:bookmarkStart w:id="783" w:name="_Toc226965835"/>
      <w:bookmarkStart w:id="784" w:name="_Toc305158904"/>
      <w:bookmarkStart w:id="785" w:name="_Toc195842927"/>
      <w:bookmarkStart w:id="786" w:name="_Toc150774765"/>
      <w:bookmarkStart w:id="787" w:name="_Toc150480798"/>
      <w:bookmarkStart w:id="788" w:name="_Toc305158830"/>
      <w:bookmarkStart w:id="789" w:name="_Toc226337258"/>
      <w:bookmarkStart w:id="790" w:name="_Toc226309806"/>
      <w:bookmarkStart w:id="791" w:name="_Toc264969252"/>
      <w:bookmarkStart w:id="792" w:name="_Toc265228400"/>
      <w:bookmarkStart w:id="793" w:name="_Toc127151562"/>
      <w:bookmarkStart w:id="794" w:name="_Toc150774764"/>
      <w:bookmarkStart w:id="795" w:name="_Toc265228399"/>
      <w:bookmarkStart w:id="796" w:name="_Toc305158903"/>
      <w:bookmarkStart w:id="797" w:name="_Toc127151561"/>
      <w:bookmarkStart w:id="798" w:name="_Toc264969251"/>
      <w:bookmarkStart w:id="799" w:name="_Toc226337257"/>
      <w:bookmarkStart w:id="800" w:name="_Toc226309805"/>
      <w:bookmarkStart w:id="801" w:name="_Toc226965751"/>
      <w:bookmarkStart w:id="802" w:name="_Toc142311061"/>
      <w:bookmarkStart w:id="803" w:name="_Toc305158829"/>
      <w:bookmarkStart w:id="804" w:name="_Toc150480797"/>
      <w:bookmarkStart w:id="805" w:name="_Toc226965834"/>
      <w:bookmarkStart w:id="806" w:name="_Toc195842926"/>
      <w:r>
        <w:rPr>
          <w:rFonts w:eastAsia="宋体"/>
          <w:color w:val="auto"/>
          <w:sz w:val="24"/>
          <w:szCs w:val="20"/>
          <w:highlight w:val="none"/>
        </w:rPr>
        <w:br w:type="page"/>
      </w:r>
      <w:r>
        <w:rPr>
          <w:rFonts w:eastAsia="宋体"/>
          <w:color w:val="auto"/>
          <w:sz w:val="24"/>
          <w:highlight w:val="none"/>
        </w:rPr>
        <w:t>9  合同条款偏离表</w:t>
      </w:r>
      <w:bookmarkEnd w:id="781"/>
      <w:bookmarkEnd w:id="782"/>
      <w:bookmarkEnd w:id="783"/>
      <w:bookmarkEnd w:id="784"/>
      <w:bookmarkEnd w:id="785"/>
      <w:bookmarkEnd w:id="786"/>
      <w:bookmarkEnd w:id="787"/>
      <w:bookmarkEnd w:id="788"/>
      <w:bookmarkEnd w:id="789"/>
      <w:bookmarkEnd w:id="790"/>
      <w:bookmarkEnd w:id="791"/>
      <w:bookmarkEnd w:id="792"/>
      <w:bookmarkEnd w:id="793"/>
    </w:p>
    <w:p w14:paraId="248B4012">
      <w:pPr>
        <w:shd w:val="clear"/>
        <w:spacing w:line="360" w:lineRule="auto"/>
        <w:rPr>
          <w:rFonts w:eastAsia="宋体"/>
          <w:color w:val="auto"/>
          <w:sz w:val="24"/>
          <w:szCs w:val="20"/>
          <w:highlight w:val="none"/>
        </w:rPr>
      </w:pPr>
    </w:p>
    <w:p w14:paraId="63F79E16">
      <w:pPr>
        <w:shd w:val="clear"/>
        <w:tabs>
          <w:tab w:val="left" w:pos="2775"/>
          <w:tab w:val="center" w:pos="4153"/>
        </w:tabs>
        <w:autoSpaceDE w:val="0"/>
        <w:autoSpaceDN w:val="0"/>
        <w:adjustRightInd w:val="0"/>
        <w:spacing w:line="360" w:lineRule="auto"/>
        <w:jc w:val="left"/>
        <w:rPr>
          <w:rFonts w:eastAsia="宋体"/>
          <w:b/>
          <w:color w:val="auto"/>
          <w:sz w:val="36"/>
          <w:szCs w:val="36"/>
          <w:highlight w:val="none"/>
        </w:rPr>
      </w:pPr>
      <w:r>
        <w:rPr>
          <w:rFonts w:eastAsia="宋体"/>
          <w:color w:val="auto"/>
          <w:sz w:val="36"/>
          <w:szCs w:val="36"/>
          <w:highlight w:val="none"/>
        </w:rPr>
        <w:tab/>
      </w:r>
      <w:r>
        <w:rPr>
          <w:rFonts w:eastAsia="宋体"/>
          <w:b/>
          <w:color w:val="auto"/>
          <w:sz w:val="36"/>
          <w:szCs w:val="36"/>
          <w:highlight w:val="none"/>
        </w:rPr>
        <w:tab/>
      </w:r>
      <w:r>
        <w:rPr>
          <w:rFonts w:hint="eastAsia" w:eastAsia="宋体"/>
          <w:b/>
          <w:color w:val="auto"/>
          <w:sz w:val="36"/>
          <w:szCs w:val="36"/>
          <w:highlight w:val="none"/>
        </w:rPr>
        <w:t>合同条款偏离表</w:t>
      </w:r>
    </w:p>
    <w:p w14:paraId="2E9A180C">
      <w:pPr>
        <w:shd w:val="clear"/>
        <w:spacing w:line="360" w:lineRule="auto"/>
        <w:rPr>
          <w:rFonts w:eastAsia="宋体"/>
          <w:color w:val="auto"/>
          <w:sz w:val="24"/>
          <w:szCs w:val="20"/>
          <w:highlight w:val="none"/>
        </w:rPr>
      </w:pPr>
    </w:p>
    <w:p w14:paraId="5A3410BA">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90"/>
        <w:gridCol w:w="1980"/>
        <w:gridCol w:w="1981"/>
        <w:gridCol w:w="2427"/>
        <w:gridCol w:w="783"/>
      </w:tblGrid>
      <w:tr w14:paraId="697B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0B7940E7">
            <w:pPr>
              <w:shd w:val="clear"/>
              <w:adjustRightInd w:val="0"/>
              <w:snapToGrid w:val="0"/>
              <w:jc w:val="left"/>
              <w:rPr>
                <w:rFonts w:eastAsia="宋体"/>
                <w:b/>
                <w:color w:val="auto"/>
                <w:sz w:val="24"/>
                <w:highlight w:val="none"/>
              </w:rPr>
            </w:pPr>
            <w:r>
              <w:rPr>
                <w:rFonts w:hint="eastAsia"/>
                <w:b/>
                <w:color w:val="auto"/>
                <w:sz w:val="24"/>
                <w:highlight w:val="none"/>
              </w:rPr>
              <w:t>对本项目合同条款的偏离情况（请进行勾选）：</w:t>
            </w:r>
          </w:p>
          <w:p w14:paraId="33163D28">
            <w:pPr>
              <w:shd w:val="clear"/>
              <w:adjustRightInd w:val="0"/>
              <w:snapToGrid w:val="0"/>
              <w:jc w:val="left"/>
              <w:rPr>
                <w:rFonts w:eastAsia="宋体"/>
                <w:b/>
                <w:color w:val="auto"/>
                <w:sz w:val="24"/>
                <w:highlight w:val="none"/>
              </w:rPr>
            </w:pPr>
            <w:r>
              <w:rPr>
                <w:rFonts w:hint="eastAsia"/>
                <w:b/>
                <w:color w:val="auto"/>
                <w:sz w:val="24"/>
                <w:highlight w:val="none"/>
                <w:lang w:eastAsia="zh-CN"/>
              </w:rPr>
              <w:t>□</w:t>
            </w:r>
            <w:r>
              <w:rPr>
                <w:rFonts w:eastAsia="宋体"/>
                <w:b/>
                <w:color w:val="auto"/>
                <w:sz w:val="24"/>
                <w:highlight w:val="none"/>
              </w:rPr>
              <w:t>无偏离</w:t>
            </w:r>
            <w:r>
              <w:rPr>
                <w:rFonts w:eastAsia="宋体"/>
                <w:color w:val="auto"/>
                <w:sz w:val="24"/>
                <w:highlight w:val="none"/>
              </w:rPr>
              <w:t>（</w:t>
            </w:r>
            <w:r>
              <w:rPr>
                <w:rFonts w:eastAsia="宋体"/>
                <w:color w:val="auto"/>
                <w:sz w:val="24"/>
                <w:szCs w:val="21"/>
                <w:highlight w:val="none"/>
              </w:rPr>
              <w:t>如无偏离，仅勾选无偏离即可</w:t>
            </w:r>
            <w:r>
              <w:rPr>
                <w:rFonts w:eastAsia="宋体"/>
                <w:color w:val="auto"/>
                <w:sz w:val="24"/>
                <w:highlight w:val="none"/>
              </w:rPr>
              <w:t>）</w:t>
            </w:r>
          </w:p>
          <w:p w14:paraId="0DFC37E0">
            <w:pPr>
              <w:shd w:val="clear"/>
              <w:adjustRightInd w:val="0"/>
              <w:snapToGrid w:val="0"/>
              <w:jc w:val="left"/>
              <w:rPr>
                <w:rFonts w:eastAsia="宋体"/>
                <w:color w:val="auto"/>
                <w:sz w:val="24"/>
                <w:highlight w:val="none"/>
              </w:rPr>
            </w:pPr>
            <w:r>
              <w:rPr>
                <w:rFonts w:hint="eastAsia"/>
                <w:b/>
                <w:color w:val="auto"/>
                <w:sz w:val="24"/>
                <w:highlight w:val="none"/>
                <w:lang w:eastAsia="zh-CN"/>
              </w:rPr>
              <w:t>□</w:t>
            </w:r>
            <w:r>
              <w:rPr>
                <w:rFonts w:eastAsia="宋体"/>
                <w:b/>
                <w:color w:val="auto"/>
                <w:sz w:val="24"/>
                <w:highlight w:val="none"/>
              </w:rPr>
              <w:t>有偏离</w:t>
            </w:r>
            <w:r>
              <w:rPr>
                <w:rFonts w:eastAsia="宋体"/>
                <w:color w:val="auto"/>
                <w:sz w:val="24"/>
                <w:highlight w:val="none"/>
              </w:rPr>
              <w:t>（</w:t>
            </w:r>
            <w:r>
              <w:rPr>
                <w:rFonts w:eastAsia="宋体"/>
                <w:color w:val="auto"/>
                <w:sz w:val="24"/>
                <w:szCs w:val="21"/>
                <w:highlight w:val="none"/>
              </w:rPr>
              <w:t>如有负偏离，</w:t>
            </w:r>
            <w:r>
              <w:rPr>
                <w:rFonts w:eastAsia="宋体"/>
                <w:color w:val="auto"/>
                <w:sz w:val="24"/>
                <w:highlight w:val="none"/>
              </w:rPr>
              <w:t>则须在本表中对负偏离项逐一列明）</w:t>
            </w:r>
          </w:p>
        </w:tc>
      </w:tr>
      <w:tr w14:paraId="543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8CA9D5F">
            <w:pPr>
              <w:shd w:val="clear"/>
              <w:adjustRightInd w:val="0"/>
              <w:snapToGrid w:val="0"/>
              <w:jc w:val="center"/>
              <w:rPr>
                <w:rFonts w:eastAsia="宋体"/>
                <w:color w:val="auto"/>
                <w:sz w:val="24"/>
                <w:highlight w:val="none"/>
              </w:rPr>
            </w:pPr>
            <w:r>
              <w:rPr>
                <w:rFonts w:eastAsia="宋体"/>
                <w:color w:val="auto"/>
                <w:sz w:val="24"/>
                <w:highlight w:val="none"/>
              </w:rPr>
              <w:t>序号</w:t>
            </w:r>
          </w:p>
        </w:tc>
        <w:tc>
          <w:tcPr>
            <w:tcW w:w="1290" w:type="dxa"/>
            <w:noWrap w:val="0"/>
            <w:vAlign w:val="center"/>
          </w:tcPr>
          <w:p w14:paraId="10CB3470">
            <w:pPr>
              <w:shd w:val="clear"/>
              <w:adjustRightInd w:val="0"/>
              <w:snapToGrid w:val="0"/>
              <w:jc w:val="center"/>
              <w:rPr>
                <w:rFonts w:eastAsia="宋体"/>
                <w:color w:val="auto"/>
                <w:sz w:val="24"/>
                <w:highlight w:val="none"/>
              </w:rPr>
            </w:pPr>
            <w:r>
              <w:rPr>
                <w:rFonts w:eastAsia="宋体"/>
                <w:color w:val="auto"/>
                <w:sz w:val="24"/>
                <w:szCs w:val="21"/>
                <w:highlight w:val="none"/>
              </w:rPr>
              <w:t>竞争性磋商文件</w:t>
            </w:r>
            <w:r>
              <w:rPr>
                <w:rFonts w:eastAsia="宋体"/>
                <w:color w:val="auto"/>
                <w:sz w:val="24"/>
                <w:highlight w:val="none"/>
              </w:rPr>
              <w:t>条目号（页码）</w:t>
            </w:r>
          </w:p>
        </w:tc>
        <w:tc>
          <w:tcPr>
            <w:tcW w:w="1980" w:type="dxa"/>
            <w:noWrap w:val="0"/>
            <w:vAlign w:val="center"/>
          </w:tcPr>
          <w:p w14:paraId="49A8F164">
            <w:pPr>
              <w:shd w:val="clear"/>
              <w:adjustRightInd w:val="0"/>
              <w:snapToGrid w:val="0"/>
              <w:jc w:val="center"/>
              <w:rPr>
                <w:rFonts w:eastAsia="宋体"/>
                <w:color w:val="auto"/>
                <w:sz w:val="24"/>
                <w:highlight w:val="none"/>
              </w:rPr>
            </w:pPr>
            <w:r>
              <w:rPr>
                <w:rFonts w:eastAsia="宋体"/>
                <w:color w:val="auto"/>
                <w:sz w:val="24"/>
                <w:szCs w:val="21"/>
                <w:highlight w:val="none"/>
              </w:rPr>
              <w:t>竞争性磋商文件</w:t>
            </w:r>
            <w:r>
              <w:rPr>
                <w:rFonts w:eastAsia="宋体"/>
                <w:color w:val="auto"/>
                <w:sz w:val="24"/>
                <w:highlight w:val="none"/>
              </w:rPr>
              <w:t>要求</w:t>
            </w:r>
          </w:p>
        </w:tc>
        <w:tc>
          <w:tcPr>
            <w:tcW w:w="1981" w:type="dxa"/>
            <w:noWrap w:val="0"/>
            <w:vAlign w:val="center"/>
          </w:tcPr>
          <w:p w14:paraId="33A986FB">
            <w:pPr>
              <w:shd w:val="clear"/>
              <w:adjustRightInd w:val="0"/>
              <w:snapToGrid w:val="0"/>
              <w:jc w:val="center"/>
              <w:rPr>
                <w:rFonts w:eastAsia="宋体"/>
                <w:color w:val="auto"/>
                <w:sz w:val="24"/>
                <w:highlight w:val="none"/>
              </w:rPr>
            </w:pPr>
            <w:r>
              <w:rPr>
                <w:rFonts w:eastAsia="宋体"/>
                <w:color w:val="auto"/>
                <w:sz w:val="24"/>
                <w:highlight w:val="none"/>
              </w:rPr>
              <w:t>响应文件内容</w:t>
            </w:r>
          </w:p>
        </w:tc>
        <w:tc>
          <w:tcPr>
            <w:tcW w:w="2427" w:type="dxa"/>
            <w:noWrap w:val="0"/>
            <w:vAlign w:val="center"/>
          </w:tcPr>
          <w:p w14:paraId="7BBEE715">
            <w:pPr>
              <w:shd w:val="clear"/>
              <w:adjustRightInd w:val="0"/>
              <w:snapToGrid w:val="0"/>
              <w:jc w:val="center"/>
              <w:rPr>
                <w:rFonts w:eastAsia="宋体"/>
                <w:color w:val="auto"/>
                <w:sz w:val="24"/>
                <w:highlight w:val="none"/>
              </w:rPr>
            </w:pPr>
            <w:r>
              <w:rPr>
                <w:rFonts w:eastAsia="宋体"/>
                <w:color w:val="auto"/>
                <w:sz w:val="24"/>
                <w:highlight w:val="none"/>
              </w:rPr>
              <w:t>偏离情况</w:t>
            </w:r>
          </w:p>
          <w:p w14:paraId="1930F51A">
            <w:pPr>
              <w:shd w:val="clear"/>
              <w:adjustRightInd w:val="0"/>
              <w:snapToGrid w:val="0"/>
              <w:jc w:val="center"/>
              <w:rPr>
                <w:rFonts w:eastAsia="宋体"/>
                <w:color w:val="auto"/>
                <w:sz w:val="24"/>
                <w:highlight w:val="none"/>
              </w:rPr>
            </w:pPr>
            <w:r>
              <w:rPr>
                <w:rFonts w:eastAsia="宋体"/>
                <w:color w:val="auto"/>
                <w:sz w:val="24"/>
                <w:highlight w:val="none"/>
              </w:rPr>
              <w:t>（据实填写）</w:t>
            </w:r>
          </w:p>
        </w:tc>
        <w:tc>
          <w:tcPr>
            <w:tcW w:w="783" w:type="dxa"/>
            <w:noWrap w:val="0"/>
            <w:vAlign w:val="center"/>
          </w:tcPr>
          <w:p w14:paraId="434E5344">
            <w:pPr>
              <w:shd w:val="clear"/>
              <w:adjustRightInd w:val="0"/>
              <w:snapToGrid w:val="0"/>
              <w:jc w:val="center"/>
              <w:rPr>
                <w:rFonts w:eastAsia="宋体"/>
                <w:color w:val="auto"/>
                <w:sz w:val="24"/>
                <w:highlight w:val="none"/>
              </w:rPr>
            </w:pPr>
            <w:r>
              <w:rPr>
                <w:rFonts w:eastAsia="宋体"/>
                <w:color w:val="auto"/>
                <w:sz w:val="24"/>
                <w:highlight w:val="none"/>
              </w:rPr>
              <w:t>说明</w:t>
            </w:r>
          </w:p>
        </w:tc>
      </w:tr>
      <w:tr w14:paraId="0AB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4071645">
            <w:pPr>
              <w:shd w:val="clear"/>
              <w:adjustRightInd w:val="0"/>
              <w:snapToGrid w:val="0"/>
              <w:jc w:val="center"/>
              <w:rPr>
                <w:rFonts w:eastAsia="宋体"/>
                <w:color w:val="auto"/>
                <w:sz w:val="24"/>
                <w:highlight w:val="none"/>
              </w:rPr>
            </w:pPr>
          </w:p>
        </w:tc>
        <w:tc>
          <w:tcPr>
            <w:tcW w:w="1290" w:type="dxa"/>
            <w:noWrap w:val="0"/>
            <w:vAlign w:val="center"/>
          </w:tcPr>
          <w:p w14:paraId="24323244">
            <w:pPr>
              <w:shd w:val="clear"/>
              <w:adjustRightInd w:val="0"/>
              <w:snapToGrid w:val="0"/>
              <w:jc w:val="center"/>
              <w:rPr>
                <w:rFonts w:eastAsia="宋体"/>
                <w:color w:val="auto"/>
                <w:sz w:val="24"/>
                <w:highlight w:val="none"/>
              </w:rPr>
            </w:pPr>
          </w:p>
        </w:tc>
        <w:tc>
          <w:tcPr>
            <w:tcW w:w="1980" w:type="dxa"/>
            <w:noWrap w:val="0"/>
            <w:vAlign w:val="center"/>
          </w:tcPr>
          <w:p w14:paraId="1A0D4F68">
            <w:pPr>
              <w:shd w:val="clear"/>
              <w:adjustRightInd w:val="0"/>
              <w:snapToGrid w:val="0"/>
              <w:jc w:val="center"/>
              <w:rPr>
                <w:rFonts w:eastAsia="宋体"/>
                <w:color w:val="auto"/>
                <w:sz w:val="24"/>
                <w:highlight w:val="none"/>
              </w:rPr>
            </w:pPr>
          </w:p>
        </w:tc>
        <w:tc>
          <w:tcPr>
            <w:tcW w:w="1981" w:type="dxa"/>
            <w:noWrap w:val="0"/>
            <w:vAlign w:val="center"/>
          </w:tcPr>
          <w:p w14:paraId="32777E2B">
            <w:pPr>
              <w:shd w:val="clear"/>
              <w:adjustRightInd w:val="0"/>
              <w:snapToGrid w:val="0"/>
              <w:jc w:val="center"/>
              <w:rPr>
                <w:rFonts w:eastAsia="宋体"/>
                <w:color w:val="auto"/>
                <w:sz w:val="24"/>
                <w:highlight w:val="none"/>
              </w:rPr>
            </w:pPr>
          </w:p>
        </w:tc>
        <w:tc>
          <w:tcPr>
            <w:tcW w:w="2427" w:type="dxa"/>
            <w:noWrap w:val="0"/>
            <w:vAlign w:val="center"/>
          </w:tcPr>
          <w:p w14:paraId="5F724DA2">
            <w:pPr>
              <w:shd w:val="clear"/>
              <w:adjustRightInd w:val="0"/>
              <w:snapToGrid w:val="0"/>
              <w:jc w:val="center"/>
              <w:rPr>
                <w:rFonts w:eastAsia="宋体"/>
                <w:color w:val="auto"/>
                <w:sz w:val="24"/>
                <w:highlight w:val="none"/>
              </w:rPr>
            </w:pPr>
          </w:p>
        </w:tc>
        <w:tc>
          <w:tcPr>
            <w:tcW w:w="783" w:type="dxa"/>
            <w:noWrap w:val="0"/>
            <w:vAlign w:val="center"/>
          </w:tcPr>
          <w:p w14:paraId="2A99038F">
            <w:pPr>
              <w:shd w:val="clear"/>
              <w:adjustRightInd w:val="0"/>
              <w:snapToGrid w:val="0"/>
              <w:jc w:val="center"/>
              <w:rPr>
                <w:rFonts w:eastAsia="宋体"/>
                <w:color w:val="auto"/>
                <w:sz w:val="24"/>
                <w:highlight w:val="none"/>
              </w:rPr>
            </w:pPr>
          </w:p>
        </w:tc>
      </w:tr>
      <w:tr w14:paraId="4F72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33DDB7E">
            <w:pPr>
              <w:shd w:val="clear"/>
              <w:adjustRightInd w:val="0"/>
              <w:snapToGrid w:val="0"/>
              <w:jc w:val="center"/>
              <w:rPr>
                <w:rFonts w:eastAsia="宋体"/>
                <w:color w:val="auto"/>
                <w:sz w:val="24"/>
                <w:highlight w:val="none"/>
              </w:rPr>
            </w:pPr>
          </w:p>
        </w:tc>
        <w:tc>
          <w:tcPr>
            <w:tcW w:w="1290" w:type="dxa"/>
            <w:noWrap w:val="0"/>
            <w:vAlign w:val="center"/>
          </w:tcPr>
          <w:p w14:paraId="6A3DC8BF">
            <w:pPr>
              <w:shd w:val="clear"/>
              <w:adjustRightInd w:val="0"/>
              <w:snapToGrid w:val="0"/>
              <w:jc w:val="center"/>
              <w:rPr>
                <w:rFonts w:eastAsia="宋体"/>
                <w:color w:val="auto"/>
                <w:sz w:val="24"/>
                <w:highlight w:val="none"/>
              </w:rPr>
            </w:pPr>
          </w:p>
        </w:tc>
        <w:tc>
          <w:tcPr>
            <w:tcW w:w="1980" w:type="dxa"/>
            <w:noWrap w:val="0"/>
            <w:vAlign w:val="center"/>
          </w:tcPr>
          <w:p w14:paraId="1CA63EC8">
            <w:pPr>
              <w:shd w:val="clear"/>
              <w:adjustRightInd w:val="0"/>
              <w:snapToGrid w:val="0"/>
              <w:jc w:val="center"/>
              <w:rPr>
                <w:rFonts w:eastAsia="宋体"/>
                <w:color w:val="auto"/>
                <w:sz w:val="24"/>
                <w:highlight w:val="none"/>
              </w:rPr>
            </w:pPr>
          </w:p>
        </w:tc>
        <w:tc>
          <w:tcPr>
            <w:tcW w:w="1981" w:type="dxa"/>
            <w:noWrap w:val="0"/>
            <w:vAlign w:val="center"/>
          </w:tcPr>
          <w:p w14:paraId="0631A500">
            <w:pPr>
              <w:shd w:val="clear"/>
              <w:adjustRightInd w:val="0"/>
              <w:snapToGrid w:val="0"/>
              <w:jc w:val="center"/>
              <w:rPr>
                <w:rFonts w:eastAsia="宋体"/>
                <w:color w:val="auto"/>
                <w:sz w:val="24"/>
                <w:highlight w:val="none"/>
              </w:rPr>
            </w:pPr>
          </w:p>
        </w:tc>
        <w:tc>
          <w:tcPr>
            <w:tcW w:w="2427" w:type="dxa"/>
            <w:noWrap w:val="0"/>
            <w:vAlign w:val="center"/>
          </w:tcPr>
          <w:p w14:paraId="0A5B56D3">
            <w:pPr>
              <w:shd w:val="clear"/>
              <w:adjustRightInd w:val="0"/>
              <w:snapToGrid w:val="0"/>
              <w:jc w:val="center"/>
              <w:rPr>
                <w:rFonts w:eastAsia="宋体"/>
                <w:color w:val="auto"/>
                <w:sz w:val="24"/>
                <w:highlight w:val="none"/>
              </w:rPr>
            </w:pPr>
          </w:p>
        </w:tc>
        <w:tc>
          <w:tcPr>
            <w:tcW w:w="783" w:type="dxa"/>
            <w:noWrap w:val="0"/>
            <w:vAlign w:val="center"/>
          </w:tcPr>
          <w:p w14:paraId="4B267FA3">
            <w:pPr>
              <w:shd w:val="clear"/>
              <w:adjustRightInd w:val="0"/>
              <w:snapToGrid w:val="0"/>
              <w:jc w:val="center"/>
              <w:rPr>
                <w:rFonts w:eastAsia="宋体"/>
                <w:color w:val="auto"/>
                <w:sz w:val="24"/>
                <w:highlight w:val="none"/>
              </w:rPr>
            </w:pPr>
          </w:p>
        </w:tc>
      </w:tr>
      <w:tr w14:paraId="5EC3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FDDE44A">
            <w:pPr>
              <w:shd w:val="clear"/>
              <w:adjustRightInd w:val="0"/>
              <w:snapToGrid w:val="0"/>
              <w:jc w:val="center"/>
              <w:rPr>
                <w:rFonts w:eastAsia="宋体"/>
                <w:color w:val="auto"/>
                <w:sz w:val="24"/>
                <w:highlight w:val="none"/>
              </w:rPr>
            </w:pPr>
          </w:p>
        </w:tc>
        <w:tc>
          <w:tcPr>
            <w:tcW w:w="1290" w:type="dxa"/>
            <w:noWrap w:val="0"/>
            <w:vAlign w:val="center"/>
          </w:tcPr>
          <w:p w14:paraId="4B0957BC">
            <w:pPr>
              <w:shd w:val="clear"/>
              <w:adjustRightInd w:val="0"/>
              <w:snapToGrid w:val="0"/>
              <w:jc w:val="center"/>
              <w:rPr>
                <w:rFonts w:eastAsia="宋体"/>
                <w:color w:val="auto"/>
                <w:sz w:val="24"/>
                <w:highlight w:val="none"/>
              </w:rPr>
            </w:pPr>
          </w:p>
        </w:tc>
        <w:tc>
          <w:tcPr>
            <w:tcW w:w="1980" w:type="dxa"/>
            <w:noWrap w:val="0"/>
            <w:vAlign w:val="center"/>
          </w:tcPr>
          <w:p w14:paraId="5F891CCF">
            <w:pPr>
              <w:shd w:val="clear"/>
              <w:adjustRightInd w:val="0"/>
              <w:snapToGrid w:val="0"/>
              <w:jc w:val="center"/>
              <w:rPr>
                <w:rFonts w:eastAsia="宋体"/>
                <w:color w:val="auto"/>
                <w:sz w:val="24"/>
                <w:highlight w:val="none"/>
              </w:rPr>
            </w:pPr>
          </w:p>
        </w:tc>
        <w:tc>
          <w:tcPr>
            <w:tcW w:w="1981" w:type="dxa"/>
            <w:noWrap w:val="0"/>
            <w:vAlign w:val="center"/>
          </w:tcPr>
          <w:p w14:paraId="312FD40B">
            <w:pPr>
              <w:shd w:val="clear"/>
              <w:adjustRightInd w:val="0"/>
              <w:snapToGrid w:val="0"/>
              <w:jc w:val="center"/>
              <w:rPr>
                <w:rFonts w:eastAsia="宋体"/>
                <w:color w:val="auto"/>
                <w:sz w:val="24"/>
                <w:highlight w:val="none"/>
              </w:rPr>
            </w:pPr>
          </w:p>
        </w:tc>
        <w:tc>
          <w:tcPr>
            <w:tcW w:w="2427" w:type="dxa"/>
            <w:noWrap w:val="0"/>
            <w:vAlign w:val="center"/>
          </w:tcPr>
          <w:p w14:paraId="46949231">
            <w:pPr>
              <w:shd w:val="clear"/>
              <w:adjustRightInd w:val="0"/>
              <w:snapToGrid w:val="0"/>
              <w:jc w:val="center"/>
              <w:rPr>
                <w:rFonts w:eastAsia="宋体"/>
                <w:color w:val="auto"/>
                <w:sz w:val="24"/>
                <w:highlight w:val="none"/>
              </w:rPr>
            </w:pPr>
          </w:p>
        </w:tc>
        <w:tc>
          <w:tcPr>
            <w:tcW w:w="783" w:type="dxa"/>
            <w:noWrap w:val="0"/>
            <w:vAlign w:val="center"/>
          </w:tcPr>
          <w:p w14:paraId="0A5C5032">
            <w:pPr>
              <w:shd w:val="clear"/>
              <w:adjustRightInd w:val="0"/>
              <w:snapToGrid w:val="0"/>
              <w:jc w:val="center"/>
              <w:rPr>
                <w:rFonts w:eastAsia="宋体"/>
                <w:color w:val="auto"/>
                <w:sz w:val="24"/>
                <w:highlight w:val="none"/>
              </w:rPr>
            </w:pPr>
          </w:p>
        </w:tc>
      </w:tr>
      <w:tr w14:paraId="7AA6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F18016A">
            <w:pPr>
              <w:shd w:val="clear"/>
              <w:adjustRightInd w:val="0"/>
              <w:snapToGrid w:val="0"/>
              <w:jc w:val="center"/>
              <w:rPr>
                <w:rFonts w:eastAsia="宋体"/>
                <w:color w:val="auto"/>
                <w:sz w:val="24"/>
                <w:highlight w:val="none"/>
              </w:rPr>
            </w:pPr>
          </w:p>
        </w:tc>
        <w:tc>
          <w:tcPr>
            <w:tcW w:w="1290" w:type="dxa"/>
            <w:noWrap w:val="0"/>
            <w:vAlign w:val="center"/>
          </w:tcPr>
          <w:p w14:paraId="64C403B2">
            <w:pPr>
              <w:shd w:val="clear"/>
              <w:adjustRightInd w:val="0"/>
              <w:snapToGrid w:val="0"/>
              <w:jc w:val="center"/>
              <w:rPr>
                <w:rFonts w:eastAsia="宋体"/>
                <w:color w:val="auto"/>
                <w:sz w:val="24"/>
                <w:highlight w:val="none"/>
              </w:rPr>
            </w:pPr>
          </w:p>
        </w:tc>
        <w:tc>
          <w:tcPr>
            <w:tcW w:w="1980" w:type="dxa"/>
            <w:noWrap w:val="0"/>
            <w:vAlign w:val="center"/>
          </w:tcPr>
          <w:p w14:paraId="41A633C6">
            <w:pPr>
              <w:shd w:val="clear"/>
              <w:adjustRightInd w:val="0"/>
              <w:snapToGrid w:val="0"/>
              <w:jc w:val="center"/>
              <w:rPr>
                <w:rFonts w:eastAsia="宋体"/>
                <w:color w:val="auto"/>
                <w:sz w:val="24"/>
                <w:highlight w:val="none"/>
              </w:rPr>
            </w:pPr>
          </w:p>
        </w:tc>
        <w:tc>
          <w:tcPr>
            <w:tcW w:w="1981" w:type="dxa"/>
            <w:noWrap w:val="0"/>
            <w:vAlign w:val="center"/>
          </w:tcPr>
          <w:p w14:paraId="56B570BC">
            <w:pPr>
              <w:shd w:val="clear"/>
              <w:adjustRightInd w:val="0"/>
              <w:snapToGrid w:val="0"/>
              <w:jc w:val="center"/>
              <w:rPr>
                <w:rFonts w:eastAsia="宋体"/>
                <w:color w:val="auto"/>
                <w:sz w:val="24"/>
                <w:highlight w:val="none"/>
              </w:rPr>
            </w:pPr>
          </w:p>
        </w:tc>
        <w:tc>
          <w:tcPr>
            <w:tcW w:w="2427" w:type="dxa"/>
            <w:noWrap w:val="0"/>
            <w:vAlign w:val="center"/>
          </w:tcPr>
          <w:p w14:paraId="6DD84D4E">
            <w:pPr>
              <w:shd w:val="clear"/>
              <w:adjustRightInd w:val="0"/>
              <w:snapToGrid w:val="0"/>
              <w:jc w:val="center"/>
              <w:rPr>
                <w:rFonts w:eastAsia="宋体"/>
                <w:color w:val="auto"/>
                <w:sz w:val="24"/>
                <w:highlight w:val="none"/>
              </w:rPr>
            </w:pPr>
          </w:p>
        </w:tc>
        <w:tc>
          <w:tcPr>
            <w:tcW w:w="783" w:type="dxa"/>
            <w:noWrap w:val="0"/>
            <w:vAlign w:val="center"/>
          </w:tcPr>
          <w:p w14:paraId="78830B19">
            <w:pPr>
              <w:shd w:val="clear"/>
              <w:adjustRightInd w:val="0"/>
              <w:snapToGrid w:val="0"/>
              <w:jc w:val="center"/>
              <w:rPr>
                <w:rFonts w:eastAsia="宋体"/>
                <w:color w:val="auto"/>
                <w:sz w:val="24"/>
                <w:highlight w:val="none"/>
              </w:rPr>
            </w:pPr>
          </w:p>
        </w:tc>
      </w:tr>
    </w:tbl>
    <w:p w14:paraId="5E18C290">
      <w:pPr>
        <w:shd w:val="clear"/>
        <w:tabs>
          <w:tab w:val="left" w:pos="1800"/>
          <w:tab w:val="left" w:pos="5580"/>
        </w:tabs>
        <w:jc w:val="left"/>
        <w:rPr>
          <w:rFonts w:eastAsia="宋体"/>
          <w:color w:val="auto"/>
          <w:sz w:val="24"/>
          <w:highlight w:val="none"/>
        </w:rPr>
      </w:pPr>
    </w:p>
    <w:p w14:paraId="3867391E">
      <w:pPr>
        <w:shd w:val="clear"/>
        <w:tabs>
          <w:tab w:val="left" w:pos="1800"/>
          <w:tab w:val="left" w:pos="5580"/>
        </w:tabs>
        <w:jc w:val="left"/>
        <w:rPr>
          <w:color w:val="auto"/>
          <w:sz w:val="24"/>
          <w:highlight w:val="none"/>
        </w:rPr>
      </w:pPr>
      <w:r>
        <w:rPr>
          <w:rFonts w:hint="eastAsia"/>
          <w:color w:val="auto"/>
          <w:sz w:val="24"/>
          <w:highlight w:val="none"/>
        </w:rPr>
        <w:t>注：</w:t>
      </w:r>
    </w:p>
    <w:p w14:paraId="5CD57FE2">
      <w:pPr>
        <w:shd w:val="clear"/>
        <w:tabs>
          <w:tab w:val="left" w:pos="1800"/>
          <w:tab w:val="left" w:pos="5580"/>
        </w:tabs>
        <w:jc w:val="left"/>
        <w:rPr>
          <w:color w:val="auto"/>
          <w:sz w:val="24"/>
          <w:highlight w:val="none"/>
        </w:rPr>
      </w:pPr>
      <w:r>
        <w:rPr>
          <w:color w:val="auto"/>
          <w:sz w:val="24"/>
          <w:highlight w:val="none"/>
        </w:rPr>
        <w:t xml:space="preserve">1. </w:t>
      </w:r>
      <w:r>
        <w:rPr>
          <w:rFonts w:hint="eastAsia"/>
          <w:color w:val="auto"/>
          <w:sz w:val="24"/>
          <w:highlight w:val="none"/>
        </w:rPr>
        <w:t>对合同条款中的所有要求，除本表所列明的所有偏离外，均视作供应商已对之理解和响应。</w:t>
      </w:r>
    </w:p>
    <w:p w14:paraId="459A722B">
      <w:pPr>
        <w:shd w:val="clear"/>
        <w:tabs>
          <w:tab w:val="left" w:pos="1800"/>
          <w:tab w:val="left" w:pos="5580"/>
        </w:tabs>
        <w:jc w:val="left"/>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441757C5">
      <w:pPr>
        <w:shd w:val="clear"/>
        <w:spacing w:line="360" w:lineRule="auto"/>
        <w:rPr>
          <w:rFonts w:eastAsia="宋体"/>
          <w:color w:val="auto"/>
          <w:sz w:val="24"/>
          <w:szCs w:val="20"/>
          <w:highlight w:val="none"/>
        </w:rPr>
      </w:pPr>
    </w:p>
    <w:p w14:paraId="29494793">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_______________</w:t>
      </w:r>
    </w:p>
    <w:p w14:paraId="61348EC6">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日期：____年____月____日    </w:t>
      </w:r>
    </w:p>
    <w:p w14:paraId="49729D92">
      <w:pPr>
        <w:shd w:val="clear"/>
        <w:tabs>
          <w:tab w:val="left" w:pos="360"/>
        </w:tabs>
        <w:snapToGrid w:val="0"/>
        <w:spacing w:line="360" w:lineRule="auto"/>
        <w:outlineLvl w:val="1"/>
        <w:rPr>
          <w:rFonts w:eastAsia="宋体"/>
          <w:color w:val="auto"/>
          <w:sz w:val="24"/>
          <w:szCs w:val="20"/>
          <w:highlight w:val="none"/>
        </w:rPr>
      </w:pPr>
      <w:r>
        <w:rPr>
          <w:rFonts w:eastAsia="宋体"/>
          <w:color w:val="auto"/>
          <w:sz w:val="24"/>
          <w:szCs w:val="20"/>
          <w:highlight w:val="none"/>
        </w:rPr>
        <w:br w:type="page"/>
      </w:r>
      <w:r>
        <w:rPr>
          <w:rFonts w:eastAsia="宋体"/>
          <w:color w:val="auto"/>
          <w:sz w:val="24"/>
          <w:highlight w:val="none"/>
        </w:rPr>
        <w:t xml:space="preserve">10  </w:t>
      </w:r>
      <w:bookmarkEnd w:id="794"/>
      <w:bookmarkEnd w:id="795"/>
      <w:bookmarkEnd w:id="796"/>
      <w:bookmarkEnd w:id="797"/>
      <w:bookmarkEnd w:id="798"/>
      <w:bookmarkEnd w:id="799"/>
      <w:bookmarkEnd w:id="800"/>
      <w:bookmarkEnd w:id="801"/>
      <w:bookmarkEnd w:id="802"/>
      <w:bookmarkEnd w:id="803"/>
      <w:bookmarkEnd w:id="804"/>
      <w:bookmarkEnd w:id="805"/>
      <w:bookmarkEnd w:id="806"/>
      <w:r>
        <w:rPr>
          <w:rFonts w:eastAsia="宋体"/>
          <w:color w:val="auto"/>
          <w:sz w:val="24"/>
          <w:highlight w:val="none"/>
        </w:rPr>
        <w:t>采购需求偏离表</w:t>
      </w:r>
    </w:p>
    <w:p w14:paraId="4077A534">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采购需求偏离表</w:t>
      </w:r>
    </w:p>
    <w:p w14:paraId="3A844E69">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628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CAC8BBA">
            <w:pPr>
              <w:shd w:val="clear"/>
              <w:adjustRightInd w:val="0"/>
              <w:snapToGrid w:val="0"/>
              <w:jc w:val="center"/>
              <w:rPr>
                <w:rFonts w:eastAsia="宋体"/>
                <w:color w:val="auto"/>
                <w:sz w:val="24"/>
                <w:highlight w:val="none"/>
              </w:rPr>
            </w:pPr>
            <w:r>
              <w:rPr>
                <w:rFonts w:eastAsia="宋体"/>
                <w:color w:val="auto"/>
                <w:sz w:val="24"/>
                <w:highlight w:val="none"/>
              </w:rPr>
              <w:t>序号</w:t>
            </w:r>
          </w:p>
        </w:tc>
        <w:tc>
          <w:tcPr>
            <w:tcW w:w="1482" w:type="dxa"/>
            <w:noWrap w:val="0"/>
            <w:vAlign w:val="center"/>
          </w:tcPr>
          <w:p w14:paraId="0B26AC2A">
            <w:pPr>
              <w:shd w:val="clear"/>
              <w:adjustRightInd w:val="0"/>
              <w:snapToGrid w:val="0"/>
              <w:jc w:val="center"/>
              <w:rPr>
                <w:rFonts w:eastAsia="宋体"/>
                <w:color w:val="auto"/>
                <w:sz w:val="24"/>
                <w:highlight w:val="none"/>
              </w:rPr>
            </w:pPr>
            <w:r>
              <w:rPr>
                <w:rFonts w:eastAsia="宋体"/>
                <w:color w:val="auto"/>
                <w:sz w:val="24"/>
                <w:highlight w:val="none"/>
              </w:rPr>
              <w:t>竞争性磋商文件条目号(页码)</w:t>
            </w:r>
          </w:p>
        </w:tc>
        <w:tc>
          <w:tcPr>
            <w:tcW w:w="2384" w:type="dxa"/>
            <w:noWrap w:val="0"/>
            <w:vAlign w:val="center"/>
          </w:tcPr>
          <w:p w14:paraId="308DF5DA">
            <w:pPr>
              <w:shd w:val="clear"/>
              <w:adjustRightInd w:val="0"/>
              <w:snapToGrid w:val="0"/>
              <w:jc w:val="center"/>
              <w:rPr>
                <w:rFonts w:eastAsia="宋体"/>
                <w:color w:val="auto"/>
                <w:sz w:val="24"/>
                <w:highlight w:val="none"/>
              </w:rPr>
            </w:pPr>
            <w:r>
              <w:rPr>
                <w:rFonts w:eastAsia="宋体"/>
                <w:color w:val="auto"/>
                <w:sz w:val="24"/>
                <w:highlight w:val="none"/>
              </w:rPr>
              <w:t>竞争性磋商文件要求</w:t>
            </w:r>
          </w:p>
        </w:tc>
        <w:tc>
          <w:tcPr>
            <w:tcW w:w="2126" w:type="dxa"/>
            <w:noWrap w:val="0"/>
            <w:vAlign w:val="center"/>
          </w:tcPr>
          <w:p w14:paraId="6DD04F05">
            <w:pPr>
              <w:shd w:val="clear"/>
              <w:adjustRightInd w:val="0"/>
              <w:snapToGrid w:val="0"/>
              <w:jc w:val="center"/>
              <w:rPr>
                <w:rFonts w:eastAsia="宋体"/>
                <w:color w:val="auto"/>
                <w:sz w:val="24"/>
                <w:highlight w:val="none"/>
              </w:rPr>
            </w:pPr>
            <w:r>
              <w:rPr>
                <w:rFonts w:eastAsia="宋体"/>
                <w:color w:val="auto"/>
                <w:sz w:val="24"/>
                <w:highlight w:val="none"/>
              </w:rPr>
              <w:t>响应内容</w:t>
            </w:r>
          </w:p>
        </w:tc>
        <w:tc>
          <w:tcPr>
            <w:tcW w:w="1875" w:type="dxa"/>
            <w:noWrap w:val="0"/>
            <w:vAlign w:val="center"/>
          </w:tcPr>
          <w:p w14:paraId="4B304211">
            <w:pPr>
              <w:shd w:val="clear"/>
              <w:adjustRightInd w:val="0"/>
              <w:snapToGrid w:val="0"/>
              <w:jc w:val="center"/>
              <w:rPr>
                <w:rFonts w:eastAsia="宋体"/>
                <w:color w:val="auto"/>
                <w:sz w:val="24"/>
                <w:highlight w:val="none"/>
              </w:rPr>
            </w:pPr>
            <w:r>
              <w:rPr>
                <w:rFonts w:eastAsia="宋体"/>
                <w:color w:val="auto"/>
                <w:sz w:val="24"/>
                <w:highlight w:val="none"/>
              </w:rPr>
              <w:t>偏离情况</w:t>
            </w:r>
          </w:p>
          <w:p w14:paraId="5B922AA4">
            <w:pPr>
              <w:shd w:val="clear"/>
              <w:adjustRightInd w:val="0"/>
              <w:snapToGrid w:val="0"/>
              <w:jc w:val="center"/>
              <w:rPr>
                <w:rFonts w:eastAsia="宋体"/>
                <w:color w:val="auto"/>
                <w:sz w:val="24"/>
                <w:highlight w:val="none"/>
              </w:rPr>
            </w:pPr>
            <w:r>
              <w:rPr>
                <w:rFonts w:eastAsia="宋体"/>
                <w:color w:val="auto"/>
                <w:sz w:val="24"/>
                <w:szCs w:val="21"/>
                <w:highlight w:val="none"/>
              </w:rPr>
              <w:t>（据实填写）</w:t>
            </w:r>
          </w:p>
        </w:tc>
        <w:tc>
          <w:tcPr>
            <w:tcW w:w="1009" w:type="dxa"/>
            <w:noWrap w:val="0"/>
            <w:vAlign w:val="center"/>
          </w:tcPr>
          <w:p w14:paraId="594D027D">
            <w:pPr>
              <w:shd w:val="clear"/>
              <w:adjustRightInd w:val="0"/>
              <w:snapToGrid w:val="0"/>
              <w:jc w:val="center"/>
              <w:rPr>
                <w:rFonts w:eastAsia="宋体"/>
                <w:color w:val="auto"/>
                <w:sz w:val="24"/>
                <w:highlight w:val="none"/>
              </w:rPr>
            </w:pPr>
            <w:r>
              <w:rPr>
                <w:rFonts w:eastAsia="宋体"/>
                <w:color w:val="auto"/>
                <w:sz w:val="24"/>
                <w:highlight w:val="none"/>
              </w:rPr>
              <w:t>说明</w:t>
            </w:r>
          </w:p>
        </w:tc>
      </w:tr>
      <w:tr w14:paraId="4F8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6DDE85">
            <w:pPr>
              <w:shd w:val="clear"/>
              <w:adjustRightInd w:val="0"/>
              <w:snapToGrid w:val="0"/>
              <w:jc w:val="center"/>
              <w:rPr>
                <w:rFonts w:eastAsia="宋体"/>
                <w:color w:val="auto"/>
                <w:sz w:val="24"/>
                <w:highlight w:val="none"/>
              </w:rPr>
            </w:pPr>
          </w:p>
        </w:tc>
        <w:tc>
          <w:tcPr>
            <w:tcW w:w="1482" w:type="dxa"/>
            <w:noWrap w:val="0"/>
            <w:vAlign w:val="center"/>
          </w:tcPr>
          <w:p w14:paraId="31C0DC43">
            <w:pPr>
              <w:shd w:val="clear"/>
              <w:adjustRightInd w:val="0"/>
              <w:snapToGrid w:val="0"/>
              <w:jc w:val="center"/>
              <w:rPr>
                <w:rFonts w:eastAsia="宋体"/>
                <w:color w:val="auto"/>
                <w:sz w:val="24"/>
                <w:highlight w:val="none"/>
              </w:rPr>
            </w:pPr>
          </w:p>
        </w:tc>
        <w:tc>
          <w:tcPr>
            <w:tcW w:w="2384" w:type="dxa"/>
            <w:noWrap w:val="0"/>
            <w:vAlign w:val="center"/>
          </w:tcPr>
          <w:p w14:paraId="0E00D1BB">
            <w:pPr>
              <w:shd w:val="clear"/>
              <w:adjustRightInd w:val="0"/>
              <w:snapToGrid w:val="0"/>
              <w:jc w:val="center"/>
              <w:rPr>
                <w:rFonts w:eastAsia="宋体"/>
                <w:color w:val="auto"/>
                <w:sz w:val="24"/>
                <w:highlight w:val="none"/>
              </w:rPr>
            </w:pPr>
          </w:p>
        </w:tc>
        <w:tc>
          <w:tcPr>
            <w:tcW w:w="2126" w:type="dxa"/>
            <w:noWrap w:val="0"/>
            <w:vAlign w:val="center"/>
          </w:tcPr>
          <w:p w14:paraId="40E19256">
            <w:pPr>
              <w:shd w:val="clear"/>
              <w:adjustRightInd w:val="0"/>
              <w:snapToGrid w:val="0"/>
              <w:jc w:val="center"/>
              <w:rPr>
                <w:rFonts w:eastAsia="宋体"/>
                <w:color w:val="auto"/>
                <w:sz w:val="24"/>
                <w:highlight w:val="none"/>
              </w:rPr>
            </w:pPr>
          </w:p>
        </w:tc>
        <w:tc>
          <w:tcPr>
            <w:tcW w:w="1875" w:type="dxa"/>
            <w:noWrap w:val="0"/>
            <w:vAlign w:val="center"/>
          </w:tcPr>
          <w:p w14:paraId="5D9312D1">
            <w:pPr>
              <w:shd w:val="clear"/>
              <w:adjustRightInd w:val="0"/>
              <w:snapToGrid w:val="0"/>
              <w:jc w:val="center"/>
              <w:rPr>
                <w:rFonts w:eastAsia="宋体"/>
                <w:color w:val="auto"/>
                <w:sz w:val="24"/>
                <w:highlight w:val="none"/>
              </w:rPr>
            </w:pPr>
          </w:p>
        </w:tc>
        <w:tc>
          <w:tcPr>
            <w:tcW w:w="1009" w:type="dxa"/>
            <w:noWrap w:val="0"/>
            <w:vAlign w:val="center"/>
          </w:tcPr>
          <w:p w14:paraId="725EAC88">
            <w:pPr>
              <w:shd w:val="clear"/>
              <w:adjustRightInd w:val="0"/>
              <w:snapToGrid w:val="0"/>
              <w:jc w:val="center"/>
              <w:rPr>
                <w:rFonts w:eastAsia="宋体"/>
                <w:color w:val="auto"/>
                <w:sz w:val="24"/>
                <w:highlight w:val="none"/>
              </w:rPr>
            </w:pPr>
          </w:p>
        </w:tc>
      </w:tr>
      <w:tr w14:paraId="7BF7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1176F51">
            <w:pPr>
              <w:shd w:val="clear"/>
              <w:adjustRightInd w:val="0"/>
              <w:snapToGrid w:val="0"/>
              <w:jc w:val="center"/>
              <w:rPr>
                <w:rFonts w:eastAsia="宋体"/>
                <w:color w:val="auto"/>
                <w:sz w:val="24"/>
                <w:highlight w:val="none"/>
              </w:rPr>
            </w:pPr>
          </w:p>
        </w:tc>
        <w:tc>
          <w:tcPr>
            <w:tcW w:w="1482" w:type="dxa"/>
            <w:noWrap w:val="0"/>
            <w:vAlign w:val="center"/>
          </w:tcPr>
          <w:p w14:paraId="58BBC167">
            <w:pPr>
              <w:shd w:val="clear"/>
              <w:adjustRightInd w:val="0"/>
              <w:snapToGrid w:val="0"/>
              <w:jc w:val="center"/>
              <w:rPr>
                <w:rFonts w:eastAsia="宋体"/>
                <w:color w:val="auto"/>
                <w:sz w:val="24"/>
                <w:highlight w:val="none"/>
              </w:rPr>
            </w:pPr>
          </w:p>
        </w:tc>
        <w:tc>
          <w:tcPr>
            <w:tcW w:w="2384" w:type="dxa"/>
            <w:noWrap w:val="0"/>
            <w:vAlign w:val="center"/>
          </w:tcPr>
          <w:p w14:paraId="7EBC29CF">
            <w:pPr>
              <w:shd w:val="clear"/>
              <w:adjustRightInd w:val="0"/>
              <w:snapToGrid w:val="0"/>
              <w:jc w:val="center"/>
              <w:rPr>
                <w:rFonts w:eastAsia="宋体"/>
                <w:color w:val="auto"/>
                <w:sz w:val="24"/>
                <w:highlight w:val="none"/>
              </w:rPr>
            </w:pPr>
          </w:p>
        </w:tc>
        <w:tc>
          <w:tcPr>
            <w:tcW w:w="2126" w:type="dxa"/>
            <w:noWrap w:val="0"/>
            <w:vAlign w:val="center"/>
          </w:tcPr>
          <w:p w14:paraId="2AEFC190">
            <w:pPr>
              <w:shd w:val="clear"/>
              <w:adjustRightInd w:val="0"/>
              <w:snapToGrid w:val="0"/>
              <w:jc w:val="center"/>
              <w:rPr>
                <w:rFonts w:eastAsia="宋体"/>
                <w:color w:val="auto"/>
                <w:sz w:val="24"/>
                <w:highlight w:val="none"/>
              </w:rPr>
            </w:pPr>
          </w:p>
        </w:tc>
        <w:tc>
          <w:tcPr>
            <w:tcW w:w="1875" w:type="dxa"/>
            <w:noWrap w:val="0"/>
            <w:vAlign w:val="center"/>
          </w:tcPr>
          <w:p w14:paraId="7E824B9F">
            <w:pPr>
              <w:shd w:val="clear"/>
              <w:adjustRightInd w:val="0"/>
              <w:snapToGrid w:val="0"/>
              <w:jc w:val="center"/>
              <w:rPr>
                <w:rFonts w:eastAsia="宋体"/>
                <w:color w:val="auto"/>
                <w:sz w:val="24"/>
                <w:highlight w:val="none"/>
              </w:rPr>
            </w:pPr>
          </w:p>
        </w:tc>
        <w:tc>
          <w:tcPr>
            <w:tcW w:w="1009" w:type="dxa"/>
            <w:noWrap w:val="0"/>
            <w:vAlign w:val="center"/>
          </w:tcPr>
          <w:p w14:paraId="68A9E37E">
            <w:pPr>
              <w:shd w:val="clear"/>
              <w:adjustRightInd w:val="0"/>
              <w:snapToGrid w:val="0"/>
              <w:jc w:val="center"/>
              <w:rPr>
                <w:rFonts w:eastAsia="宋体"/>
                <w:color w:val="auto"/>
                <w:sz w:val="24"/>
                <w:highlight w:val="none"/>
              </w:rPr>
            </w:pPr>
          </w:p>
        </w:tc>
      </w:tr>
      <w:tr w14:paraId="3DE9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2EA0131">
            <w:pPr>
              <w:shd w:val="clear"/>
              <w:adjustRightInd w:val="0"/>
              <w:snapToGrid w:val="0"/>
              <w:jc w:val="center"/>
              <w:rPr>
                <w:rFonts w:eastAsia="宋体"/>
                <w:color w:val="auto"/>
                <w:sz w:val="24"/>
                <w:highlight w:val="none"/>
              </w:rPr>
            </w:pPr>
          </w:p>
        </w:tc>
        <w:tc>
          <w:tcPr>
            <w:tcW w:w="1482" w:type="dxa"/>
            <w:noWrap w:val="0"/>
            <w:vAlign w:val="center"/>
          </w:tcPr>
          <w:p w14:paraId="447F1135">
            <w:pPr>
              <w:shd w:val="clear"/>
              <w:adjustRightInd w:val="0"/>
              <w:snapToGrid w:val="0"/>
              <w:jc w:val="center"/>
              <w:rPr>
                <w:rFonts w:eastAsia="宋体"/>
                <w:color w:val="auto"/>
                <w:sz w:val="24"/>
                <w:highlight w:val="none"/>
              </w:rPr>
            </w:pPr>
          </w:p>
        </w:tc>
        <w:tc>
          <w:tcPr>
            <w:tcW w:w="2384" w:type="dxa"/>
            <w:noWrap w:val="0"/>
            <w:vAlign w:val="center"/>
          </w:tcPr>
          <w:p w14:paraId="27E5A7BD">
            <w:pPr>
              <w:shd w:val="clear"/>
              <w:adjustRightInd w:val="0"/>
              <w:snapToGrid w:val="0"/>
              <w:jc w:val="center"/>
              <w:rPr>
                <w:rFonts w:eastAsia="宋体"/>
                <w:color w:val="auto"/>
                <w:sz w:val="24"/>
                <w:highlight w:val="none"/>
              </w:rPr>
            </w:pPr>
          </w:p>
        </w:tc>
        <w:tc>
          <w:tcPr>
            <w:tcW w:w="2126" w:type="dxa"/>
            <w:noWrap w:val="0"/>
            <w:vAlign w:val="center"/>
          </w:tcPr>
          <w:p w14:paraId="0EE69F8C">
            <w:pPr>
              <w:shd w:val="clear"/>
              <w:adjustRightInd w:val="0"/>
              <w:snapToGrid w:val="0"/>
              <w:jc w:val="center"/>
              <w:rPr>
                <w:rFonts w:eastAsia="宋体"/>
                <w:color w:val="auto"/>
                <w:sz w:val="24"/>
                <w:highlight w:val="none"/>
              </w:rPr>
            </w:pPr>
          </w:p>
        </w:tc>
        <w:tc>
          <w:tcPr>
            <w:tcW w:w="1875" w:type="dxa"/>
            <w:noWrap w:val="0"/>
            <w:vAlign w:val="center"/>
          </w:tcPr>
          <w:p w14:paraId="32303354">
            <w:pPr>
              <w:shd w:val="clear"/>
              <w:adjustRightInd w:val="0"/>
              <w:snapToGrid w:val="0"/>
              <w:jc w:val="center"/>
              <w:rPr>
                <w:rFonts w:eastAsia="宋体"/>
                <w:color w:val="auto"/>
                <w:sz w:val="24"/>
                <w:highlight w:val="none"/>
              </w:rPr>
            </w:pPr>
          </w:p>
        </w:tc>
        <w:tc>
          <w:tcPr>
            <w:tcW w:w="1009" w:type="dxa"/>
            <w:noWrap w:val="0"/>
            <w:vAlign w:val="center"/>
          </w:tcPr>
          <w:p w14:paraId="58866307">
            <w:pPr>
              <w:shd w:val="clear"/>
              <w:adjustRightInd w:val="0"/>
              <w:snapToGrid w:val="0"/>
              <w:jc w:val="center"/>
              <w:rPr>
                <w:rFonts w:eastAsia="宋体"/>
                <w:color w:val="auto"/>
                <w:sz w:val="24"/>
                <w:highlight w:val="none"/>
              </w:rPr>
            </w:pPr>
          </w:p>
        </w:tc>
      </w:tr>
      <w:tr w14:paraId="75D1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4A4F0BA">
            <w:pPr>
              <w:shd w:val="clear"/>
              <w:adjustRightInd w:val="0"/>
              <w:snapToGrid w:val="0"/>
              <w:jc w:val="center"/>
              <w:rPr>
                <w:rFonts w:eastAsia="宋体"/>
                <w:color w:val="auto"/>
                <w:sz w:val="24"/>
                <w:highlight w:val="none"/>
              </w:rPr>
            </w:pPr>
          </w:p>
        </w:tc>
        <w:tc>
          <w:tcPr>
            <w:tcW w:w="1482" w:type="dxa"/>
            <w:noWrap w:val="0"/>
            <w:vAlign w:val="center"/>
          </w:tcPr>
          <w:p w14:paraId="04F26CB9">
            <w:pPr>
              <w:shd w:val="clear"/>
              <w:adjustRightInd w:val="0"/>
              <w:snapToGrid w:val="0"/>
              <w:jc w:val="center"/>
              <w:rPr>
                <w:rFonts w:eastAsia="宋体"/>
                <w:color w:val="auto"/>
                <w:sz w:val="24"/>
                <w:highlight w:val="none"/>
              </w:rPr>
            </w:pPr>
          </w:p>
        </w:tc>
        <w:tc>
          <w:tcPr>
            <w:tcW w:w="2384" w:type="dxa"/>
            <w:noWrap w:val="0"/>
            <w:vAlign w:val="center"/>
          </w:tcPr>
          <w:p w14:paraId="6FCC8393">
            <w:pPr>
              <w:shd w:val="clear"/>
              <w:adjustRightInd w:val="0"/>
              <w:snapToGrid w:val="0"/>
              <w:jc w:val="center"/>
              <w:rPr>
                <w:rFonts w:eastAsia="宋体"/>
                <w:color w:val="auto"/>
                <w:sz w:val="24"/>
                <w:highlight w:val="none"/>
              </w:rPr>
            </w:pPr>
          </w:p>
        </w:tc>
        <w:tc>
          <w:tcPr>
            <w:tcW w:w="2126" w:type="dxa"/>
            <w:noWrap w:val="0"/>
            <w:vAlign w:val="center"/>
          </w:tcPr>
          <w:p w14:paraId="20C1ACAC">
            <w:pPr>
              <w:shd w:val="clear"/>
              <w:adjustRightInd w:val="0"/>
              <w:snapToGrid w:val="0"/>
              <w:jc w:val="center"/>
              <w:rPr>
                <w:rFonts w:eastAsia="宋体"/>
                <w:color w:val="auto"/>
                <w:sz w:val="24"/>
                <w:highlight w:val="none"/>
              </w:rPr>
            </w:pPr>
          </w:p>
        </w:tc>
        <w:tc>
          <w:tcPr>
            <w:tcW w:w="1875" w:type="dxa"/>
            <w:noWrap w:val="0"/>
            <w:vAlign w:val="center"/>
          </w:tcPr>
          <w:p w14:paraId="0792F4BF">
            <w:pPr>
              <w:shd w:val="clear"/>
              <w:adjustRightInd w:val="0"/>
              <w:snapToGrid w:val="0"/>
              <w:jc w:val="center"/>
              <w:rPr>
                <w:rFonts w:eastAsia="宋体"/>
                <w:color w:val="auto"/>
                <w:sz w:val="24"/>
                <w:highlight w:val="none"/>
              </w:rPr>
            </w:pPr>
          </w:p>
        </w:tc>
        <w:tc>
          <w:tcPr>
            <w:tcW w:w="1009" w:type="dxa"/>
            <w:noWrap w:val="0"/>
            <w:vAlign w:val="center"/>
          </w:tcPr>
          <w:p w14:paraId="39A142A3">
            <w:pPr>
              <w:shd w:val="clear"/>
              <w:adjustRightInd w:val="0"/>
              <w:snapToGrid w:val="0"/>
              <w:jc w:val="center"/>
              <w:rPr>
                <w:rFonts w:eastAsia="宋体"/>
                <w:color w:val="auto"/>
                <w:sz w:val="24"/>
                <w:highlight w:val="none"/>
              </w:rPr>
            </w:pPr>
          </w:p>
        </w:tc>
      </w:tr>
      <w:tr w14:paraId="08A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0D872FB">
            <w:pPr>
              <w:shd w:val="clear"/>
              <w:adjustRightInd w:val="0"/>
              <w:snapToGrid w:val="0"/>
              <w:jc w:val="center"/>
              <w:rPr>
                <w:rFonts w:eastAsia="宋体"/>
                <w:color w:val="auto"/>
                <w:sz w:val="24"/>
                <w:highlight w:val="none"/>
              </w:rPr>
            </w:pPr>
          </w:p>
        </w:tc>
        <w:tc>
          <w:tcPr>
            <w:tcW w:w="1482" w:type="dxa"/>
            <w:noWrap w:val="0"/>
            <w:vAlign w:val="center"/>
          </w:tcPr>
          <w:p w14:paraId="78E02980">
            <w:pPr>
              <w:shd w:val="clear"/>
              <w:adjustRightInd w:val="0"/>
              <w:snapToGrid w:val="0"/>
              <w:jc w:val="center"/>
              <w:rPr>
                <w:rFonts w:eastAsia="宋体"/>
                <w:color w:val="auto"/>
                <w:sz w:val="24"/>
                <w:highlight w:val="none"/>
              </w:rPr>
            </w:pPr>
          </w:p>
        </w:tc>
        <w:tc>
          <w:tcPr>
            <w:tcW w:w="2384" w:type="dxa"/>
            <w:noWrap w:val="0"/>
            <w:vAlign w:val="center"/>
          </w:tcPr>
          <w:p w14:paraId="49C8A909">
            <w:pPr>
              <w:shd w:val="clear"/>
              <w:adjustRightInd w:val="0"/>
              <w:snapToGrid w:val="0"/>
              <w:jc w:val="center"/>
              <w:rPr>
                <w:rFonts w:eastAsia="宋体"/>
                <w:color w:val="auto"/>
                <w:sz w:val="24"/>
                <w:highlight w:val="none"/>
              </w:rPr>
            </w:pPr>
          </w:p>
        </w:tc>
        <w:tc>
          <w:tcPr>
            <w:tcW w:w="2126" w:type="dxa"/>
            <w:noWrap w:val="0"/>
            <w:vAlign w:val="center"/>
          </w:tcPr>
          <w:p w14:paraId="54716775">
            <w:pPr>
              <w:shd w:val="clear"/>
              <w:adjustRightInd w:val="0"/>
              <w:snapToGrid w:val="0"/>
              <w:jc w:val="center"/>
              <w:rPr>
                <w:rFonts w:eastAsia="宋体"/>
                <w:color w:val="auto"/>
                <w:sz w:val="24"/>
                <w:highlight w:val="none"/>
              </w:rPr>
            </w:pPr>
          </w:p>
        </w:tc>
        <w:tc>
          <w:tcPr>
            <w:tcW w:w="1875" w:type="dxa"/>
            <w:noWrap w:val="0"/>
            <w:vAlign w:val="center"/>
          </w:tcPr>
          <w:p w14:paraId="33B297FE">
            <w:pPr>
              <w:shd w:val="clear"/>
              <w:adjustRightInd w:val="0"/>
              <w:snapToGrid w:val="0"/>
              <w:jc w:val="center"/>
              <w:rPr>
                <w:rFonts w:eastAsia="宋体"/>
                <w:color w:val="auto"/>
                <w:sz w:val="24"/>
                <w:highlight w:val="none"/>
              </w:rPr>
            </w:pPr>
          </w:p>
        </w:tc>
        <w:tc>
          <w:tcPr>
            <w:tcW w:w="1009" w:type="dxa"/>
            <w:noWrap w:val="0"/>
            <w:vAlign w:val="center"/>
          </w:tcPr>
          <w:p w14:paraId="7741BD4C">
            <w:pPr>
              <w:shd w:val="clear"/>
              <w:adjustRightInd w:val="0"/>
              <w:snapToGrid w:val="0"/>
              <w:jc w:val="center"/>
              <w:rPr>
                <w:rFonts w:eastAsia="宋体"/>
                <w:color w:val="auto"/>
                <w:sz w:val="24"/>
                <w:highlight w:val="none"/>
              </w:rPr>
            </w:pPr>
          </w:p>
        </w:tc>
      </w:tr>
      <w:tr w14:paraId="4077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AFD02E6">
            <w:pPr>
              <w:shd w:val="clear"/>
              <w:adjustRightInd w:val="0"/>
              <w:snapToGrid w:val="0"/>
              <w:jc w:val="center"/>
              <w:rPr>
                <w:rFonts w:eastAsia="宋体"/>
                <w:color w:val="auto"/>
                <w:sz w:val="24"/>
                <w:highlight w:val="none"/>
              </w:rPr>
            </w:pPr>
          </w:p>
        </w:tc>
        <w:tc>
          <w:tcPr>
            <w:tcW w:w="1482" w:type="dxa"/>
            <w:noWrap w:val="0"/>
            <w:vAlign w:val="center"/>
          </w:tcPr>
          <w:p w14:paraId="1BCAEE3E">
            <w:pPr>
              <w:shd w:val="clear"/>
              <w:adjustRightInd w:val="0"/>
              <w:snapToGrid w:val="0"/>
              <w:jc w:val="center"/>
              <w:rPr>
                <w:rFonts w:eastAsia="宋体"/>
                <w:color w:val="auto"/>
                <w:sz w:val="24"/>
                <w:highlight w:val="none"/>
              </w:rPr>
            </w:pPr>
          </w:p>
        </w:tc>
        <w:tc>
          <w:tcPr>
            <w:tcW w:w="2384" w:type="dxa"/>
            <w:noWrap w:val="0"/>
            <w:vAlign w:val="center"/>
          </w:tcPr>
          <w:p w14:paraId="5A8B3083">
            <w:pPr>
              <w:shd w:val="clear"/>
              <w:adjustRightInd w:val="0"/>
              <w:snapToGrid w:val="0"/>
              <w:jc w:val="center"/>
              <w:rPr>
                <w:rFonts w:eastAsia="宋体"/>
                <w:color w:val="auto"/>
                <w:sz w:val="24"/>
                <w:highlight w:val="none"/>
              </w:rPr>
            </w:pPr>
          </w:p>
        </w:tc>
        <w:tc>
          <w:tcPr>
            <w:tcW w:w="2126" w:type="dxa"/>
            <w:noWrap w:val="0"/>
            <w:vAlign w:val="center"/>
          </w:tcPr>
          <w:p w14:paraId="79B09E21">
            <w:pPr>
              <w:shd w:val="clear"/>
              <w:adjustRightInd w:val="0"/>
              <w:snapToGrid w:val="0"/>
              <w:jc w:val="center"/>
              <w:rPr>
                <w:rFonts w:eastAsia="宋体"/>
                <w:color w:val="auto"/>
                <w:sz w:val="24"/>
                <w:highlight w:val="none"/>
              </w:rPr>
            </w:pPr>
          </w:p>
        </w:tc>
        <w:tc>
          <w:tcPr>
            <w:tcW w:w="1875" w:type="dxa"/>
            <w:noWrap w:val="0"/>
            <w:vAlign w:val="center"/>
          </w:tcPr>
          <w:p w14:paraId="60A8A834">
            <w:pPr>
              <w:shd w:val="clear"/>
              <w:adjustRightInd w:val="0"/>
              <w:snapToGrid w:val="0"/>
              <w:jc w:val="center"/>
              <w:rPr>
                <w:rFonts w:eastAsia="宋体"/>
                <w:color w:val="auto"/>
                <w:sz w:val="24"/>
                <w:highlight w:val="none"/>
              </w:rPr>
            </w:pPr>
          </w:p>
        </w:tc>
        <w:tc>
          <w:tcPr>
            <w:tcW w:w="1009" w:type="dxa"/>
            <w:noWrap w:val="0"/>
            <w:vAlign w:val="center"/>
          </w:tcPr>
          <w:p w14:paraId="6910B8A9">
            <w:pPr>
              <w:shd w:val="clear"/>
              <w:adjustRightInd w:val="0"/>
              <w:snapToGrid w:val="0"/>
              <w:jc w:val="center"/>
              <w:rPr>
                <w:rFonts w:eastAsia="宋体"/>
                <w:color w:val="auto"/>
                <w:sz w:val="24"/>
                <w:highlight w:val="none"/>
              </w:rPr>
            </w:pPr>
          </w:p>
        </w:tc>
      </w:tr>
    </w:tbl>
    <w:p w14:paraId="384AC592">
      <w:pPr>
        <w:shd w:val="clear"/>
        <w:tabs>
          <w:tab w:val="left" w:pos="1800"/>
          <w:tab w:val="left" w:pos="5580"/>
        </w:tabs>
        <w:spacing w:line="360" w:lineRule="auto"/>
        <w:ind w:firstLine="360" w:firstLineChars="150"/>
        <w:jc w:val="left"/>
        <w:rPr>
          <w:rFonts w:eastAsia="宋体"/>
          <w:color w:val="auto"/>
          <w:sz w:val="24"/>
          <w:highlight w:val="none"/>
          <w:u w:val="single"/>
        </w:rPr>
      </w:pPr>
    </w:p>
    <w:p w14:paraId="27BB0FD7">
      <w:pPr>
        <w:shd w:val="clear"/>
        <w:tabs>
          <w:tab w:val="left" w:pos="1800"/>
          <w:tab w:val="left" w:pos="5580"/>
        </w:tabs>
        <w:spacing w:line="360" w:lineRule="auto"/>
        <w:ind w:firstLine="360" w:firstLineChars="150"/>
        <w:jc w:val="left"/>
        <w:rPr>
          <w:rFonts w:eastAsia="宋体"/>
          <w:color w:val="auto"/>
          <w:sz w:val="24"/>
          <w:highlight w:val="none"/>
          <w:u w:val="single"/>
        </w:rPr>
      </w:pPr>
    </w:p>
    <w:p w14:paraId="6F0D08F0">
      <w:pPr>
        <w:shd w:val="clear"/>
        <w:tabs>
          <w:tab w:val="left" w:pos="1800"/>
          <w:tab w:val="left" w:pos="5580"/>
        </w:tabs>
        <w:jc w:val="left"/>
        <w:rPr>
          <w:rFonts w:eastAsia="宋体"/>
          <w:color w:val="auto"/>
          <w:sz w:val="24"/>
          <w:highlight w:val="none"/>
        </w:rPr>
      </w:pPr>
      <w:r>
        <w:rPr>
          <w:rFonts w:eastAsia="宋体"/>
          <w:color w:val="auto"/>
          <w:sz w:val="24"/>
          <w:highlight w:val="none"/>
        </w:rPr>
        <w:t>注：</w:t>
      </w:r>
    </w:p>
    <w:p w14:paraId="3DA13179">
      <w:pPr>
        <w:shd w:val="clear"/>
        <w:tabs>
          <w:tab w:val="left" w:pos="1800"/>
          <w:tab w:val="left" w:pos="5580"/>
        </w:tabs>
        <w:jc w:val="left"/>
        <w:rPr>
          <w:rFonts w:eastAsia="宋体"/>
          <w:color w:val="auto"/>
          <w:sz w:val="24"/>
          <w:highlight w:val="none"/>
        </w:rPr>
      </w:pPr>
      <w:r>
        <w:rPr>
          <w:rFonts w:hint="eastAsia" w:eastAsia="宋体"/>
          <w:color w:val="auto"/>
          <w:sz w:val="24"/>
          <w:highlight w:val="none"/>
        </w:rPr>
        <w:t>1</w:t>
      </w:r>
      <w:r>
        <w:rPr>
          <w:rFonts w:eastAsia="宋体"/>
          <w:color w:val="auto"/>
          <w:sz w:val="24"/>
          <w:highlight w:val="none"/>
        </w:rPr>
        <w:t>. 对竞争性磋商文件中的所有商务、技术要求，除本表所列明的所有偏离外，均视作供应商已对之理解和响应。此表中若无任何文字说明，内容为空白的</w:t>
      </w:r>
      <w:r>
        <w:rPr>
          <w:rFonts w:eastAsia="宋体"/>
          <w:b/>
          <w:color w:val="auto"/>
          <w:sz w:val="24"/>
          <w:highlight w:val="none"/>
        </w:rPr>
        <w:t>响应无效</w:t>
      </w:r>
      <w:r>
        <w:rPr>
          <w:rFonts w:eastAsia="宋体"/>
          <w:color w:val="auto"/>
          <w:sz w:val="24"/>
          <w:highlight w:val="none"/>
        </w:rPr>
        <w:t>。</w:t>
      </w:r>
    </w:p>
    <w:p w14:paraId="19618964">
      <w:pPr>
        <w:shd w:val="clea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w:t>
      </w:r>
      <w:r>
        <w:rPr>
          <w:rFonts w:hint="eastAsia"/>
          <w:color w:val="auto"/>
          <w:sz w:val="24"/>
          <w:highlight w:val="none"/>
          <w:lang w:val="en-US" w:eastAsia="zh-CN"/>
        </w:rPr>
        <w:t>无</w:t>
      </w:r>
      <w:r>
        <w:rPr>
          <w:rFonts w:hint="eastAsia"/>
          <w:color w:val="auto"/>
          <w:sz w:val="24"/>
          <w:highlight w:val="none"/>
        </w:rPr>
        <w:t>偏离”</w:t>
      </w:r>
      <w:r>
        <w:rPr>
          <w:rFonts w:hint="eastAsia"/>
          <w:color w:val="auto"/>
          <w:sz w:val="24"/>
          <w:highlight w:val="none"/>
          <w:lang w:val="en-US" w:eastAsia="zh-CN"/>
        </w:rPr>
        <w:t>，</w:t>
      </w:r>
      <w:r>
        <w:rPr>
          <w:rFonts w:hint="eastAsia"/>
          <w:color w:val="auto"/>
          <w:sz w:val="24"/>
          <w:highlight w:val="none"/>
        </w:rPr>
        <w:t>“正偏离”或“负偏离”。</w:t>
      </w:r>
    </w:p>
    <w:p w14:paraId="59AB9C7B">
      <w:pPr>
        <w:shd w:val="clear"/>
        <w:tabs>
          <w:tab w:val="left" w:pos="1800"/>
          <w:tab w:val="left" w:pos="5580"/>
        </w:tabs>
        <w:jc w:val="left"/>
        <w:rPr>
          <w:rFonts w:eastAsia="宋体"/>
          <w:color w:val="auto"/>
          <w:sz w:val="24"/>
          <w:highlight w:val="none"/>
        </w:rPr>
      </w:pPr>
    </w:p>
    <w:p w14:paraId="054BE113">
      <w:pPr>
        <w:shd w:val="clear"/>
        <w:rPr>
          <w:rFonts w:eastAsia="宋体"/>
          <w:color w:val="auto"/>
          <w:sz w:val="24"/>
          <w:szCs w:val="20"/>
          <w:highlight w:val="none"/>
        </w:rPr>
      </w:pPr>
    </w:p>
    <w:p w14:paraId="23554AE2">
      <w:pPr>
        <w:shd w:val="clear"/>
        <w:autoSpaceDE w:val="0"/>
        <w:autoSpaceDN w:val="0"/>
        <w:adjustRightInd w:val="0"/>
        <w:snapToGrid w:val="0"/>
        <w:spacing w:before="25" w:after="25" w:line="360" w:lineRule="auto"/>
        <w:ind w:right="360"/>
        <w:jc w:val="lef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0537AA6D">
      <w:pPr>
        <w:shd w:val="clear"/>
        <w:autoSpaceDE w:val="0"/>
        <w:autoSpaceDN w:val="0"/>
        <w:adjustRightInd w:val="0"/>
        <w:snapToGrid w:val="0"/>
        <w:spacing w:before="25" w:after="25" w:line="360" w:lineRule="auto"/>
        <w:ind w:right="360"/>
        <w:jc w:val="left"/>
        <w:rPr>
          <w:rFonts w:eastAsia="宋体"/>
          <w:color w:val="auto"/>
          <w:sz w:val="24"/>
          <w:szCs w:val="20"/>
          <w:highlight w:val="none"/>
        </w:rPr>
      </w:pPr>
      <w:r>
        <w:rPr>
          <w:rFonts w:eastAsia="宋体"/>
          <w:color w:val="auto"/>
          <w:sz w:val="24"/>
          <w:szCs w:val="20"/>
          <w:highlight w:val="none"/>
        </w:rPr>
        <w:t xml:space="preserve">日期：____年____月____日 </w:t>
      </w:r>
    </w:p>
    <w:p w14:paraId="6B50D69B">
      <w:pPr>
        <w:shd w:val="clear"/>
        <w:tabs>
          <w:tab w:val="left" w:pos="360"/>
        </w:tabs>
        <w:snapToGrid w:val="0"/>
        <w:spacing w:line="360" w:lineRule="auto"/>
        <w:outlineLvl w:val="1"/>
        <w:rPr>
          <w:rFonts w:eastAsia="宋体"/>
          <w:color w:val="auto"/>
          <w:sz w:val="24"/>
          <w:highlight w:val="none"/>
        </w:rPr>
      </w:pPr>
      <w:r>
        <w:rPr>
          <w:rFonts w:eastAsia="宋体"/>
          <w:color w:val="auto"/>
          <w:sz w:val="24"/>
          <w:szCs w:val="20"/>
          <w:highlight w:val="none"/>
        </w:rPr>
        <w:br w:type="page"/>
      </w:r>
    </w:p>
    <w:p w14:paraId="7294B102">
      <w:pPr>
        <w:shd w:val="clear"/>
        <w:tabs>
          <w:tab w:val="left" w:pos="360"/>
        </w:tabs>
        <w:snapToGrid w:val="0"/>
        <w:spacing w:line="360" w:lineRule="auto"/>
        <w:outlineLvl w:val="1"/>
        <w:rPr>
          <w:rFonts w:hint="eastAsia" w:eastAsia="宋体"/>
          <w:color w:val="auto"/>
          <w:sz w:val="24"/>
          <w:szCs w:val="20"/>
          <w:highlight w:val="none"/>
          <w:lang w:eastAsia="zh-CN"/>
        </w:rPr>
      </w:pPr>
      <w:r>
        <w:rPr>
          <w:rFonts w:eastAsia="宋体"/>
          <w:color w:val="auto"/>
          <w:sz w:val="24"/>
          <w:highlight w:val="none"/>
        </w:rPr>
        <w:t>11  拟分包情况说明（类型二）</w:t>
      </w:r>
      <w:r>
        <w:rPr>
          <w:rFonts w:hint="eastAsia"/>
          <w:color w:val="auto"/>
          <w:sz w:val="24"/>
          <w:highlight w:val="none"/>
          <w:lang w:eastAsia="zh-CN"/>
        </w:rPr>
        <w:t>（</w:t>
      </w:r>
      <w:r>
        <w:rPr>
          <w:rFonts w:hint="eastAsia"/>
          <w:color w:val="auto"/>
          <w:sz w:val="24"/>
          <w:highlight w:val="none"/>
          <w:lang w:val="en-US" w:eastAsia="zh-CN"/>
        </w:rPr>
        <w:t>不适用</w:t>
      </w:r>
      <w:r>
        <w:rPr>
          <w:rFonts w:hint="eastAsia"/>
          <w:color w:val="auto"/>
          <w:sz w:val="24"/>
          <w:highlight w:val="none"/>
          <w:lang w:eastAsia="zh-CN"/>
        </w:rPr>
        <w:t>）</w:t>
      </w:r>
    </w:p>
    <w:p w14:paraId="56A719C6">
      <w:pPr>
        <w:shd w:val="clear"/>
        <w:autoSpaceDE w:val="0"/>
        <w:autoSpaceDN w:val="0"/>
        <w:adjustRightInd w:val="0"/>
        <w:jc w:val="center"/>
        <w:rPr>
          <w:rFonts w:eastAsia="宋体"/>
          <w:color w:val="auto"/>
          <w:sz w:val="30"/>
          <w:szCs w:val="30"/>
          <w:highlight w:val="none"/>
        </w:rPr>
      </w:pPr>
    </w:p>
    <w:p w14:paraId="0DD7B51E">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拟分包情况说明</w:t>
      </w:r>
    </w:p>
    <w:p w14:paraId="1C993835">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0192D0BB">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Style w:val="2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D83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FEE9F89">
            <w:pPr>
              <w:pStyle w:val="235"/>
              <w:shd w:val="clear"/>
              <w:jc w:val="center"/>
              <w:rPr>
                <w:rFonts w:eastAsia="宋体"/>
                <w:color w:val="auto"/>
                <w:sz w:val="24"/>
                <w:highlight w:val="none"/>
              </w:rPr>
            </w:pPr>
            <w:r>
              <w:rPr>
                <w:rFonts w:hint="eastAsia" w:eastAsia="宋体"/>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3BA8DA9">
            <w:pPr>
              <w:pStyle w:val="235"/>
              <w:shd w:val="clear"/>
              <w:jc w:val="center"/>
              <w:rPr>
                <w:rFonts w:eastAsia="宋体"/>
                <w:color w:val="auto"/>
                <w:sz w:val="24"/>
                <w:highlight w:val="none"/>
              </w:rPr>
            </w:pPr>
            <w:r>
              <w:rPr>
                <w:rFonts w:hint="eastAsia" w:eastAsia="宋体"/>
                <w:color w:val="auto"/>
                <w:sz w:val="24"/>
                <w:highlight w:val="none"/>
              </w:rPr>
              <w:t>分包承担</w:t>
            </w:r>
          </w:p>
          <w:p w14:paraId="269CD962">
            <w:pPr>
              <w:pStyle w:val="235"/>
              <w:shd w:val="clear"/>
              <w:jc w:val="center"/>
              <w:rPr>
                <w:rFonts w:eastAsia="宋体"/>
                <w:color w:val="auto"/>
                <w:sz w:val="24"/>
                <w:highlight w:val="none"/>
              </w:rPr>
            </w:pPr>
            <w:r>
              <w:rPr>
                <w:rFonts w:hint="eastAsia" w:eastAsia="宋体"/>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E01C375">
            <w:pPr>
              <w:pStyle w:val="235"/>
              <w:shd w:val="clear"/>
              <w:jc w:val="center"/>
              <w:rPr>
                <w:rFonts w:eastAsia="宋体"/>
                <w:color w:val="auto"/>
                <w:sz w:val="24"/>
                <w:highlight w:val="none"/>
                <w:lang w:eastAsia="zh-CN"/>
              </w:rPr>
            </w:pPr>
            <w:r>
              <w:rPr>
                <w:rFonts w:hint="eastAsia" w:eastAsia="宋体"/>
                <w:color w:val="auto"/>
                <w:sz w:val="24"/>
                <w:highlight w:val="none"/>
                <w:lang w:eastAsia="zh-CN"/>
              </w:rPr>
              <w:t>分包承担</w:t>
            </w:r>
          </w:p>
          <w:p w14:paraId="21BD14E7">
            <w:pPr>
              <w:pStyle w:val="235"/>
              <w:shd w:val="clear"/>
              <w:jc w:val="center"/>
              <w:rPr>
                <w:rFonts w:eastAsia="宋体"/>
                <w:color w:val="auto"/>
                <w:sz w:val="24"/>
                <w:highlight w:val="none"/>
                <w:lang w:eastAsia="zh-CN"/>
              </w:rPr>
            </w:pPr>
            <w:r>
              <w:rPr>
                <w:rFonts w:hint="eastAsia" w:eastAsia="宋体"/>
                <w:color w:val="auto"/>
                <w:sz w:val="24"/>
                <w:highlight w:val="none"/>
                <w:lang w:eastAsia="zh-CN"/>
              </w:rPr>
              <w:t>主体类型</w:t>
            </w:r>
          </w:p>
          <w:p w14:paraId="2447857B">
            <w:pPr>
              <w:pStyle w:val="235"/>
              <w:shd w:val="clear"/>
              <w:jc w:val="center"/>
              <w:rPr>
                <w:rFonts w:eastAsia="宋体"/>
                <w:color w:val="auto"/>
                <w:sz w:val="24"/>
                <w:highlight w:val="none"/>
                <w:lang w:eastAsia="zh-CN"/>
              </w:rPr>
            </w:pPr>
            <w:r>
              <w:rPr>
                <w:rFonts w:hint="eastAsia" w:eastAsia="宋体"/>
                <w:color w:val="auto"/>
                <w:sz w:val="24"/>
                <w:highlight w:val="none"/>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0521AD">
            <w:pPr>
              <w:pStyle w:val="235"/>
              <w:shd w:val="clear"/>
              <w:jc w:val="center"/>
              <w:rPr>
                <w:rFonts w:eastAsia="宋体"/>
                <w:color w:val="auto"/>
                <w:sz w:val="24"/>
                <w:highlight w:val="none"/>
              </w:rPr>
            </w:pPr>
            <w:r>
              <w:rPr>
                <w:rFonts w:hint="eastAsia" w:eastAsia="宋体"/>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BF5DF63">
            <w:pPr>
              <w:pStyle w:val="235"/>
              <w:shd w:val="clear"/>
              <w:jc w:val="center"/>
              <w:rPr>
                <w:rFonts w:eastAsia="宋体"/>
                <w:color w:val="auto"/>
                <w:sz w:val="24"/>
                <w:highlight w:val="none"/>
              </w:rPr>
            </w:pPr>
            <w:r>
              <w:rPr>
                <w:rFonts w:hint="eastAsia" w:eastAsia="宋体"/>
                <w:color w:val="auto"/>
                <w:sz w:val="24"/>
                <w:highlight w:val="none"/>
              </w:rPr>
              <w:t>拟分包</w:t>
            </w:r>
          </w:p>
          <w:p w14:paraId="24D2EC22">
            <w:pPr>
              <w:pStyle w:val="235"/>
              <w:shd w:val="clear"/>
              <w:jc w:val="center"/>
              <w:rPr>
                <w:rFonts w:eastAsia="宋体"/>
                <w:color w:val="auto"/>
                <w:sz w:val="24"/>
                <w:highlight w:val="none"/>
              </w:rPr>
            </w:pPr>
            <w:r>
              <w:rPr>
                <w:rFonts w:hint="eastAsia" w:eastAsia="宋体"/>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C631347">
            <w:pPr>
              <w:pStyle w:val="235"/>
              <w:shd w:val="clear"/>
              <w:jc w:val="center"/>
              <w:rPr>
                <w:rFonts w:eastAsia="宋体"/>
                <w:color w:val="auto"/>
                <w:sz w:val="24"/>
                <w:highlight w:val="none"/>
                <w:lang w:eastAsia="zh-CN"/>
              </w:rPr>
            </w:pPr>
            <w:r>
              <w:rPr>
                <w:rFonts w:hint="eastAsia" w:eastAsia="宋体"/>
                <w:color w:val="auto"/>
                <w:sz w:val="24"/>
                <w:highlight w:val="none"/>
                <w:lang w:eastAsia="zh-CN"/>
              </w:rPr>
              <w:t>拟分包</w:t>
            </w:r>
          </w:p>
          <w:p w14:paraId="20241BFF">
            <w:pPr>
              <w:pStyle w:val="235"/>
              <w:shd w:val="clear"/>
              <w:jc w:val="center"/>
              <w:rPr>
                <w:rFonts w:eastAsia="宋体"/>
                <w:color w:val="auto"/>
                <w:sz w:val="24"/>
                <w:highlight w:val="none"/>
                <w:lang w:eastAsia="zh-CN"/>
              </w:rPr>
            </w:pPr>
            <w:r>
              <w:rPr>
                <w:rFonts w:hint="eastAsia" w:eastAsia="宋体"/>
                <w:color w:val="auto"/>
                <w:sz w:val="24"/>
                <w:highlight w:val="none"/>
                <w:lang w:eastAsia="zh-CN"/>
              </w:rPr>
              <w:t>合同金额</w:t>
            </w:r>
          </w:p>
          <w:p w14:paraId="6206BAF9">
            <w:pPr>
              <w:pStyle w:val="235"/>
              <w:shd w:val="clear"/>
              <w:jc w:val="center"/>
              <w:rPr>
                <w:rFonts w:eastAsia="宋体"/>
                <w:color w:val="auto"/>
                <w:sz w:val="24"/>
                <w:highlight w:val="none"/>
                <w:lang w:eastAsia="zh-CN"/>
              </w:rPr>
            </w:pPr>
            <w:r>
              <w:rPr>
                <w:rFonts w:hint="eastAsia" w:eastAsia="宋体"/>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63DDD5A">
            <w:pPr>
              <w:pStyle w:val="235"/>
              <w:shd w:val="clear"/>
              <w:jc w:val="center"/>
              <w:rPr>
                <w:rFonts w:eastAsia="宋体"/>
                <w:b/>
                <w:color w:val="auto"/>
                <w:sz w:val="24"/>
                <w:highlight w:val="none"/>
                <w:lang w:eastAsia="zh-CN"/>
              </w:rPr>
            </w:pPr>
            <w:r>
              <w:rPr>
                <w:rFonts w:hint="eastAsia" w:eastAsia="宋体"/>
                <w:b/>
                <w:color w:val="auto"/>
                <w:sz w:val="24"/>
                <w:highlight w:val="none"/>
                <w:lang w:eastAsia="zh-CN"/>
              </w:rPr>
              <w:t>占响应报价</w:t>
            </w:r>
          </w:p>
          <w:p w14:paraId="46842EAF">
            <w:pPr>
              <w:pStyle w:val="235"/>
              <w:shd w:val="clear"/>
              <w:jc w:val="center"/>
              <w:rPr>
                <w:rFonts w:eastAsia="宋体"/>
                <w:color w:val="auto"/>
                <w:sz w:val="24"/>
                <w:highlight w:val="none"/>
                <w:lang w:eastAsia="zh-CN"/>
              </w:rPr>
            </w:pPr>
            <w:r>
              <w:rPr>
                <w:rFonts w:hint="eastAsia" w:eastAsia="宋体"/>
                <w:b/>
                <w:color w:val="auto"/>
                <w:sz w:val="24"/>
                <w:highlight w:val="none"/>
                <w:lang w:eastAsia="zh-CN"/>
              </w:rPr>
              <w:t>的比例（</w:t>
            </w:r>
            <w:r>
              <w:rPr>
                <w:rFonts w:ascii="Times New Roman" w:eastAsia="Times New Roman"/>
                <w:b/>
                <w:color w:val="auto"/>
                <w:sz w:val="24"/>
                <w:highlight w:val="none"/>
                <w:lang w:eastAsia="zh-CN"/>
              </w:rPr>
              <w:t>%</w:t>
            </w:r>
            <w:r>
              <w:rPr>
                <w:rFonts w:hint="eastAsia" w:eastAsia="宋体"/>
                <w:b/>
                <w:color w:val="auto"/>
                <w:sz w:val="24"/>
                <w:highlight w:val="none"/>
                <w:lang w:eastAsia="zh-CN"/>
              </w:rPr>
              <w:t>）</w:t>
            </w:r>
          </w:p>
        </w:tc>
      </w:tr>
      <w:tr w14:paraId="7A097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FC15ADF">
            <w:pPr>
              <w:pStyle w:val="235"/>
              <w:shd w:val="clear"/>
              <w:jc w:val="center"/>
              <w:rPr>
                <w:rFonts w:ascii="Times New Roman" w:eastAsia="宋体"/>
                <w:color w:val="auto"/>
                <w:sz w:val="24"/>
                <w:highlight w:val="none"/>
              </w:rPr>
            </w:pPr>
            <w:r>
              <w:rPr>
                <w:rFonts w:ascii="Times New Roman" w:eastAsia="宋体"/>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6E3B6E0">
            <w:pPr>
              <w:pStyle w:val="235"/>
              <w:shd w:val="clear"/>
              <w:jc w:val="center"/>
              <w:rPr>
                <w:rFonts w:ascii="Times New Roman" w:hAnsi="Times New Roman" w:eastAsia="宋体" w:cs="Times New Roman"/>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93AABB6">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p w14:paraId="1F6AF34F">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28CFDE">
            <w:pPr>
              <w:pStyle w:val="235"/>
              <w:shd w:val="clear"/>
              <w:jc w:val="center"/>
              <w:rPr>
                <w:rFonts w:ascii="Times New Roman" w:eastAsia="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A2F46BE">
            <w:pPr>
              <w:pStyle w:val="235"/>
              <w:shd w:val="clear"/>
              <w:jc w:val="center"/>
              <w:rPr>
                <w:rFonts w:ascii="Times New Roman" w:eastAsia="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69F2215">
            <w:pPr>
              <w:pStyle w:val="235"/>
              <w:shd w:val="clear"/>
              <w:jc w:val="center"/>
              <w:rPr>
                <w:rFonts w:ascii="Times New Roman" w:eastAsia="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26761FE">
            <w:pPr>
              <w:pStyle w:val="235"/>
              <w:shd w:val="clear"/>
              <w:jc w:val="center"/>
              <w:rPr>
                <w:rFonts w:ascii="Times New Roman" w:eastAsia="宋体"/>
                <w:color w:val="auto"/>
                <w:sz w:val="30"/>
                <w:highlight w:val="none"/>
                <w:lang w:eastAsia="zh-CN"/>
              </w:rPr>
            </w:pPr>
          </w:p>
        </w:tc>
      </w:tr>
      <w:tr w14:paraId="4A438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05A3037">
            <w:pPr>
              <w:pStyle w:val="235"/>
              <w:shd w:val="clear"/>
              <w:jc w:val="center"/>
              <w:rPr>
                <w:rFonts w:ascii="Times New Roman" w:eastAsia="宋体"/>
                <w:color w:val="auto"/>
                <w:sz w:val="24"/>
                <w:highlight w:val="none"/>
                <w:lang w:eastAsia="zh-CN"/>
              </w:rPr>
            </w:pPr>
            <w:r>
              <w:rPr>
                <w:rFonts w:ascii="Times New Roman" w:eastAsia="宋体"/>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4B73C8E">
            <w:pPr>
              <w:pStyle w:val="235"/>
              <w:shd w:val="clear"/>
              <w:jc w:val="center"/>
              <w:rPr>
                <w:rFonts w:ascii="Times New Roman" w:eastAsia="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AADB61A">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p w14:paraId="61FFF85E">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3B36D">
            <w:pPr>
              <w:pStyle w:val="235"/>
              <w:shd w:val="clear"/>
              <w:jc w:val="center"/>
              <w:rPr>
                <w:rFonts w:ascii="Times New Roman" w:eastAsia="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F2BF63">
            <w:pPr>
              <w:pStyle w:val="235"/>
              <w:shd w:val="clear"/>
              <w:jc w:val="center"/>
              <w:rPr>
                <w:rFonts w:ascii="Times New Roman" w:eastAsia="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DC37944">
            <w:pPr>
              <w:pStyle w:val="235"/>
              <w:shd w:val="clear"/>
              <w:jc w:val="center"/>
              <w:rPr>
                <w:rFonts w:ascii="Times New Roman" w:eastAsia="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81FEDE1">
            <w:pPr>
              <w:pStyle w:val="235"/>
              <w:shd w:val="clear"/>
              <w:jc w:val="center"/>
              <w:rPr>
                <w:rFonts w:ascii="Times New Roman" w:eastAsia="宋体"/>
                <w:color w:val="auto"/>
                <w:sz w:val="30"/>
                <w:highlight w:val="none"/>
                <w:lang w:eastAsia="zh-CN"/>
              </w:rPr>
            </w:pPr>
          </w:p>
        </w:tc>
      </w:tr>
      <w:tr w14:paraId="689B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2165C11">
            <w:pPr>
              <w:pStyle w:val="235"/>
              <w:shd w:val="clear"/>
              <w:jc w:val="center"/>
              <w:rPr>
                <w:rFonts w:ascii="Times New Roman" w:eastAsia="宋体"/>
                <w:color w:val="auto"/>
                <w:sz w:val="24"/>
                <w:highlight w:val="none"/>
                <w:lang w:eastAsia="zh-CN"/>
              </w:rPr>
            </w:pPr>
            <w:r>
              <w:rPr>
                <w:rFonts w:hint="eastAsia" w:ascii="Times New Roman" w:eastAsia="宋体"/>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20F58A1">
            <w:pPr>
              <w:pStyle w:val="235"/>
              <w:shd w:val="clear"/>
              <w:jc w:val="center"/>
              <w:rPr>
                <w:rFonts w:ascii="Times New Roman" w:eastAsia="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6E8A05F">
            <w:pPr>
              <w:pStyle w:val="235"/>
              <w:shd w:val="clear"/>
              <w:tabs>
                <w:tab w:val="left" w:pos="235"/>
              </w:tabs>
              <w:jc w:val="center"/>
              <w:rPr>
                <w:rFonts w:eastAsia="宋体"/>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A0E6DD">
            <w:pPr>
              <w:pStyle w:val="235"/>
              <w:shd w:val="clear"/>
              <w:jc w:val="center"/>
              <w:rPr>
                <w:rFonts w:ascii="Times New Roman" w:eastAsia="宋体"/>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DFC9DC">
            <w:pPr>
              <w:pStyle w:val="235"/>
              <w:shd w:val="clear"/>
              <w:jc w:val="center"/>
              <w:rPr>
                <w:rFonts w:ascii="Times New Roman" w:eastAsia="宋体"/>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5A57B5A">
            <w:pPr>
              <w:pStyle w:val="235"/>
              <w:shd w:val="clear"/>
              <w:jc w:val="center"/>
              <w:rPr>
                <w:rFonts w:ascii="Times New Roman" w:eastAsia="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A652625">
            <w:pPr>
              <w:pStyle w:val="235"/>
              <w:shd w:val="clear"/>
              <w:jc w:val="center"/>
              <w:rPr>
                <w:rFonts w:ascii="Times New Roman" w:eastAsia="宋体"/>
                <w:color w:val="auto"/>
                <w:sz w:val="30"/>
                <w:highlight w:val="none"/>
              </w:rPr>
            </w:pPr>
          </w:p>
        </w:tc>
      </w:tr>
      <w:tr w14:paraId="5A6E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699CFC38">
            <w:pPr>
              <w:pStyle w:val="235"/>
              <w:shd w:val="clear"/>
              <w:ind w:right="57" w:rightChars="27"/>
              <w:jc w:val="right"/>
              <w:rPr>
                <w:rFonts w:eastAsia="宋体"/>
                <w:color w:val="auto"/>
                <w:sz w:val="24"/>
                <w:highlight w:val="none"/>
                <w:lang w:eastAsia="zh-CN"/>
              </w:rPr>
            </w:pPr>
            <w:r>
              <w:rPr>
                <w:rFonts w:hint="eastAsia" w:eastAsia="宋体"/>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DC1B5AD">
            <w:pPr>
              <w:pStyle w:val="235"/>
              <w:shd w:val="clear"/>
              <w:jc w:val="center"/>
              <w:rPr>
                <w:rFonts w:ascii="Times New Roman" w:eastAsia="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E67C60A">
            <w:pPr>
              <w:pStyle w:val="235"/>
              <w:shd w:val="clear"/>
              <w:jc w:val="center"/>
              <w:rPr>
                <w:rFonts w:ascii="Times New Roman" w:eastAsia="宋体"/>
                <w:color w:val="auto"/>
                <w:sz w:val="30"/>
                <w:highlight w:val="none"/>
              </w:rPr>
            </w:pPr>
          </w:p>
        </w:tc>
      </w:tr>
    </w:tbl>
    <w:p w14:paraId="3CCA7373">
      <w:pPr>
        <w:shd w:val="clear"/>
        <w:adjustRightInd w:val="0"/>
        <w:snapToGrid w:val="0"/>
        <w:spacing w:line="360" w:lineRule="auto"/>
        <w:ind w:firstLine="480" w:firstLineChars="200"/>
        <w:jc w:val="left"/>
        <w:rPr>
          <w:rFonts w:eastAsia="宋体"/>
          <w:color w:val="auto"/>
          <w:sz w:val="24"/>
          <w:highlight w:val="none"/>
        </w:rPr>
      </w:pPr>
    </w:p>
    <w:p w14:paraId="5C24DAA1">
      <w:pPr>
        <w:shd w:val="clear"/>
        <w:adjustRightInd w:val="0"/>
        <w:snapToGrid w:val="0"/>
        <w:spacing w:line="360" w:lineRule="auto"/>
        <w:jc w:val="left"/>
        <w:rPr>
          <w:rFonts w:eastAsia="宋体"/>
          <w:color w:val="auto"/>
          <w:sz w:val="24"/>
          <w:highlight w:val="none"/>
        </w:rPr>
      </w:pPr>
      <w:r>
        <w:rPr>
          <w:rFonts w:eastAsia="宋体"/>
          <w:color w:val="auto"/>
          <w:sz w:val="24"/>
          <w:highlight w:val="none"/>
        </w:rPr>
        <w:t xml:space="preserve">注： </w:t>
      </w:r>
    </w:p>
    <w:p w14:paraId="7AC0C453">
      <w:pPr>
        <w:shd w:val="clear"/>
        <w:adjustRightInd w:val="0"/>
        <w:snapToGrid w:val="0"/>
        <w:spacing w:line="360" w:lineRule="auto"/>
        <w:jc w:val="left"/>
        <w:rPr>
          <w:rFonts w:eastAsia="宋体"/>
          <w:color w:val="auto"/>
          <w:sz w:val="24"/>
          <w:highlight w:val="none"/>
        </w:rPr>
      </w:pPr>
      <w:r>
        <w:rPr>
          <w:rFonts w:eastAsia="宋体"/>
          <w:color w:val="auto"/>
          <w:sz w:val="24"/>
          <w:highlight w:val="none"/>
        </w:rPr>
        <w:t>1.本表仅在供应商非因“为落实政府采购政策”而分包时填写；供应商“为落实政府采购政策”而向中小企业分包时请按照《</w:t>
      </w:r>
      <w:r>
        <w:rPr>
          <w:rFonts w:eastAsia="宋体"/>
          <w:color w:val="auto"/>
          <w:sz w:val="24"/>
          <w:szCs w:val="20"/>
          <w:highlight w:val="none"/>
        </w:rPr>
        <w:t>拟分包情况说明及分包意向协议</w:t>
      </w:r>
      <w:r>
        <w:rPr>
          <w:rFonts w:eastAsia="宋体"/>
          <w:color w:val="auto"/>
          <w:sz w:val="24"/>
          <w:highlight w:val="none"/>
        </w:rPr>
        <w:t>》（类型一）要求填写。</w:t>
      </w:r>
    </w:p>
    <w:p w14:paraId="57ECAC56">
      <w:pPr>
        <w:shd w:val="clear"/>
        <w:adjustRightInd w:val="0"/>
        <w:snapToGrid w:val="0"/>
        <w:spacing w:line="360" w:lineRule="auto"/>
        <w:jc w:val="left"/>
        <w:rPr>
          <w:rFonts w:eastAsia="宋体"/>
          <w:color w:val="auto"/>
          <w:sz w:val="24"/>
          <w:highlight w:val="none"/>
        </w:rPr>
      </w:pPr>
      <w:r>
        <w:rPr>
          <w:rFonts w:eastAsia="宋体"/>
          <w:color w:val="auto"/>
          <w:sz w:val="24"/>
          <w:highlight w:val="none"/>
        </w:rPr>
        <w:t>2.如本竞争性磋商文件《供应商须知资料表》载明本项目分包承担主体应具备的相应资质条件，则供应商须在本表中列明分包承担主体的资质等级，并后附资质证书电子件</w:t>
      </w:r>
      <w:r>
        <w:rPr>
          <w:rFonts w:hint="eastAsia" w:eastAsia="宋体"/>
          <w:color w:val="auto"/>
          <w:sz w:val="24"/>
          <w:highlight w:val="none"/>
        </w:rPr>
        <w:t>，</w:t>
      </w:r>
      <w:r>
        <w:rPr>
          <w:rFonts w:eastAsia="宋体"/>
          <w:color w:val="auto"/>
          <w:sz w:val="24"/>
          <w:highlight w:val="none"/>
        </w:rPr>
        <w:t>否则</w:t>
      </w:r>
      <w:r>
        <w:rPr>
          <w:rFonts w:eastAsia="宋体"/>
          <w:b/>
          <w:color w:val="auto"/>
          <w:sz w:val="24"/>
          <w:highlight w:val="none"/>
        </w:rPr>
        <w:t>响应无效</w:t>
      </w:r>
      <w:r>
        <w:rPr>
          <w:rFonts w:eastAsia="宋体"/>
          <w:color w:val="auto"/>
          <w:sz w:val="24"/>
          <w:highlight w:val="none"/>
        </w:rPr>
        <w:t>。</w:t>
      </w:r>
    </w:p>
    <w:p w14:paraId="4B0BDE64">
      <w:pPr>
        <w:shd w:val="clear"/>
        <w:adjustRightInd w:val="0"/>
        <w:snapToGrid w:val="0"/>
        <w:spacing w:line="360" w:lineRule="auto"/>
        <w:jc w:val="left"/>
        <w:rPr>
          <w:rFonts w:eastAsia="宋体"/>
          <w:color w:val="auto"/>
          <w:sz w:val="24"/>
          <w:highlight w:val="none"/>
        </w:rPr>
      </w:pPr>
    </w:p>
    <w:p w14:paraId="6D35A461">
      <w:pPr>
        <w:shd w:val="clear"/>
        <w:adjustRightInd w:val="0"/>
        <w:snapToGrid w:val="0"/>
        <w:spacing w:line="360" w:lineRule="auto"/>
        <w:jc w:val="left"/>
        <w:rPr>
          <w:rFonts w:eastAsia="宋体"/>
          <w:color w:val="auto"/>
          <w:sz w:val="24"/>
          <w:highlight w:val="none"/>
        </w:rPr>
      </w:pPr>
    </w:p>
    <w:p w14:paraId="3E753FEB">
      <w:pPr>
        <w:shd w:val="clear"/>
        <w:adjustRightInd w:val="0"/>
        <w:snapToGrid w:val="0"/>
        <w:spacing w:line="360" w:lineRule="auto"/>
        <w:ind w:firstLine="480" w:firstLineChars="200"/>
        <w:jc w:val="right"/>
        <w:rPr>
          <w:rFonts w:eastAsia="宋体"/>
          <w:color w:val="auto"/>
          <w:sz w:val="24"/>
          <w:highlight w:val="none"/>
        </w:rPr>
      </w:pPr>
      <w:r>
        <w:rPr>
          <w:rFonts w:eastAsia="宋体"/>
          <w:color w:val="auto"/>
          <w:sz w:val="24"/>
          <w:highlight w:val="none"/>
        </w:rPr>
        <w:t>供应商名称（盖章）：_______</w:t>
      </w:r>
    </w:p>
    <w:p w14:paraId="7912BDF2">
      <w:pPr>
        <w:shd w:val="clear"/>
        <w:spacing w:line="360" w:lineRule="auto"/>
        <w:jc w:val="right"/>
        <w:rPr>
          <w:rFonts w:eastAsia="宋体"/>
          <w:b/>
          <w:color w:val="auto"/>
          <w:sz w:val="24"/>
          <w:highlight w:val="none"/>
        </w:rPr>
      </w:pPr>
      <w:r>
        <w:rPr>
          <w:rFonts w:eastAsia="宋体"/>
          <w:color w:val="auto"/>
          <w:sz w:val="24"/>
          <w:szCs w:val="20"/>
          <w:highlight w:val="none"/>
        </w:rPr>
        <w:t>日期：____年____月____日</w:t>
      </w:r>
    </w:p>
    <w:p w14:paraId="15201BCA">
      <w:pPr>
        <w:shd w:val="clear"/>
        <w:tabs>
          <w:tab w:val="left" w:pos="360"/>
        </w:tabs>
        <w:snapToGrid w:val="0"/>
        <w:spacing w:line="360" w:lineRule="auto"/>
        <w:outlineLvl w:val="1"/>
        <w:rPr>
          <w:rFonts w:eastAsia="宋体"/>
          <w:color w:val="auto"/>
          <w:sz w:val="24"/>
          <w:szCs w:val="20"/>
          <w:highlight w:val="none"/>
        </w:rPr>
      </w:pPr>
      <w:r>
        <w:rPr>
          <w:rFonts w:eastAsia="宋体"/>
          <w:color w:val="auto"/>
          <w:sz w:val="24"/>
          <w:szCs w:val="20"/>
          <w:highlight w:val="none"/>
        </w:rPr>
        <w:br w:type="page"/>
      </w:r>
      <w:r>
        <w:rPr>
          <w:rFonts w:eastAsia="宋体"/>
          <w:color w:val="auto"/>
          <w:sz w:val="24"/>
          <w:highlight w:val="none"/>
        </w:rPr>
        <w:t>12  竞争性磋商文件要求提供或供应商认为应附的其他材料</w:t>
      </w:r>
    </w:p>
    <w:p w14:paraId="63872554">
      <w:pPr>
        <w:widowControl/>
        <w:shd w:val="clear"/>
        <w:jc w:val="left"/>
        <w:rPr>
          <w:rFonts w:eastAsia="宋体"/>
          <w:b/>
          <w:color w:val="auto"/>
          <w:sz w:val="36"/>
          <w:szCs w:val="36"/>
          <w:highlight w:val="none"/>
        </w:rPr>
      </w:pPr>
    </w:p>
    <w:p w14:paraId="7BBE03FB">
      <w:pPr>
        <w:widowControl/>
        <w:shd w:val="clear"/>
        <w:jc w:val="left"/>
        <w:rPr>
          <w:rFonts w:eastAsia="宋体"/>
          <w:b/>
          <w:color w:val="auto"/>
          <w:sz w:val="36"/>
          <w:szCs w:val="36"/>
          <w:highlight w:val="none"/>
        </w:rPr>
      </w:pPr>
      <w:r>
        <w:rPr>
          <w:rFonts w:eastAsia="宋体"/>
          <w:b/>
          <w:color w:val="auto"/>
          <w:sz w:val="36"/>
          <w:szCs w:val="36"/>
          <w:highlight w:val="none"/>
        </w:rPr>
        <w:br w:type="page"/>
      </w:r>
    </w:p>
    <w:p w14:paraId="34CF6449">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13  最后报价一览表（实质性格式，磋商后提交）</w:t>
      </w:r>
    </w:p>
    <w:p w14:paraId="6CF17B5F">
      <w:pPr>
        <w:widowControl/>
        <w:shd w:val="clear"/>
        <w:jc w:val="left"/>
        <w:rPr>
          <w:rFonts w:eastAsia="宋体"/>
          <w:color w:val="auto"/>
          <w:kern w:val="0"/>
          <w:sz w:val="24"/>
          <w:szCs w:val="20"/>
          <w:highlight w:val="none"/>
        </w:rPr>
      </w:pPr>
    </w:p>
    <w:p w14:paraId="451597B6">
      <w:pPr>
        <w:shd w:val="clear"/>
        <w:spacing w:line="360" w:lineRule="exact"/>
        <w:ind w:firstLine="720"/>
        <w:jc w:val="center"/>
        <w:rPr>
          <w:rFonts w:eastAsia="宋体"/>
          <w:b/>
          <w:color w:val="auto"/>
          <w:sz w:val="36"/>
          <w:szCs w:val="36"/>
          <w:highlight w:val="none"/>
        </w:rPr>
      </w:pPr>
      <w:r>
        <w:rPr>
          <w:rFonts w:hint="eastAsia" w:eastAsia="宋体"/>
          <w:b/>
          <w:color w:val="auto"/>
          <w:sz w:val="36"/>
          <w:szCs w:val="36"/>
          <w:highlight w:val="none"/>
        </w:rPr>
        <w:t>最后报价一览表</w:t>
      </w:r>
    </w:p>
    <w:p w14:paraId="71098680">
      <w:pPr>
        <w:shd w:val="clear"/>
        <w:tabs>
          <w:tab w:val="left" w:pos="1800"/>
          <w:tab w:val="left" w:pos="5580"/>
        </w:tabs>
        <w:spacing w:line="360" w:lineRule="auto"/>
        <w:jc w:val="left"/>
        <w:rPr>
          <w:rFonts w:eastAsia="宋体"/>
          <w:color w:val="auto"/>
          <w:sz w:val="24"/>
          <w:highlight w:val="none"/>
        </w:rPr>
      </w:pPr>
    </w:p>
    <w:p w14:paraId="15260765">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w:t>
      </w:r>
      <w:r>
        <w:rPr>
          <w:rFonts w:hint="eastAsia"/>
          <w:color w:val="auto"/>
          <w:sz w:val="24"/>
          <w:highlight w:val="none"/>
          <w:lang w:val="en-US" w:eastAsia="zh-CN"/>
        </w:rPr>
        <w:t>/包号</w:t>
      </w:r>
      <w:r>
        <w:rPr>
          <w:rFonts w:eastAsia="宋体"/>
          <w:color w:val="auto"/>
          <w:sz w:val="24"/>
          <w:highlight w:val="none"/>
        </w:rPr>
        <w:t>：_______________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471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noWrap w:val="0"/>
            <w:vAlign w:val="center"/>
          </w:tcPr>
          <w:p w14:paraId="42B316B4">
            <w:pPr>
              <w:shd w:val="clear"/>
              <w:tabs>
                <w:tab w:val="left" w:pos="5580"/>
              </w:tabs>
              <w:jc w:val="center"/>
              <w:rPr>
                <w:rFonts w:eastAsia="宋体"/>
                <w:b/>
                <w:color w:val="auto"/>
                <w:sz w:val="24"/>
                <w:highlight w:val="none"/>
              </w:rPr>
            </w:pPr>
            <w:r>
              <w:rPr>
                <w:rFonts w:hint="eastAsia"/>
                <w:b/>
                <w:color w:val="auto"/>
                <w:sz w:val="24"/>
                <w:highlight w:val="none"/>
                <w:lang w:val="en-US" w:eastAsia="zh-CN"/>
              </w:rPr>
              <w:t>包</w:t>
            </w:r>
            <w:r>
              <w:rPr>
                <w:rFonts w:eastAsia="宋体"/>
                <w:b/>
                <w:color w:val="auto"/>
                <w:sz w:val="24"/>
                <w:highlight w:val="none"/>
              </w:rPr>
              <w:t>号</w:t>
            </w:r>
          </w:p>
        </w:tc>
        <w:tc>
          <w:tcPr>
            <w:tcW w:w="2305" w:type="dxa"/>
            <w:vMerge w:val="restart"/>
            <w:noWrap w:val="0"/>
            <w:vAlign w:val="center"/>
          </w:tcPr>
          <w:p w14:paraId="6D2A217E">
            <w:pPr>
              <w:shd w:val="clear"/>
              <w:tabs>
                <w:tab w:val="left" w:pos="5580"/>
              </w:tabs>
              <w:jc w:val="center"/>
              <w:rPr>
                <w:rFonts w:eastAsia="宋体"/>
                <w:b/>
                <w:color w:val="auto"/>
                <w:sz w:val="24"/>
                <w:highlight w:val="none"/>
              </w:rPr>
            </w:pPr>
            <w:r>
              <w:rPr>
                <w:rFonts w:eastAsia="宋体"/>
                <w:b/>
                <w:color w:val="auto"/>
                <w:sz w:val="24"/>
                <w:highlight w:val="none"/>
              </w:rPr>
              <w:t>供应商名称</w:t>
            </w:r>
          </w:p>
        </w:tc>
        <w:tc>
          <w:tcPr>
            <w:tcW w:w="3240" w:type="dxa"/>
            <w:gridSpan w:val="2"/>
            <w:noWrap w:val="0"/>
            <w:vAlign w:val="center"/>
          </w:tcPr>
          <w:p w14:paraId="44A34012">
            <w:pPr>
              <w:shd w:val="clear"/>
              <w:tabs>
                <w:tab w:val="left" w:pos="5580"/>
              </w:tabs>
              <w:jc w:val="center"/>
              <w:rPr>
                <w:rFonts w:eastAsia="宋体"/>
                <w:b/>
                <w:color w:val="auto"/>
                <w:sz w:val="24"/>
                <w:highlight w:val="none"/>
              </w:rPr>
            </w:pPr>
            <w:r>
              <w:rPr>
                <w:rFonts w:eastAsia="宋体"/>
                <w:b/>
                <w:color w:val="auto"/>
                <w:sz w:val="24"/>
                <w:highlight w:val="none"/>
              </w:rPr>
              <w:t>最后报价</w:t>
            </w:r>
          </w:p>
        </w:tc>
        <w:tc>
          <w:tcPr>
            <w:tcW w:w="1460" w:type="dxa"/>
            <w:vMerge w:val="restart"/>
            <w:noWrap w:val="0"/>
            <w:vAlign w:val="center"/>
          </w:tcPr>
          <w:p w14:paraId="4B4D7D43">
            <w:pPr>
              <w:shd w:val="clear"/>
              <w:tabs>
                <w:tab w:val="left" w:pos="5580"/>
              </w:tabs>
              <w:jc w:val="center"/>
              <w:rPr>
                <w:rFonts w:eastAsia="宋体"/>
                <w:b/>
                <w:color w:val="auto"/>
                <w:sz w:val="24"/>
                <w:highlight w:val="none"/>
              </w:rPr>
            </w:pPr>
            <w:r>
              <w:rPr>
                <w:rFonts w:eastAsia="宋体"/>
                <w:b/>
                <w:color w:val="auto"/>
                <w:sz w:val="24"/>
                <w:highlight w:val="none"/>
              </w:rPr>
              <w:t>其他</w:t>
            </w:r>
          </w:p>
          <w:p w14:paraId="26ACA99A">
            <w:pPr>
              <w:shd w:val="clear"/>
              <w:tabs>
                <w:tab w:val="left" w:pos="5580"/>
              </w:tabs>
              <w:jc w:val="center"/>
              <w:rPr>
                <w:rFonts w:eastAsia="宋体"/>
                <w:b/>
                <w:color w:val="auto"/>
                <w:sz w:val="24"/>
                <w:highlight w:val="none"/>
              </w:rPr>
            </w:pPr>
            <w:r>
              <w:rPr>
                <w:rFonts w:eastAsia="宋体"/>
                <w:b/>
                <w:color w:val="auto"/>
                <w:sz w:val="24"/>
                <w:highlight w:val="none"/>
              </w:rPr>
              <w:t>声明</w:t>
            </w:r>
          </w:p>
        </w:tc>
      </w:tr>
      <w:tr w14:paraId="64BA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noWrap w:val="0"/>
            <w:vAlign w:val="center"/>
          </w:tcPr>
          <w:p w14:paraId="2C22BE19">
            <w:pPr>
              <w:shd w:val="clear"/>
              <w:tabs>
                <w:tab w:val="left" w:pos="5580"/>
              </w:tabs>
              <w:jc w:val="center"/>
              <w:rPr>
                <w:rFonts w:eastAsia="宋体"/>
                <w:color w:val="auto"/>
                <w:sz w:val="24"/>
                <w:highlight w:val="none"/>
              </w:rPr>
            </w:pPr>
          </w:p>
        </w:tc>
        <w:tc>
          <w:tcPr>
            <w:tcW w:w="2305" w:type="dxa"/>
            <w:vMerge w:val="continue"/>
            <w:noWrap w:val="0"/>
            <w:vAlign w:val="center"/>
          </w:tcPr>
          <w:p w14:paraId="1796D14D">
            <w:pPr>
              <w:shd w:val="clear"/>
              <w:tabs>
                <w:tab w:val="left" w:pos="5580"/>
              </w:tabs>
              <w:jc w:val="center"/>
              <w:rPr>
                <w:rFonts w:eastAsia="宋体"/>
                <w:color w:val="auto"/>
                <w:sz w:val="24"/>
                <w:highlight w:val="none"/>
              </w:rPr>
            </w:pPr>
          </w:p>
        </w:tc>
        <w:tc>
          <w:tcPr>
            <w:tcW w:w="1714" w:type="dxa"/>
            <w:noWrap w:val="0"/>
            <w:vAlign w:val="center"/>
          </w:tcPr>
          <w:p w14:paraId="0195836F">
            <w:pPr>
              <w:shd w:val="clear"/>
              <w:tabs>
                <w:tab w:val="left" w:pos="5580"/>
              </w:tabs>
              <w:jc w:val="center"/>
              <w:rPr>
                <w:rFonts w:eastAsia="宋体"/>
                <w:b/>
                <w:color w:val="auto"/>
                <w:sz w:val="24"/>
                <w:highlight w:val="none"/>
              </w:rPr>
            </w:pPr>
            <w:r>
              <w:rPr>
                <w:rFonts w:eastAsia="宋体"/>
                <w:b/>
                <w:color w:val="auto"/>
                <w:sz w:val="24"/>
                <w:highlight w:val="none"/>
              </w:rPr>
              <w:t>大写</w:t>
            </w:r>
          </w:p>
        </w:tc>
        <w:tc>
          <w:tcPr>
            <w:tcW w:w="1526" w:type="dxa"/>
            <w:noWrap w:val="0"/>
            <w:vAlign w:val="center"/>
          </w:tcPr>
          <w:p w14:paraId="22532769">
            <w:pPr>
              <w:shd w:val="clear"/>
              <w:tabs>
                <w:tab w:val="left" w:pos="5580"/>
              </w:tabs>
              <w:jc w:val="center"/>
              <w:rPr>
                <w:rFonts w:eastAsia="宋体"/>
                <w:b/>
                <w:color w:val="auto"/>
                <w:sz w:val="24"/>
                <w:highlight w:val="none"/>
              </w:rPr>
            </w:pPr>
            <w:r>
              <w:rPr>
                <w:rFonts w:eastAsia="宋体"/>
                <w:b/>
                <w:color w:val="auto"/>
                <w:sz w:val="24"/>
                <w:highlight w:val="none"/>
              </w:rPr>
              <w:t>小写</w:t>
            </w:r>
          </w:p>
        </w:tc>
        <w:tc>
          <w:tcPr>
            <w:tcW w:w="1460" w:type="dxa"/>
            <w:vMerge w:val="continue"/>
            <w:noWrap w:val="0"/>
            <w:vAlign w:val="center"/>
          </w:tcPr>
          <w:p w14:paraId="6EB661A9">
            <w:pPr>
              <w:shd w:val="clear"/>
              <w:tabs>
                <w:tab w:val="left" w:pos="5580"/>
              </w:tabs>
              <w:ind w:firstLine="482"/>
              <w:jc w:val="center"/>
              <w:rPr>
                <w:rFonts w:eastAsia="宋体"/>
                <w:b/>
                <w:color w:val="auto"/>
                <w:sz w:val="24"/>
                <w:highlight w:val="none"/>
              </w:rPr>
            </w:pPr>
          </w:p>
        </w:tc>
      </w:tr>
      <w:tr w14:paraId="7381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noWrap w:val="0"/>
            <w:vAlign w:val="center"/>
          </w:tcPr>
          <w:p w14:paraId="096407C8">
            <w:pPr>
              <w:shd w:val="clear"/>
              <w:tabs>
                <w:tab w:val="left" w:pos="5580"/>
              </w:tabs>
              <w:jc w:val="center"/>
              <w:rPr>
                <w:rFonts w:eastAsia="宋体"/>
                <w:color w:val="auto"/>
                <w:sz w:val="24"/>
                <w:highlight w:val="none"/>
              </w:rPr>
            </w:pPr>
          </w:p>
        </w:tc>
        <w:tc>
          <w:tcPr>
            <w:tcW w:w="2305" w:type="dxa"/>
            <w:noWrap w:val="0"/>
            <w:vAlign w:val="center"/>
          </w:tcPr>
          <w:p w14:paraId="0FF3CAC5">
            <w:pPr>
              <w:shd w:val="clear"/>
              <w:tabs>
                <w:tab w:val="left" w:pos="5580"/>
              </w:tabs>
              <w:jc w:val="center"/>
              <w:rPr>
                <w:rFonts w:eastAsia="宋体"/>
                <w:color w:val="auto"/>
                <w:sz w:val="24"/>
                <w:highlight w:val="none"/>
              </w:rPr>
            </w:pPr>
          </w:p>
        </w:tc>
        <w:tc>
          <w:tcPr>
            <w:tcW w:w="1714" w:type="dxa"/>
            <w:noWrap w:val="0"/>
            <w:vAlign w:val="center"/>
          </w:tcPr>
          <w:p w14:paraId="31DCE541">
            <w:pPr>
              <w:shd w:val="clear"/>
              <w:tabs>
                <w:tab w:val="left" w:pos="5580"/>
              </w:tabs>
              <w:jc w:val="center"/>
              <w:rPr>
                <w:rFonts w:eastAsia="宋体"/>
                <w:color w:val="auto"/>
                <w:sz w:val="24"/>
                <w:highlight w:val="none"/>
              </w:rPr>
            </w:pPr>
          </w:p>
        </w:tc>
        <w:tc>
          <w:tcPr>
            <w:tcW w:w="1526" w:type="dxa"/>
            <w:noWrap w:val="0"/>
            <w:vAlign w:val="center"/>
          </w:tcPr>
          <w:p w14:paraId="5FA09800">
            <w:pPr>
              <w:shd w:val="clear"/>
              <w:tabs>
                <w:tab w:val="left" w:pos="5580"/>
              </w:tabs>
              <w:jc w:val="center"/>
              <w:rPr>
                <w:rFonts w:eastAsia="宋体"/>
                <w:color w:val="auto"/>
                <w:sz w:val="24"/>
                <w:highlight w:val="none"/>
              </w:rPr>
            </w:pPr>
          </w:p>
        </w:tc>
        <w:tc>
          <w:tcPr>
            <w:tcW w:w="1460" w:type="dxa"/>
            <w:noWrap w:val="0"/>
            <w:vAlign w:val="center"/>
          </w:tcPr>
          <w:p w14:paraId="538C9F4D">
            <w:pPr>
              <w:shd w:val="clear"/>
              <w:tabs>
                <w:tab w:val="left" w:pos="5580"/>
              </w:tabs>
              <w:jc w:val="center"/>
              <w:rPr>
                <w:rFonts w:eastAsia="宋体"/>
                <w:color w:val="auto"/>
                <w:sz w:val="24"/>
                <w:highlight w:val="none"/>
              </w:rPr>
            </w:pPr>
          </w:p>
        </w:tc>
      </w:tr>
    </w:tbl>
    <w:p w14:paraId="528CDEA5">
      <w:pPr>
        <w:shd w:val="clear"/>
        <w:autoSpaceDE w:val="0"/>
        <w:autoSpaceDN w:val="0"/>
        <w:adjustRightInd w:val="0"/>
        <w:jc w:val="left"/>
        <w:rPr>
          <w:rFonts w:eastAsia="宋体"/>
          <w:color w:val="auto"/>
          <w:kern w:val="0"/>
          <w:sz w:val="24"/>
          <w:highlight w:val="none"/>
        </w:rPr>
      </w:pPr>
    </w:p>
    <w:p w14:paraId="557B049A">
      <w:pPr>
        <w:shd w:val="clear"/>
        <w:autoSpaceDE w:val="0"/>
        <w:autoSpaceDN w:val="0"/>
        <w:adjustRightInd w:val="0"/>
        <w:jc w:val="left"/>
        <w:rPr>
          <w:rFonts w:eastAsia="宋体"/>
          <w:color w:val="auto"/>
          <w:sz w:val="24"/>
          <w:szCs w:val="20"/>
          <w:highlight w:val="none"/>
        </w:rPr>
      </w:pPr>
      <w:r>
        <w:rPr>
          <w:rFonts w:eastAsia="宋体"/>
          <w:color w:val="auto"/>
          <w:kern w:val="0"/>
          <w:sz w:val="24"/>
          <w:highlight w:val="none"/>
        </w:rPr>
        <w:t>注：1</w:t>
      </w:r>
      <w:r>
        <w:rPr>
          <w:rFonts w:eastAsia="宋体"/>
          <w:color w:val="auto"/>
          <w:sz w:val="24"/>
          <w:szCs w:val="20"/>
          <w:highlight w:val="none"/>
        </w:rPr>
        <w:t>.此表中，每包的报价应和《最后分项报价表》中的总价相一致。</w:t>
      </w:r>
    </w:p>
    <w:p w14:paraId="0AA9B0F1">
      <w:pPr>
        <w:shd w:val="clear"/>
        <w:tabs>
          <w:tab w:val="left" w:pos="5580"/>
        </w:tabs>
        <w:ind w:firstLine="480" w:firstLineChars="200"/>
        <w:rPr>
          <w:rFonts w:eastAsia="宋体"/>
          <w:color w:val="auto"/>
          <w:sz w:val="24"/>
          <w:szCs w:val="20"/>
          <w:highlight w:val="none"/>
        </w:rPr>
      </w:pPr>
      <w:r>
        <w:rPr>
          <w:rFonts w:eastAsia="宋体"/>
          <w:color w:val="auto"/>
          <w:sz w:val="24"/>
          <w:szCs w:val="20"/>
          <w:highlight w:val="none"/>
        </w:rPr>
        <w:t>2.本表必须按包分别填写。</w:t>
      </w:r>
    </w:p>
    <w:p w14:paraId="4A10433C">
      <w:pPr>
        <w:shd w:val="clear"/>
        <w:autoSpaceDE w:val="0"/>
        <w:autoSpaceDN w:val="0"/>
        <w:adjustRightInd w:val="0"/>
        <w:snapToGrid w:val="0"/>
        <w:spacing w:before="25" w:after="25" w:line="360" w:lineRule="auto"/>
        <w:rPr>
          <w:rFonts w:eastAsia="宋体"/>
          <w:color w:val="auto"/>
          <w:sz w:val="24"/>
          <w:highlight w:val="none"/>
          <w:lang w:val="zh-CN"/>
        </w:rPr>
      </w:pPr>
    </w:p>
    <w:p w14:paraId="7CDB20C2">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lang w:val="zh-CN"/>
        </w:rPr>
        <w:t xml:space="preserve">      </w:t>
      </w:r>
    </w:p>
    <w:p w14:paraId="2FAEE805">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供应商授权代表签字（或加盖供应商公章）</w:t>
      </w:r>
      <w:r>
        <w:rPr>
          <w:rFonts w:eastAsia="宋体"/>
          <w:color w:val="auto"/>
          <w:sz w:val="24"/>
          <w:highlight w:val="none"/>
          <w:lang w:val="zh-CN"/>
        </w:rPr>
        <w:t xml:space="preserve">：___________ </w:t>
      </w:r>
    </w:p>
    <w:p w14:paraId="3C440428">
      <w:pPr>
        <w:widowControl/>
        <w:shd w:val="clear"/>
        <w:jc w:val="left"/>
        <w:rPr>
          <w:rFonts w:eastAsia="宋体"/>
          <w:color w:val="auto"/>
          <w:sz w:val="24"/>
          <w:szCs w:val="20"/>
          <w:highlight w:val="none"/>
        </w:rPr>
      </w:pPr>
      <w:r>
        <w:rPr>
          <w:rFonts w:eastAsia="宋体"/>
          <w:color w:val="auto"/>
          <w:sz w:val="24"/>
          <w:szCs w:val="20"/>
          <w:highlight w:val="none"/>
        </w:rPr>
        <w:t xml:space="preserve">日期：____年____月____日   </w:t>
      </w:r>
    </w:p>
    <w:p w14:paraId="1C6F3FD6">
      <w:pPr>
        <w:widowControl/>
        <w:shd w:val="clear"/>
        <w:jc w:val="left"/>
        <w:rPr>
          <w:rFonts w:eastAsia="宋体"/>
          <w:color w:val="auto"/>
          <w:sz w:val="24"/>
          <w:szCs w:val="20"/>
          <w:highlight w:val="none"/>
        </w:rPr>
      </w:pPr>
      <w:r>
        <w:rPr>
          <w:rFonts w:eastAsia="宋体"/>
          <w:color w:val="auto"/>
          <w:sz w:val="24"/>
          <w:szCs w:val="20"/>
          <w:highlight w:val="none"/>
        </w:rPr>
        <w:br w:type="page"/>
      </w:r>
    </w:p>
    <w:p w14:paraId="0C14DCD8">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14  最后分项报价表（实质性格式）</w:t>
      </w:r>
    </w:p>
    <w:p w14:paraId="499E31BB">
      <w:pPr>
        <w:shd w:val="clear"/>
        <w:tabs>
          <w:tab w:val="left" w:pos="1800"/>
          <w:tab w:val="left" w:pos="5580"/>
        </w:tabs>
        <w:rPr>
          <w:rFonts w:eastAsia="宋体"/>
          <w:color w:val="auto"/>
          <w:sz w:val="24"/>
          <w:highlight w:val="none"/>
        </w:rPr>
      </w:pPr>
    </w:p>
    <w:p w14:paraId="417D9359">
      <w:pPr>
        <w:shd w:val="clear"/>
        <w:tabs>
          <w:tab w:val="left" w:pos="1800"/>
          <w:tab w:val="left" w:pos="5580"/>
        </w:tabs>
        <w:rPr>
          <w:rFonts w:eastAsia="宋体"/>
          <w:color w:val="auto"/>
          <w:sz w:val="24"/>
          <w:highlight w:val="none"/>
        </w:rPr>
      </w:pPr>
      <w:r>
        <w:rPr>
          <w:rFonts w:eastAsia="宋体"/>
          <w:color w:val="auto"/>
          <w:sz w:val="24"/>
          <w:highlight w:val="none"/>
        </w:rPr>
        <w:t>项目编号/包号：_________ 项目名称：_________报价单位：人民币元</w:t>
      </w:r>
    </w:p>
    <w:p w14:paraId="610447F1">
      <w:pPr>
        <w:pStyle w:val="82"/>
        <w:shd w:val="clear"/>
        <w:rPr>
          <w:color w:val="auto"/>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3A0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64021698">
            <w:pPr>
              <w:shd w:val="clear"/>
              <w:adjustRightInd w:val="0"/>
              <w:snapToGrid w:val="0"/>
              <w:jc w:val="left"/>
              <w:rPr>
                <w:rFonts w:eastAsia="宋体"/>
                <w:b/>
                <w:color w:val="auto"/>
                <w:sz w:val="24"/>
                <w:highlight w:val="none"/>
              </w:rPr>
            </w:pPr>
            <w:r>
              <w:rPr>
                <w:rFonts w:eastAsia="宋体"/>
                <w:b/>
                <w:color w:val="auto"/>
                <w:sz w:val="24"/>
                <w:highlight w:val="none"/>
              </w:rPr>
              <w:t>序号</w:t>
            </w:r>
          </w:p>
        </w:tc>
        <w:tc>
          <w:tcPr>
            <w:tcW w:w="3401" w:type="dxa"/>
            <w:noWrap w:val="0"/>
            <w:vAlign w:val="center"/>
          </w:tcPr>
          <w:p w14:paraId="5A1873CC">
            <w:pPr>
              <w:shd w:val="clear"/>
              <w:adjustRightInd w:val="0"/>
              <w:snapToGrid w:val="0"/>
              <w:jc w:val="left"/>
              <w:rPr>
                <w:rFonts w:eastAsia="宋体"/>
                <w:b/>
                <w:color w:val="auto"/>
                <w:sz w:val="24"/>
                <w:highlight w:val="none"/>
              </w:rPr>
            </w:pPr>
            <w:r>
              <w:rPr>
                <w:rFonts w:eastAsia="宋体"/>
                <w:b/>
                <w:color w:val="auto"/>
                <w:sz w:val="24"/>
                <w:highlight w:val="none"/>
              </w:rPr>
              <w:t>分项名称</w:t>
            </w:r>
          </w:p>
        </w:tc>
        <w:tc>
          <w:tcPr>
            <w:tcW w:w="1562" w:type="dxa"/>
            <w:noWrap w:val="0"/>
            <w:vAlign w:val="center"/>
          </w:tcPr>
          <w:p w14:paraId="6AE41668">
            <w:pPr>
              <w:shd w:val="clear"/>
              <w:adjustRightInd w:val="0"/>
              <w:snapToGrid w:val="0"/>
              <w:jc w:val="left"/>
              <w:rPr>
                <w:rFonts w:eastAsia="宋体"/>
                <w:b/>
                <w:color w:val="auto"/>
                <w:sz w:val="24"/>
                <w:highlight w:val="none"/>
              </w:rPr>
            </w:pPr>
            <w:r>
              <w:rPr>
                <w:rFonts w:eastAsia="宋体"/>
                <w:b/>
                <w:color w:val="auto"/>
                <w:sz w:val="24"/>
                <w:highlight w:val="none"/>
              </w:rPr>
              <w:t>单价（元）</w:t>
            </w:r>
          </w:p>
        </w:tc>
        <w:tc>
          <w:tcPr>
            <w:tcW w:w="1560" w:type="dxa"/>
            <w:noWrap w:val="0"/>
            <w:vAlign w:val="center"/>
          </w:tcPr>
          <w:p w14:paraId="41AE6760">
            <w:pPr>
              <w:shd w:val="clear"/>
              <w:adjustRightInd w:val="0"/>
              <w:snapToGrid w:val="0"/>
              <w:jc w:val="left"/>
              <w:rPr>
                <w:rFonts w:eastAsia="宋体"/>
                <w:b/>
                <w:color w:val="auto"/>
                <w:sz w:val="24"/>
                <w:highlight w:val="none"/>
              </w:rPr>
            </w:pPr>
            <w:r>
              <w:rPr>
                <w:rFonts w:eastAsia="宋体"/>
                <w:b/>
                <w:color w:val="auto"/>
                <w:sz w:val="24"/>
                <w:highlight w:val="none"/>
              </w:rPr>
              <w:t>合价（元）</w:t>
            </w:r>
          </w:p>
        </w:tc>
        <w:tc>
          <w:tcPr>
            <w:tcW w:w="1982" w:type="dxa"/>
            <w:noWrap w:val="0"/>
            <w:vAlign w:val="center"/>
          </w:tcPr>
          <w:p w14:paraId="27EEF50F">
            <w:pPr>
              <w:shd w:val="clear"/>
              <w:adjustRightInd w:val="0"/>
              <w:snapToGrid w:val="0"/>
              <w:jc w:val="left"/>
              <w:rPr>
                <w:rFonts w:eastAsia="宋体"/>
                <w:b/>
                <w:color w:val="auto"/>
                <w:sz w:val="24"/>
                <w:highlight w:val="none"/>
              </w:rPr>
            </w:pPr>
            <w:r>
              <w:rPr>
                <w:rFonts w:eastAsia="宋体"/>
                <w:b/>
                <w:color w:val="auto"/>
                <w:sz w:val="24"/>
                <w:highlight w:val="none"/>
              </w:rPr>
              <w:t>备注/说明</w:t>
            </w:r>
          </w:p>
        </w:tc>
      </w:tr>
      <w:tr w14:paraId="58A8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495F95AC">
            <w:pPr>
              <w:shd w:val="clear"/>
              <w:adjustRightInd w:val="0"/>
              <w:snapToGrid w:val="0"/>
              <w:jc w:val="center"/>
              <w:rPr>
                <w:rFonts w:eastAsia="宋体"/>
                <w:color w:val="auto"/>
                <w:sz w:val="24"/>
                <w:highlight w:val="none"/>
              </w:rPr>
            </w:pPr>
            <w:r>
              <w:rPr>
                <w:rFonts w:eastAsia="宋体"/>
                <w:color w:val="auto"/>
                <w:sz w:val="24"/>
                <w:highlight w:val="none"/>
              </w:rPr>
              <w:t>1</w:t>
            </w:r>
          </w:p>
        </w:tc>
        <w:tc>
          <w:tcPr>
            <w:tcW w:w="3401" w:type="dxa"/>
            <w:noWrap w:val="0"/>
            <w:vAlign w:val="center"/>
          </w:tcPr>
          <w:p w14:paraId="632C15E8">
            <w:pPr>
              <w:shd w:val="clear"/>
              <w:adjustRightInd w:val="0"/>
              <w:snapToGrid w:val="0"/>
              <w:jc w:val="left"/>
              <w:rPr>
                <w:rFonts w:eastAsia="宋体"/>
                <w:color w:val="auto"/>
                <w:sz w:val="24"/>
                <w:highlight w:val="none"/>
              </w:rPr>
            </w:pPr>
          </w:p>
        </w:tc>
        <w:tc>
          <w:tcPr>
            <w:tcW w:w="1562" w:type="dxa"/>
            <w:noWrap w:val="0"/>
            <w:vAlign w:val="center"/>
          </w:tcPr>
          <w:p w14:paraId="690A6153">
            <w:pPr>
              <w:shd w:val="clear"/>
              <w:adjustRightInd w:val="0"/>
              <w:snapToGrid w:val="0"/>
              <w:jc w:val="left"/>
              <w:rPr>
                <w:rFonts w:eastAsia="宋体"/>
                <w:color w:val="auto"/>
                <w:sz w:val="24"/>
                <w:highlight w:val="none"/>
              </w:rPr>
            </w:pPr>
          </w:p>
        </w:tc>
        <w:tc>
          <w:tcPr>
            <w:tcW w:w="1560" w:type="dxa"/>
            <w:noWrap w:val="0"/>
            <w:vAlign w:val="center"/>
          </w:tcPr>
          <w:p w14:paraId="65511425">
            <w:pPr>
              <w:shd w:val="clear"/>
              <w:adjustRightInd w:val="0"/>
              <w:snapToGrid w:val="0"/>
              <w:jc w:val="left"/>
              <w:rPr>
                <w:rFonts w:eastAsia="宋体"/>
                <w:color w:val="auto"/>
                <w:sz w:val="24"/>
                <w:highlight w:val="none"/>
              </w:rPr>
            </w:pPr>
          </w:p>
        </w:tc>
        <w:tc>
          <w:tcPr>
            <w:tcW w:w="1982" w:type="dxa"/>
            <w:noWrap w:val="0"/>
            <w:vAlign w:val="center"/>
          </w:tcPr>
          <w:p w14:paraId="775503FB">
            <w:pPr>
              <w:shd w:val="clear"/>
              <w:adjustRightInd w:val="0"/>
              <w:snapToGrid w:val="0"/>
              <w:jc w:val="left"/>
              <w:rPr>
                <w:rFonts w:eastAsia="宋体"/>
                <w:color w:val="auto"/>
                <w:sz w:val="24"/>
                <w:highlight w:val="none"/>
              </w:rPr>
            </w:pPr>
          </w:p>
        </w:tc>
      </w:tr>
      <w:tr w14:paraId="7E41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58227266">
            <w:pPr>
              <w:shd w:val="clear"/>
              <w:adjustRightInd w:val="0"/>
              <w:snapToGrid w:val="0"/>
              <w:jc w:val="center"/>
              <w:rPr>
                <w:rFonts w:eastAsia="宋体"/>
                <w:color w:val="auto"/>
                <w:sz w:val="24"/>
                <w:highlight w:val="none"/>
              </w:rPr>
            </w:pPr>
            <w:r>
              <w:rPr>
                <w:rFonts w:eastAsia="宋体"/>
                <w:color w:val="auto"/>
                <w:sz w:val="24"/>
                <w:highlight w:val="none"/>
              </w:rPr>
              <w:t>2</w:t>
            </w:r>
          </w:p>
        </w:tc>
        <w:tc>
          <w:tcPr>
            <w:tcW w:w="3401" w:type="dxa"/>
            <w:noWrap w:val="0"/>
            <w:vAlign w:val="center"/>
          </w:tcPr>
          <w:p w14:paraId="23E887FA">
            <w:pPr>
              <w:shd w:val="clear"/>
              <w:adjustRightInd w:val="0"/>
              <w:snapToGrid w:val="0"/>
              <w:jc w:val="left"/>
              <w:rPr>
                <w:rFonts w:eastAsia="宋体"/>
                <w:color w:val="auto"/>
                <w:sz w:val="24"/>
                <w:highlight w:val="none"/>
              </w:rPr>
            </w:pPr>
          </w:p>
        </w:tc>
        <w:tc>
          <w:tcPr>
            <w:tcW w:w="1562" w:type="dxa"/>
            <w:noWrap w:val="0"/>
            <w:vAlign w:val="center"/>
          </w:tcPr>
          <w:p w14:paraId="2D0469EB">
            <w:pPr>
              <w:shd w:val="clear"/>
              <w:adjustRightInd w:val="0"/>
              <w:snapToGrid w:val="0"/>
              <w:jc w:val="left"/>
              <w:rPr>
                <w:rFonts w:eastAsia="宋体"/>
                <w:color w:val="auto"/>
                <w:sz w:val="24"/>
                <w:highlight w:val="none"/>
              </w:rPr>
            </w:pPr>
          </w:p>
        </w:tc>
        <w:tc>
          <w:tcPr>
            <w:tcW w:w="1560" w:type="dxa"/>
            <w:noWrap w:val="0"/>
            <w:vAlign w:val="center"/>
          </w:tcPr>
          <w:p w14:paraId="7AA79A7D">
            <w:pPr>
              <w:shd w:val="clear"/>
              <w:adjustRightInd w:val="0"/>
              <w:snapToGrid w:val="0"/>
              <w:jc w:val="left"/>
              <w:rPr>
                <w:rFonts w:eastAsia="宋体"/>
                <w:color w:val="auto"/>
                <w:sz w:val="24"/>
                <w:highlight w:val="none"/>
              </w:rPr>
            </w:pPr>
          </w:p>
        </w:tc>
        <w:tc>
          <w:tcPr>
            <w:tcW w:w="1982" w:type="dxa"/>
            <w:noWrap w:val="0"/>
            <w:vAlign w:val="center"/>
          </w:tcPr>
          <w:p w14:paraId="618D4547">
            <w:pPr>
              <w:shd w:val="clear"/>
              <w:adjustRightInd w:val="0"/>
              <w:snapToGrid w:val="0"/>
              <w:jc w:val="left"/>
              <w:rPr>
                <w:rFonts w:eastAsia="宋体"/>
                <w:color w:val="auto"/>
                <w:sz w:val="24"/>
                <w:highlight w:val="none"/>
              </w:rPr>
            </w:pPr>
          </w:p>
        </w:tc>
      </w:tr>
      <w:tr w14:paraId="73D6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0C1503B3">
            <w:pPr>
              <w:shd w:val="clear"/>
              <w:adjustRightInd w:val="0"/>
              <w:snapToGrid w:val="0"/>
              <w:jc w:val="center"/>
              <w:rPr>
                <w:rFonts w:eastAsia="宋体"/>
                <w:color w:val="auto"/>
                <w:sz w:val="24"/>
                <w:highlight w:val="none"/>
              </w:rPr>
            </w:pPr>
            <w:r>
              <w:rPr>
                <w:rFonts w:eastAsia="宋体"/>
                <w:color w:val="auto"/>
                <w:sz w:val="24"/>
                <w:highlight w:val="none"/>
              </w:rPr>
              <w:t>3</w:t>
            </w:r>
          </w:p>
        </w:tc>
        <w:tc>
          <w:tcPr>
            <w:tcW w:w="3401" w:type="dxa"/>
            <w:noWrap w:val="0"/>
            <w:vAlign w:val="center"/>
          </w:tcPr>
          <w:p w14:paraId="172ECA29">
            <w:pPr>
              <w:shd w:val="clear"/>
              <w:adjustRightInd w:val="0"/>
              <w:snapToGrid w:val="0"/>
              <w:jc w:val="left"/>
              <w:rPr>
                <w:rFonts w:eastAsia="宋体"/>
                <w:color w:val="auto"/>
                <w:sz w:val="24"/>
                <w:highlight w:val="none"/>
              </w:rPr>
            </w:pPr>
            <w:r>
              <w:rPr>
                <w:rFonts w:eastAsia="宋体"/>
                <w:color w:val="auto"/>
                <w:sz w:val="24"/>
                <w:highlight w:val="none"/>
              </w:rPr>
              <w:t>…</w:t>
            </w:r>
          </w:p>
        </w:tc>
        <w:tc>
          <w:tcPr>
            <w:tcW w:w="1562" w:type="dxa"/>
            <w:noWrap w:val="0"/>
            <w:vAlign w:val="center"/>
          </w:tcPr>
          <w:p w14:paraId="322D6B16">
            <w:pPr>
              <w:shd w:val="clear"/>
              <w:adjustRightInd w:val="0"/>
              <w:snapToGrid w:val="0"/>
              <w:jc w:val="left"/>
              <w:rPr>
                <w:rFonts w:eastAsia="宋体"/>
                <w:color w:val="auto"/>
                <w:sz w:val="24"/>
                <w:highlight w:val="none"/>
              </w:rPr>
            </w:pPr>
          </w:p>
        </w:tc>
        <w:tc>
          <w:tcPr>
            <w:tcW w:w="1560" w:type="dxa"/>
            <w:noWrap w:val="0"/>
            <w:vAlign w:val="center"/>
          </w:tcPr>
          <w:p w14:paraId="02EB7FDE">
            <w:pPr>
              <w:shd w:val="clear"/>
              <w:adjustRightInd w:val="0"/>
              <w:snapToGrid w:val="0"/>
              <w:jc w:val="left"/>
              <w:rPr>
                <w:rFonts w:eastAsia="宋体"/>
                <w:color w:val="auto"/>
                <w:sz w:val="24"/>
                <w:highlight w:val="none"/>
              </w:rPr>
            </w:pPr>
          </w:p>
        </w:tc>
        <w:tc>
          <w:tcPr>
            <w:tcW w:w="1982" w:type="dxa"/>
            <w:noWrap w:val="0"/>
            <w:vAlign w:val="center"/>
          </w:tcPr>
          <w:p w14:paraId="05ECF8A1">
            <w:pPr>
              <w:shd w:val="clear"/>
              <w:adjustRightInd w:val="0"/>
              <w:snapToGrid w:val="0"/>
              <w:jc w:val="left"/>
              <w:rPr>
                <w:rFonts w:eastAsia="宋体"/>
                <w:color w:val="auto"/>
                <w:sz w:val="24"/>
                <w:highlight w:val="none"/>
              </w:rPr>
            </w:pPr>
          </w:p>
        </w:tc>
      </w:tr>
      <w:tr w14:paraId="6CA5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noWrap w:val="0"/>
            <w:vAlign w:val="center"/>
          </w:tcPr>
          <w:p w14:paraId="5BEC4269">
            <w:pPr>
              <w:shd w:val="clear"/>
              <w:adjustRightInd w:val="0"/>
              <w:snapToGrid w:val="0"/>
              <w:jc w:val="left"/>
              <w:rPr>
                <w:rFonts w:eastAsia="宋体"/>
                <w:color w:val="auto"/>
                <w:sz w:val="24"/>
                <w:highlight w:val="none"/>
              </w:rPr>
            </w:pPr>
            <w:r>
              <w:rPr>
                <w:rFonts w:eastAsia="宋体"/>
                <w:color w:val="auto"/>
                <w:sz w:val="24"/>
                <w:highlight w:val="none"/>
              </w:rPr>
              <w:t>总价（元）</w:t>
            </w:r>
          </w:p>
        </w:tc>
        <w:tc>
          <w:tcPr>
            <w:tcW w:w="1560" w:type="dxa"/>
            <w:noWrap w:val="0"/>
            <w:vAlign w:val="center"/>
          </w:tcPr>
          <w:p w14:paraId="63CE76B6">
            <w:pPr>
              <w:shd w:val="clear"/>
              <w:adjustRightInd w:val="0"/>
              <w:snapToGrid w:val="0"/>
              <w:jc w:val="left"/>
              <w:rPr>
                <w:rFonts w:eastAsia="宋体"/>
                <w:color w:val="auto"/>
                <w:sz w:val="24"/>
                <w:highlight w:val="none"/>
              </w:rPr>
            </w:pPr>
          </w:p>
        </w:tc>
        <w:tc>
          <w:tcPr>
            <w:tcW w:w="1982" w:type="dxa"/>
            <w:noWrap w:val="0"/>
            <w:vAlign w:val="center"/>
          </w:tcPr>
          <w:p w14:paraId="41EED37C">
            <w:pPr>
              <w:shd w:val="clear"/>
              <w:adjustRightInd w:val="0"/>
              <w:snapToGrid w:val="0"/>
              <w:jc w:val="left"/>
              <w:rPr>
                <w:rFonts w:eastAsia="宋体"/>
                <w:color w:val="auto"/>
                <w:sz w:val="24"/>
                <w:highlight w:val="none"/>
              </w:rPr>
            </w:pPr>
          </w:p>
        </w:tc>
      </w:tr>
    </w:tbl>
    <w:p w14:paraId="57580CD7">
      <w:pPr>
        <w:shd w:val="clear"/>
        <w:tabs>
          <w:tab w:val="left" w:pos="1800"/>
          <w:tab w:val="left" w:pos="5580"/>
        </w:tabs>
        <w:jc w:val="left"/>
        <w:rPr>
          <w:rFonts w:eastAsia="宋体"/>
          <w:color w:val="auto"/>
          <w:sz w:val="24"/>
          <w:highlight w:val="none"/>
        </w:rPr>
      </w:pPr>
    </w:p>
    <w:p w14:paraId="7D9E4ACD">
      <w:pPr>
        <w:shd w:val="clear"/>
        <w:tabs>
          <w:tab w:val="left" w:pos="1800"/>
          <w:tab w:val="left" w:pos="5580"/>
        </w:tabs>
        <w:jc w:val="left"/>
        <w:rPr>
          <w:rFonts w:eastAsia="宋体"/>
          <w:color w:val="auto"/>
          <w:sz w:val="24"/>
          <w:highlight w:val="none"/>
        </w:rPr>
      </w:pPr>
    </w:p>
    <w:p w14:paraId="029ADAF6">
      <w:pPr>
        <w:shd w:val="clear"/>
        <w:tabs>
          <w:tab w:val="left" w:pos="1800"/>
          <w:tab w:val="left" w:pos="5580"/>
        </w:tabs>
        <w:jc w:val="left"/>
        <w:rPr>
          <w:rFonts w:eastAsia="宋体"/>
          <w:color w:val="auto"/>
          <w:sz w:val="24"/>
          <w:highlight w:val="none"/>
        </w:rPr>
      </w:pPr>
    </w:p>
    <w:p w14:paraId="4E93F529">
      <w:pPr>
        <w:shd w:val="clear"/>
        <w:tabs>
          <w:tab w:val="left" w:pos="1800"/>
          <w:tab w:val="left" w:pos="5580"/>
        </w:tabs>
        <w:jc w:val="left"/>
        <w:rPr>
          <w:rFonts w:eastAsia="宋体"/>
          <w:color w:val="auto"/>
          <w:sz w:val="24"/>
          <w:highlight w:val="none"/>
        </w:rPr>
      </w:pPr>
    </w:p>
    <w:p w14:paraId="24EC3A2C">
      <w:pPr>
        <w:shd w:val="clear"/>
        <w:tabs>
          <w:tab w:val="left" w:pos="1800"/>
          <w:tab w:val="left" w:pos="5580"/>
        </w:tabs>
        <w:jc w:val="left"/>
        <w:rPr>
          <w:rFonts w:eastAsia="宋体"/>
          <w:color w:val="auto"/>
          <w:sz w:val="24"/>
          <w:highlight w:val="none"/>
        </w:rPr>
      </w:pPr>
      <w:r>
        <w:rPr>
          <w:rFonts w:eastAsia="宋体"/>
          <w:color w:val="auto"/>
          <w:sz w:val="24"/>
          <w:highlight w:val="none"/>
        </w:rPr>
        <w:t>注：1.本表应按包分别填写</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eastAsia="宋体"/>
          <w:color w:val="auto"/>
          <w:sz w:val="24"/>
          <w:highlight w:val="none"/>
        </w:rPr>
        <w:t>。</w:t>
      </w:r>
    </w:p>
    <w:p w14:paraId="22E53C04">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2.如果不提供分项报价将视为没有实质性响应竞争性磋商文件。</w:t>
      </w:r>
    </w:p>
    <w:p w14:paraId="0B090278">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3.上述各项的详细规格（如有），可另页描述。</w:t>
      </w:r>
    </w:p>
    <w:p w14:paraId="45E60EEC">
      <w:pPr>
        <w:shd w:val="clear"/>
        <w:autoSpaceDE w:val="0"/>
        <w:autoSpaceDN w:val="0"/>
        <w:adjustRightInd w:val="0"/>
        <w:snapToGrid w:val="0"/>
        <w:spacing w:before="25" w:after="25" w:line="360" w:lineRule="auto"/>
        <w:rPr>
          <w:rFonts w:eastAsia="宋体"/>
          <w:color w:val="auto"/>
          <w:sz w:val="24"/>
          <w:highlight w:val="none"/>
          <w:lang w:val="zh-CN"/>
        </w:rPr>
      </w:pPr>
    </w:p>
    <w:p w14:paraId="2EDA5793">
      <w:pPr>
        <w:shd w:val="clear"/>
        <w:autoSpaceDE w:val="0"/>
        <w:autoSpaceDN w:val="0"/>
        <w:adjustRightInd w:val="0"/>
        <w:snapToGrid w:val="0"/>
        <w:spacing w:before="25" w:after="25" w:line="360" w:lineRule="auto"/>
        <w:rPr>
          <w:rFonts w:eastAsia="宋体"/>
          <w:color w:val="auto"/>
          <w:sz w:val="24"/>
          <w:highlight w:val="none"/>
          <w:lang w:val="zh-CN"/>
        </w:rPr>
      </w:pPr>
    </w:p>
    <w:p w14:paraId="46403F30">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kern w:val="0"/>
          <w:sz w:val="24"/>
          <w:highlight w:val="none"/>
        </w:rPr>
        <w:t>供应商授权代表签字（或加盖供应商公章）</w:t>
      </w:r>
      <w:r>
        <w:rPr>
          <w:rFonts w:eastAsia="宋体"/>
          <w:color w:val="auto"/>
          <w:sz w:val="24"/>
          <w:highlight w:val="none"/>
          <w:lang w:val="zh-CN"/>
        </w:rPr>
        <w:t xml:space="preserve">：____________ </w:t>
      </w:r>
    </w:p>
    <w:p w14:paraId="2F506424">
      <w:pPr>
        <w:shd w:val="clear"/>
        <w:autoSpaceDE w:val="0"/>
        <w:autoSpaceDN w:val="0"/>
        <w:adjustRightInd w:val="0"/>
        <w:snapToGrid w:val="0"/>
        <w:spacing w:before="25" w:after="25" w:line="360" w:lineRule="auto"/>
        <w:rPr>
          <w:rFonts w:hint="default" w:eastAsia="宋体"/>
          <w:color w:val="auto"/>
          <w:highlight w:val="none"/>
          <w:lang w:val="en-US" w:eastAsia="zh-CN"/>
        </w:rPr>
      </w:pPr>
      <w:r>
        <w:rPr>
          <w:rFonts w:eastAsia="宋体"/>
          <w:color w:val="auto"/>
          <w:sz w:val="24"/>
          <w:szCs w:val="20"/>
          <w:highlight w:val="none"/>
        </w:rPr>
        <w:t xml:space="preserve">日期：____年____月____日   </w:t>
      </w:r>
    </w:p>
    <w:sectPr>
      <w:pgSz w:w="11907" w:h="16840"/>
      <w:pgMar w:top="1440" w:right="1800" w:bottom="1440" w:left="180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文泉驿微米黑">
    <w:altName w:val="黑体"/>
    <w:panose1 w:val="020B0606030804020204"/>
    <w:charset w:val="86"/>
    <w:family w:val="auto"/>
    <w:pitch w:val="default"/>
    <w:sig w:usb0="00000000" w:usb1="00000000" w:usb2="00800036" w:usb3="00000000" w:csb0="603E019F" w:csb1="DFD7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5B5D">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0502">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594A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BF594A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0A48">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92A4">
                          <w:pPr>
                            <w:pStyle w:val="2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4A92A4">
                    <w:pPr>
                      <w:pStyle w:val="2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19FE">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0876E">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B0876E">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F9E0">
    <w:pPr>
      <w:pStyle w:val="29"/>
      <w:framePr w:wrap="around" w:vAnchor="text" w:hAnchor="margin" w:xAlign="right" w:y="1"/>
      <w:rPr>
        <w:rStyle w:val="49"/>
      </w:rPr>
    </w:pPr>
    <w:r>
      <w:fldChar w:fldCharType="begin"/>
    </w:r>
    <w:r>
      <w:rPr>
        <w:rStyle w:val="49"/>
      </w:rPr>
      <w:instrText xml:space="preserve">PAGE  </w:instrText>
    </w:r>
    <w:r>
      <w:fldChar w:fldCharType="end"/>
    </w:r>
  </w:p>
  <w:p w14:paraId="0B1EBA05">
    <w:pPr>
      <w:pStyle w:val="29"/>
      <w:ind w:right="360"/>
    </w:pPr>
  </w:p>
  <w:p w14:paraId="545E781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064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4208">
    <w:pPr>
      <w:pStyle w:val="29"/>
      <w:framePr w:wrap="around" w:vAnchor="text" w:hAnchor="margin" w:xAlign="center" w:y="1"/>
      <w:rPr>
        <w:rStyle w:val="49"/>
      </w:rPr>
    </w:pPr>
    <w:r>
      <w:fldChar w:fldCharType="begin"/>
    </w:r>
    <w:r>
      <w:rPr>
        <w:rStyle w:val="49"/>
      </w:rPr>
      <w:instrText xml:space="preserve">PAGE  </w:instrText>
    </w:r>
    <w:r>
      <w:fldChar w:fldCharType="end"/>
    </w:r>
  </w:p>
  <w:p w14:paraId="0A18B5AF">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4721">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A55D">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9E3F">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C97B">
    <w:pPr>
      <w:pStyle w:val="29"/>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92BB9">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992BB9">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C451">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B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9A3B7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779E">
    <w:pPr>
      <w:pStyle w:val="29"/>
      <w:framePr w:wrap="around" w:vAnchor="text" w:hAnchor="margin" w:xAlign="right" w:y="1"/>
      <w:rPr>
        <w:rStyle w:val="49"/>
      </w:rPr>
    </w:pPr>
    <w:r>
      <w:fldChar w:fldCharType="begin"/>
    </w:r>
    <w:r>
      <w:rPr>
        <w:rStyle w:val="49"/>
      </w:rPr>
      <w:instrText xml:space="preserve">PAGE  </w:instrText>
    </w:r>
    <w:r>
      <w:fldChar w:fldCharType="end"/>
    </w:r>
  </w:p>
  <w:p w14:paraId="6DF00071">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1F9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5C51">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610">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E2C3">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6137">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DEB2">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LtW9gAAAALAQAADwAAAAAAAAABACAA&#10;AAAiAAAAZHJzL2Rvd25yZXYueG1sUEsBAhQAFAAAAAgAh07iQN46TKoNAgAACAQAAA4AAAAAAAAA&#10;AQAgAAAAJwEAAGRycy9lMm9Eb2MueG1sUEsFBgAAAAAGAAYAWQEAAKYFAAAAAA==&#10;">
              <v:fill on="f" focussize="0,0"/>
              <v:stroke on="f"/>
              <v:imagedata o:title=""/>
              <o:lock v:ext="edit" aspectratio="f"/>
              <v:textbox inset="0mm,0mm,0mm,0mm"/>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D60A">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59264"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SZ0Y&#10;1gAAAAsBAAAPAAAAAAAAAAEAIAAAACIAAABkcnMvZG93bnJldi54bWxQSwECFAAUAAAACACHTuJA&#10;mECNPOoBAADSAwAADgAAAAAAAAABACAAAAAlAQAAZHJzL2Uyb0RvYy54bWxQSwUGAAAAAAYABgBZ&#10;AQAAgQUAAAAA&#10;">
              <v:fill on="f" focussize="0,0"/>
              <v:stroke on="f"/>
              <v:imagedata o:title=""/>
              <o:lock v:ext="edit" aspectratio="f"/>
              <v:shadow on="t" color="#A0A0A4" offset="0pt,0pt" origin="0f,0f" matrix="65536f,0f,0f,65536f"/>
              <v:textbox inset="0mm,0mm,0mm,0m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15E7">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LtW9gAAAALAQAADwAAAAAAAAABACAA&#10;AAAiAAAAZHJzL2Rvd25yZXYueG1sUEsBAhQAFAAAAAgAh07iQNf8A38NAgAACAQAAA4AAAAAAAAA&#10;AQAgAAAAJwEAAGRycy9lMm9Eb2MueG1sUEsFBgAAAAAGAAYAWQEAAKYFAAAAAA==&#10;">
              <v:fill on="f" focussize="0,0"/>
              <v:stroke on="f"/>
              <v:imagedata o:title=""/>
              <o:lock v:ext="edit" aspectratio="f"/>
              <v:textbox inset="0mm,0mm,0mm,0mm"/>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290A">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Ly7VvYAAAACwEAAA8AAAAAAAAAAQAg&#10;AAAAIgAAAGRycy9kb3ducmV2LnhtbFBLAQIUABQAAAAIAIdO4kDhLJO7DgIAAAgEAAAOAAAAAAAA&#10;AAEAIAAAACcBAABkcnMvZTJvRG9jLnhtbFBLBQYAAAAABgAGAFkBAACnBQAAAAA=&#10;">
              <v:fill on="f" focussize="0,0"/>
              <v:stroke on="f"/>
              <v:imagedata o:title=""/>
              <o:lock v:ext="edit" aspectratio="f"/>
              <v:textbox inset="0mm,0mm,0mm,0mm"/>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DAA0">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1312"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3" name="文本框 5"/>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5" o:spid="_x0000_s1026" o:spt="202" type="#_x0000_t202" style="position:absolute;left:0pt;margin-left:89.85pt;margin-top:42.5pt;height:29.45pt;width:415.55pt;mso-position-horizontal-relative:page;mso-position-vertical-relative:page;z-index:-251655168;mso-width-relative:page;mso-height-relative:page;" filled="f" stroked="f" coordsize="21600,21600" o:allowincell="f" o:gfxdata="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SZ0Y1gAAAAsBAAAPAAAAAAAAAAEAIAAAACIA&#10;AABkcnMvZG93bnJldi54bWxQSwECFAAUAAAACACHTuJAbyxpewsCAAAFBAAADgAAAAAAAAABACAA&#10;AAAlAQAAZHJzL2Uyb0RvYy54bWxQSwUGAAAAAAYABgBZAQAAogUAAAAA&#10;">
              <v:fill on="f" focussize="0,0"/>
              <v:stroke on="f"/>
              <v:imagedata o:title=""/>
              <o:lock v:ext="edit" aspectratio="f"/>
              <v:shadow on="t" color="#A0A0A4" offset="0pt,0pt" origin="0f,0f" matrix="65536f,0f,0f,65536f"/>
              <v:textbox inset="0mm,0mm,0mm,0mm"/>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9410">
    <w:pPr>
      <w:pStyle w:val="31"/>
    </w:pPr>
  </w:p>
  <w:p w14:paraId="3C14D7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1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9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3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4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837809"/>
    <w:multiLevelType w:val="multilevel"/>
    <w:tmpl w:val="038378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A56939"/>
    <w:multiLevelType w:val="singleLevel"/>
    <w:tmpl w:val="04A56939"/>
    <w:lvl w:ilvl="0" w:tentative="0">
      <w:start w:val="1"/>
      <w:numFmt w:val="decimal"/>
      <w:suff w:val="nothing"/>
      <w:lvlText w:val="%1、"/>
      <w:lvlJc w:val="left"/>
    </w:lvl>
  </w:abstractNum>
  <w:abstractNum w:abstractNumId="10">
    <w:nsid w:val="0E230849"/>
    <w:multiLevelType w:val="multilevel"/>
    <w:tmpl w:val="0E230849"/>
    <w:lvl w:ilvl="0" w:tentative="0">
      <w:start w:val="1"/>
      <w:numFmt w:val="decimal"/>
      <w:pStyle w:val="236"/>
      <w:lvlText w:val="%1"/>
      <w:lvlJc w:val="left"/>
      <w:pPr>
        <w:ind w:left="680" w:hanging="680"/>
      </w:pPr>
      <w:rPr>
        <w:rFonts w:hint="eastAsia" w:ascii="宋体" w:hAnsi="宋体" w:eastAsia="宋体"/>
      </w:rPr>
    </w:lvl>
    <w:lvl w:ilvl="1" w:tentative="0">
      <w:start w:val="1"/>
      <w:numFmt w:val="decimal"/>
      <w:pStyle w:val="207"/>
      <w:lvlText w:val="%1.%2"/>
      <w:lvlJc w:val="left"/>
      <w:pPr>
        <w:ind w:left="851" w:hanging="851"/>
      </w:pPr>
      <w:rPr>
        <w:rFonts w:hint="eastAsia" w:ascii="宋体" w:hAnsi="宋体" w:eastAsia="宋体"/>
        <w:color w:val="auto"/>
      </w:rPr>
    </w:lvl>
    <w:lvl w:ilvl="2" w:tentative="0">
      <w:start w:val="1"/>
      <w:numFmt w:val="decimal"/>
      <w:pStyle w:val="23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86D886D"/>
    <w:multiLevelType w:val="singleLevel"/>
    <w:tmpl w:val="586D886D"/>
    <w:lvl w:ilvl="0" w:tentative="0">
      <w:start w:val="6"/>
      <w:numFmt w:val="decimal"/>
      <w:lvlText w:val="%1."/>
      <w:lvlJc w:val="left"/>
      <w:pPr>
        <w:tabs>
          <w:tab w:val="left" w:pos="312"/>
        </w:tabs>
      </w:pPr>
    </w:lvl>
  </w:abstractNum>
  <w:abstractNum w:abstractNumId="16">
    <w:nsid w:val="62F3B5E4"/>
    <w:multiLevelType w:val="singleLevel"/>
    <w:tmpl w:val="62F3B5E4"/>
    <w:lvl w:ilvl="0" w:tentative="0">
      <w:start w:val="1"/>
      <w:numFmt w:val="decimal"/>
      <w:lvlText w:val="%1)"/>
      <w:lvlJc w:val="left"/>
      <w:pPr>
        <w:ind w:left="0" w:firstLine="0"/>
      </w:pPr>
    </w:lvl>
  </w:abstractNum>
  <w:num w:numId="1">
    <w:abstractNumId w:val="4"/>
  </w:num>
  <w:num w:numId="2">
    <w:abstractNumId w:val="7"/>
  </w:num>
  <w:num w:numId="3">
    <w:abstractNumId w:val="1"/>
  </w:num>
  <w:num w:numId="4">
    <w:abstractNumId w:val="5"/>
  </w:num>
  <w:num w:numId="5">
    <w:abstractNumId w:val="3"/>
  </w:num>
  <w:num w:numId="6">
    <w:abstractNumId w:val="10"/>
  </w:num>
  <w:num w:numId="7">
    <w:abstractNumId w:val="2"/>
  </w:num>
  <w:num w:numId="8">
    <w:abstractNumId w:val="15"/>
  </w:num>
  <w:num w:numId="9">
    <w:abstractNumId w:val="6"/>
  </w:num>
  <w:num w:numId="10">
    <w:abstractNumId w:val="12"/>
  </w:num>
  <w:num w:numId="11">
    <w:abstractNumId w:val="0"/>
  </w:num>
  <w:num w:numId="12">
    <w:abstractNumId w:val="11"/>
  </w:num>
  <w:num w:numId="13">
    <w:abstractNumId w:val="16"/>
  </w:num>
  <w:num w:numId="14">
    <w:abstractNumId w:val="9"/>
  </w:num>
  <w:num w:numId="15">
    <w:abstractNumId w:val="8"/>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1FE"/>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63"/>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71E1D"/>
    <w:rsid w:val="032C4E8C"/>
    <w:rsid w:val="0372660B"/>
    <w:rsid w:val="04271CBA"/>
    <w:rsid w:val="05015EBE"/>
    <w:rsid w:val="053E693D"/>
    <w:rsid w:val="060F639F"/>
    <w:rsid w:val="07426525"/>
    <w:rsid w:val="077C1812"/>
    <w:rsid w:val="07B53BBC"/>
    <w:rsid w:val="080F5AFF"/>
    <w:rsid w:val="083218D7"/>
    <w:rsid w:val="0A5D6092"/>
    <w:rsid w:val="0B660C1A"/>
    <w:rsid w:val="0DF061FC"/>
    <w:rsid w:val="0E055DB2"/>
    <w:rsid w:val="0F0D18B6"/>
    <w:rsid w:val="11895D7B"/>
    <w:rsid w:val="13F6294C"/>
    <w:rsid w:val="14951E1C"/>
    <w:rsid w:val="154F2729"/>
    <w:rsid w:val="1574621E"/>
    <w:rsid w:val="158F45D2"/>
    <w:rsid w:val="15A72839"/>
    <w:rsid w:val="17F93E0B"/>
    <w:rsid w:val="196E6E1D"/>
    <w:rsid w:val="1BEB0953"/>
    <w:rsid w:val="1C455CA5"/>
    <w:rsid w:val="1C5C6908"/>
    <w:rsid w:val="1D2C69D2"/>
    <w:rsid w:val="20D718A1"/>
    <w:rsid w:val="239E00B4"/>
    <w:rsid w:val="23BC725B"/>
    <w:rsid w:val="251E74A4"/>
    <w:rsid w:val="274E3912"/>
    <w:rsid w:val="27843CE5"/>
    <w:rsid w:val="2A7449CB"/>
    <w:rsid w:val="2B4252E7"/>
    <w:rsid w:val="2C7D6FF0"/>
    <w:rsid w:val="2E741FA8"/>
    <w:rsid w:val="2FBC2F67"/>
    <w:rsid w:val="30A55C4E"/>
    <w:rsid w:val="32D00206"/>
    <w:rsid w:val="32EB653A"/>
    <w:rsid w:val="343926B5"/>
    <w:rsid w:val="35ED65DE"/>
    <w:rsid w:val="362B251A"/>
    <w:rsid w:val="363473D3"/>
    <w:rsid w:val="366E125A"/>
    <w:rsid w:val="36CB5A26"/>
    <w:rsid w:val="39467E8F"/>
    <w:rsid w:val="39C64F86"/>
    <w:rsid w:val="39F97BDD"/>
    <w:rsid w:val="3BCB6780"/>
    <w:rsid w:val="3BF95123"/>
    <w:rsid w:val="3CDE264D"/>
    <w:rsid w:val="3D127BA3"/>
    <w:rsid w:val="3E344F52"/>
    <w:rsid w:val="3EF45B57"/>
    <w:rsid w:val="3F960DB1"/>
    <w:rsid w:val="3FF5F3AE"/>
    <w:rsid w:val="421520D5"/>
    <w:rsid w:val="42CD0A98"/>
    <w:rsid w:val="431A0C09"/>
    <w:rsid w:val="43FA3C0F"/>
    <w:rsid w:val="477F6866"/>
    <w:rsid w:val="480E2158"/>
    <w:rsid w:val="482F485A"/>
    <w:rsid w:val="4847426C"/>
    <w:rsid w:val="4A7E6E31"/>
    <w:rsid w:val="4B65373A"/>
    <w:rsid w:val="4C364D68"/>
    <w:rsid w:val="4C6A4206"/>
    <w:rsid w:val="4D00163A"/>
    <w:rsid w:val="4D435F61"/>
    <w:rsid w:val="4D9B594E"/>
    <w:rsid w:val="4E9E0A68"/>
    <w:rsid w:val="4F0F5BE3"/>
    <w:rsid w:val="4F640014"/>
    <w:rsid w:val="506B19F1"/>
    <w:rsid w:val="509145C1"/>
    <w:rsid w:val="50A07CCD"/>
    <w:rsid w:val="5109158E"/>
    <w:rsid w:val="52422029"/>
    <w:rsid w:val="52DA6291"/>
    <w:rsid w:val="54CE2C61"/>
    <w:rsid w:val="55040901"/>
    <w:rsid w:val="55BF4839"/>
    <w:rsid w:val="56093226"/>
    <w:rsid w:val="56151AED"/>
    <w:rsid w:val="56DF05DE"/>
    <w:rsid w:val="57B728DD"/>
    <w:rsid w:val="57FC6189"/>
    <w:rsid w:val="58D35C29"/>
    <w:rsid w:val="58EB01C7"/>
    <w:rsid w:val="593E7CA2"/>
    <w:rsid w:val="5CCA61A1"/>
    <w:rsid w:val="5D520826"/>
    <w:rsid w:val="5DF2177A"/>
    <w:rsid w:val="5F073306"/>
    <w:rsid w:val="5F425F3A"/>
    <w:rsid w:val="5F5F73B9"/>
    <w:rsid w:val="65CF6B0F"/>
    <w:rsid w:val="672C6A14"/>
    <w:rsid w:val="6838144E"/>
    <w:rsid w:val="68AA7398"/>
    <w:rsid w:val="694474CF"/>
    <w:rsid w:val="69E40B5D"/>
    <w:rsid w:val="6BCC35AF"/>
    <w:rsid w:val="6CB82DBE"/>
    <w:rsid w:val="70366C4E"/>
    <w:rsid w:val="72803E19"/>
    <w:rsid w:val="742C597A"/>
    <w:rsid w:val="74430E9C"/>
    <w:rsid w:val="77073F57"/>
    <w:rsid w:val="77A05382"/>
    <w:rsid w:val="78AE6916"/>
    <w:rsid w:val="7ACB2F18"/>
    <w:rsid w:val="7D9D5F9C"/>
    <w:rsid w:val="7E7F5A9C"/>
    <w:rsid w:val="DF7AD8D6"/>
    <w:rsid w:val="F3EFEC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56"/>
    <w:qFormat/>
    <w:uiPriority w:val="0"/>
    <w:pPr>
      <w:spacing w:after="120" w:line="480" w:lineRule="exact"/>
      <w:ind w:left="420" w:leftChars="200" w:firstLine="420" w:firstLineChars="200"/>
    </w:pPr>
    <w:rPr>
      <w:szCs w:val="20"/>
    </w:rPr>
  </w:style>
  <w:style w:type="paragraph" w:styleId="3">
    <w:name w:val="Body Text Indent"/>
    <w:basedOn w:val="1"/>
    <w:link w:val="55"/>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Normal Indent"/>
    <w:basedOn w:val="1"/>
    <w:next w:val="1"/>
    <w:link w:val="66"/>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7"/>
    <w:qFormat/>
    <w:uiPriority w:val="0"/>
    <w:pPr>
      <w:shd w:val="clear" w:color="auto" w:fill="000080"/>
    </w:pPr>
  </w:style>
  <w:style w:type="paragraph" w:styleId="17">
    <w:name w:val="annotation text"/>
    <w:basedOn w:val="1"/>
    <w:link w:val="68"/>
    <w:qFormat/>
    <w:uiPriority w:val="99"/>
    <w:pPr>
      <w:jc w:val="left"/>
    </w:pPr>
  </w:style>
  <w:style w:type="paragraph" w:styleId="18">
    <w:name w:val="Body Text 3"/>
    <w:basedOn w:val="1"/>
    <w:link w:val="69"/>
    <w:qFormat/>
    <w:uiPriority w:val="0"/>
    <w:pPr>
      <w:spacing w:after="120"/>
    </w:pPr>
    <w:rPr>
      <w:sz w:val="16"/>
      <w:szCs w:val="16"/>
    </w:rPr>
  </w:style>
  <w:style w:type="paragraph" w:styleId="19">
    <w:name w:val="Body Text"/>
    <w:basedOn w:val="1"/>
    <w:next w:val="1"/>
    <w:link w:val="70"/>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0"/>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tabs>
        <w:tab w:val="left" w:pos="1332"/>
      </w:tabs>
    </w:pPr>
    <w:rPr>
      <w:rFonts w:ascii="Calibri" w:hAnsi="Calibri" w:eastAsia="宋体" w:cs="Times New Roman"/>
      <w:szCs w:val="24"/>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7"/>
    <w:next w:val="17"/>
    <w:link w:val="80"/>
    <w:qFormat/>
    <w:uiPriority w:val="0"/>
    <w:rPr>
      <w:b/>
      <w:bCs/>
    </w:rPr>
  </w:style>
  <w:style w:type="paragraph" w:styleId="43">
    <w:name w:val="Body Text First Indent"/>
    <w:basedOn w:val="19"/>
    <w:unhideWhenUsed/>
    <w:qFormat/>
    <w:uiPriority w:val="99"/>
    <w:pPr>
      <w:spacing w:after="120" w:line="240" w:lineRule="auto"/>
      <w:ind w:firstLine="420" w:firstLineChars="100"/>
    </w:pPr>
    <w:rPr>
      <w:color w:val="auto"/>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basedOn w:val="47"/>
    <w:qFormat/>
    <w:uiPriority w:val="99"/>
    <w:rPr>
      <w:sz w:val="21"/>
      <w:szCs w:val="21"/>
    </w:rPr>
  </w:style>
  <w:style w:type="character" w:styleId="54">
    <w:name w:val="HTML Cite"/>
    <w:qFormat/>
    <w:uiPriority w:val="0"/>
    <w:rPr>
      <w:i/>
      <w:iCs/>
    </w:rPr>
  </w:style>
  <w:style w:type="character" w:customStyle="1" w:styleId="55">
    <w:name w:val="正文文本缩进 字符"/>
    <w:link w:val="3"/>
    <w:qFormat/>
    <w:uiPriority w:val="0"/>
    <w:rPr>
      <w:rFonts w:eastAsia="宋体"/>
      <w:kern w:val="2"/>
      <w:sz w:val="24"/>
      <w:szCs w:val="24"/>
      <w:lang w:val="en-US" w:eastAsia="zh-CN" w:bidi="ar-SA"/>
    </w:rPr>
  </w:style>
  <w:style w:type="character" w:customStyle="1" w:styleId="56">
    <w:name w:val="正文首行缩进 2 字符"/>
    <w:basedOn w:val="55"/>
    <w:link w:val="2"/>
    <w:qFormat/>
    <w:uiPriority w:val="0"/>
    <w:rPr>
      <w:rFonts w:eastAsia="宋体"/>
      <w:kern w:val="2"/>
      <w:sz w:val="24"/>
      <w:szCs w:val="24"/>
      <w:lang w:val="en-US" w:eastAsia="zh-CN" w:bidi="ar-SA"/>
    </w:rPr>
  </w:style>
  <w:style w:type="character" w:customStyle="1" w:styleId="57">
    <w:name w:val="标题 1 字符"/>
    <w:basedOn w:val="47"/>
    <w:link w:val="4"/>
    <w:qFormat/>
    <w:uiPriority w:val="0"/>
    <w:rPr>
      <w:rFonts w:ascii="宋体"/>
      <w:b/>
      <w:kern w:val="44"/>
      <w:sz w:val="32"/>
    </w:rPr>
  </w:style>
  <w:style w:type="character" w:customStyle="1" w:styleId="58">
    <w:name w:val="标题 2 字符"/>
    <w:link w:val="5"/>
    <w:qFormat/>
    <w:uiPriority w:val="0"/>
    <w:rPr>
      <w:rFonts w:ascii="Arial" w:hAnsi="Arial" w:eastAsia="黑体"/>
      <w:b/>
      <w:sz w:val="30"/>
      <w:lang w:val="en-US" w:eastAsia="zh-CN" w:bidi="ar-SA"/>
    </w:rPr>
  </w:style>
  <w:style w:type="character" w:customStyle="1" w:styleId="59">
    <w:name w:val="标题 3 字符"/>
    <w:link w:val="6"/>
    <w:qFormat/>
    <w:uiPriority w:val="0"/>
    <w:rPr>
      <w:rFonts w:ascii="宋体" w:eastAsia="宋体"/>
      <w:b/>
      <w:sz w:val="24"/>
      <w:u w:val="single"/>
      <w:lang w:val="en-US" w:eastAsia="zh-CN" w:bidi="ar-SA"/>
    </w:rPr>
  </w:style>
  <w:style w:type="character" w:customStyle="1" w:styleId="60">
    <w:name w:val="标题 4 字符"/>
    <w:basedOn w:val="47"/>
    <w:link w:val="7"/>
    <w:qFormat/>
    <w:uiPriority w:val="0"/>
    <w:rPr>
      <w:rFonts w:ascii="Arial" w:hAnsi="Arial" w:eastAsia="黑体"/>
      <w:b/>
      <w:sz w:val="28"/>
    </w:rPr>
  </w:style>
  <w:style w:type="character" w:customStyle="1" w:styleId="61">
    <w:name w:val="标题 5 字符"/>
    <w:basedOn w:val="47"/>
    <w:link w:val="8"/>
    <w:qFormat/>
    <w:uiPriority w:val="0"/>
    <w:rPr>
      <w:b/>
      <w:sz w:val="28"/>
    </w:rPr>
  </w:style>
  <w:style w:type="character" w:customStyle="1" w:styleId="62">
    <w:name w:val="标题 6 字符"/>
    <w:basedOn w:val="47"/>
    <w:link w:val="9"/>
    <w:qFormat/>
    <w:uiPriority w:val="0"/>
    <w:rPr>
      <w:rFonts w:ascii="Arial" w:hAnsi="Arial" w:eastAsia="黑体"/>
      <w:b/>
      <w:sz w:val="24"/>
    </w:rPr>
  </w:style>
  <w:style w:type="character" w:customStyle="1" w:styleId="63">
    <w:name w:val="标题 7 字符"/>
    <w:basedOn w:val="47"/>
    <w:link w:val="10"/>
    <w:qFormat/>
    <w:uiPriority w:val="0"/>
    <w:rPr>
      <w:b/>
      <w:sz w:val="24"/>
    </w:rPr>
  </w:style>
  <w:style w:type="character" w:customStyle="1" w:styleId="64">
    <w:name w:val="标题 8 字符"/>
    <w:basedOn w:val="47"/>
    <w:link w:val="11"/>
    <w:qFormat/>
    <w:uiPriority w:val="0"/>
    <w:rPr>
      <w:rFonts w:ascii="Arial" w:hAnsi="Arial" w:eastAsia="黑体"/>
      <w:sz w:val="24"/>
    </w:rPr>
  </w:style>
  <w:style w:type="character" w:customStyle="1" w:styleId="65">
    <w:name w:val="标题 9 字符"/>
    <w:basedOn w:val="47"/>
    <w:link w:val="12"/>
    <w:qFormat/>
    <w:uiPriority w:val="0"/>
    <w:rPr>
      <w:rFonts w:ascii="Arial" w:hAnsi="Arial" w:eastAsia="黑体"/>
      <w:sz w:val="21"/>
    </w:rPr>
  </w:style>
  <w:style w:type="character" w:customStyle="1" w:styleId="66">
    <w:name w:val="正文缩进 字符"/>
    <w:link w:val="14"/>
    <w:qFormat/>
    <w:uiPriority w:val="0"/>
    <w:rPr>
      <w:rFonts w:ascii="宋体" w:eastAsia="宋体"/>
      <w:kern w:val="2"/>
      <w:sz w:val="24"/>
      <w:szCs w:val="24"/>
      <w:lang w:val="en-US" w:eastAsia="zh-CN" w:bidi="ar-SA"/>
    </w:rPr>
  </w:style>
  <w:style w:type="character" w:customStyle="1" w:styleId="67">
    <w:name w:val="文档结构图 字符"/>
    <w:basedOn w:val="47"/>
    <w:link w:val="16"/>
    <w:qFormat/>
    <w:uiPriority w:val="0"/>
    <w:rPr>
      <w:kern w:val="2"/>
      <w:sz w:val="21"/>
      <w:szCs w:val="24"/>
      <w:shd w:val="clear" w:color="auto" w:fill="000080"/>
    </w:rPr>
  </w:style>
  <w:style w:type="character" w:customStyle="1" w:styleId="68">
    <w:name w:val="批注文字 字符1"/>
    <w:link w:val="17"/>
    <w:qFormat/>
    <w:uiPriority w:val="99"/>
    <w:rPr>
      <w:kern w:val="2"/>
      <w:sz w:val="21"/>
      <w:szCs w:val="24"/>
    </w:rPr>
  </w:style>
  <w:style w:type="character" w:customStyle="1" w:styleId="69">
    <w:name w:val="正文文本 3 字符"/>
    <w:basedOn w:val="47"/>
    <w:link w:val="18"/>
    <w:qFormat/>
    <w:uiPriority w:val="0"/>
    <w:rPr>
      <w:kern w:val="2"/>
      <w:sz w:val="16"/>
      <w:szCs w:val="16"/>
    </w:rPr>
  </w:style>
  <w:style w:type="character" w:customStyle="1" w:styleId="70">
    <w:name w:val="正文文本 字符"/>
    <w:basedOn w:val="47"/>
    <w:link w:val="19"/>
    <w:qFormat/>
    <w:uiPriority w:val="0"/>
    <w:rPr>
      <w:rFonts w:ascii="宋体" w:hAnsi="宋体"/>
      <w:kern w:val="2"/>
      <w:sz w:val="24"/>
      <w:szCs w:val="24"/>
    </w:rPr>
  </w:style>
  <w:style w:type="character" w:customStyle="1" w:styleId="71">
    <w:name w:val="纯文本 字符2"/>
    <w:basedOn w:val="47"/>
    <w:link w:val="24"/>
    <w:qFormat/>
    <w:uiPriority w:val="0"/>
    <w:rPr>
      <w:rFonts w:hint="eastAsia" w:ascii="宋体" w:hAnsi="Courier New" w:eastAsia="宋体" w:cs="宋体"/>
      <w:kern w:val="2"/>
      <w:sz w:val="21"/>
    </w:rPr>
  </w:style>
  <w:style w:type="character" w:customStyle="1" w:styleId="72">
    <w:name w:val="日期 字符"/>
    <w:basedOn w:val="47"/>
    <w:link w:val="26"/>
    <w:qFormat/>
    <w:uiPriority w:val="0"/>
    <w:rPr>
      <w:rFonts w:ascii="仿宋_GB2312" w:hAnsi="宋体" w:eastAsia="仿宋_GB2312"/>
      <w:color w:val="000000"/>
      <w:kern w:val="2"/>
      <w:sz w:val="24"/>
      <w:szCs w:val="24"/>
    </w:rPr>
  </w:style>
  <w:style w:type="character" w:customStyle="1" w:styleId="73">
    <w:name w:val="正文文本缩进 2 字符"/>
    <w:basedOn w:val="47"/>
    <w:link w:val="27"/>
    <w:qFormat/>
    <w:uiPriority w:val="0"/>
    <w:rPr>
      <w:rFonts w:ascii="仿宋_GB2312" w:eastAsia="仿宋_GB2312"/>
      <w:kern w:val="2"/>
      <w:sz w:val="24"/>
      <w:szCs w:val="24"/>
    </w:rPr>
  </w:style>
  <w:style w:type="character" w:customStyle="1" w:styleId="74">
    <w:name w:val="批注框文本 字符"/>
    <w:basedOn w:val="47"/>
    <w:link w:val="28"/>
    <w:qFormat/>
    <w:uiPriority w:val="0"/>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1"/>
    <w:qFormat/>
    <w:uiPriority w:val="99"/>
    <w:rPr>
      <w:rFonts w:eastAsia="宋体"/>
      <w:kern w:val="2"/>
      <w:sz w:val="18"/>
      <w:szCs w:val="18"/>
      <w:lang w:val="en-US" w:eastAsia="zh-CN" w:bidi="ar-SA"/>
    </w:rPr>
  </w:style>
  <w:style w:type="character" w:customStyle="1" w:styleId="77">
    <w:name w:val="正文文本缩进 3 字符"/>
    <w:basedOn w:val="47"/>
    <w:link w:val="35"/>
    <w:qFormat/>
    <w:uiPriority w:val="0"/>
    <w:rPr>
      <w:rFonts w:ascii="宋体"/>
      <w:sz w:val="24"/>
    </w:rPr>
  </w:style>
  <w:style w:type="character" w:customStyle="1" w:styleId="78">
    <w:name w:val="HTML 预设格式 字符"/>
    <w:basedOn w:val="47"/>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basedOn w:val="81"/>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paragraph" w:customStyle="1" w:styleId="82">
    <w:name w:val="无间隔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84">
    <w:name w:val="txt"/>
    <w:basedOn w:val="47"/>
    <w:qFormat/>
    <w:uiPriority w:val="0"/>
  </w:style>
  <w:style w:type="character" w:customStyle="1" w:styleId="85">
    <w:name w:val="页脚 Char"/>
    <w:qFormat/>
    <w:uiPriority w:val="0"/>
    <w:rPr>
      <w:rFonts w:ascii="宋体" w:eastAsia="宋体"/>
      <w:sz w:val="18"/>
      <w:lang w:val="en-US" w:eastAsia="zh-CN" w:bidi="ar-SA"/>
    </w:rPr>
  </w:style>
  <w:style w:type="character" w:customStyle="1" w:styleId="86">
    <w:name w:val="列出段落 Char"/>
    <w:qFormat/>
    <w:uiPriority w:val="0"/>
    <w:rPr>
      <w:rFonts w:ascii="Calibri" w:hAnsi="Calibri" w:eastAsia="宋体"/>
      <w:kern w:val="2"/>
      <w:sz w:val="21"/>
      <w:szCs w:val="22"/>
      <w:lang w:val="en-US" w:eastAsia="zh-CN" w:bidi="ar-SA"/>
    </w:rPr>
  </w:style>
  <w:style w:type="character" w:customStyle="1" w:styleId="87">
    <w:name w:val="chanpin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locality"/>
    <w:basedOn w:val="47"/>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标题 3 Char Char"/>
    <w:qFormat/>
    <w:uiPriority w:val="0"/>
    <w:rPr>
      <w:rFonts w:eastAsia="宋体"/>
      <w:b/>
      <w:bCs/>
      <w:kern w:val="2"/>
      <w:sz w:val="32"/>
      <w:szCs w:val="32"/>
      <w:lang w:val="en-US" w:eastAsia="zh-CN" w:bidi="ar-SA"/>
    </w:rPr>
  </w:style>
  <w:style w:type="character" w:customStyle="1" w:styleId="94">
    <w:name w:val="正文表格 Char"/>
    <w:link w:val="95"/>
    <w:qFormat/>
    <w:uiPriority w:val="0"/>
    <w:rPr>
      <w:rFonts w:ascii="宋体" w:hAnsi="宋体"/>
      <w:color w:val="000000"/>
      <w:kern w:val="2"/>
      <w:sz w:val="21"/>
      <w:szCs w:val="21"/>
    </w:rPr>
  </w:style>
  <w:style w:type="paragraph" w:customStyle="1" w:styleId="95">
    <w:name w:val="正文表格"/>
    <w:basedOn w:val="1"/>
    <w:link w:val="94"/>
    <w:qFormat/>
    <w:uiPriority w:val="0"/>
    <w:pPr>
      <w:adjustRightInd w:val="0"/>
      <w:snapToGrid w:val="0"/>
      <w:jc w:val="left"/>
    </w:pPr>
    <w:rPr>
      <w:rFonts w:ascii="宋体" w:hAnsi="宋体"/>
      <w:color w:val="000000"/>
      <w:szCs w:val="21"/>
    </w:rPr>
  </w:style>
  <w:style w:type="character" w:customStyle="1" w:styleId="96">
    <w:name w:val="纯文本 Char1"/>
    <w:qFormat/>
    <w:uiPriority w:val="0"/>
    <w:rPr>
      <w:rFonts w:ascii="宋体" w:hAnsi="Courier New" w:eastAsia="宋体"/>
      <w:kern w:val="2"/>
      <w:sz w:val="21"/>
      <w:lang w:val="en-US" w:eastAsia="zh-CN" w:bidi="ar-SA"/>
    </w:rPr>
  </w:style>
  <w:style w:type="character" w:customStyle="1" w:styleId="97">
    <w:name w:val="标题 2 Char"/>
    <w:qFormat/>
    <w:uiPriority w:val="0"/>
    <w:rPr>
      <w:rFonts w:ascii="Arial" w:hAnsi="Arial" w:eastAsia="黑体"/>
      <w:b/>
      <w:sz w:val="30"/>
      <w:lang w:val="en-US" w:eastAsia="zh-CN" w:bidi="ar-SA"/>
    </w:rPr>
  </w:style>
  <w:style w:type="character" w:customStyle="1" w:styleId="98">
    <w:name w:val="apple-style-span"/>
    <w:qFormat/>
    <w:uiPriority w:val="0"/>
    <w:rPr>
      <w:rFonts w:cs="Times New Roman"/>
    </w:rPr>
  </w:style>
  <w:style w:type="character" w:customStyle="1" w:styleId="99">
    <w:name w:val="页眉 Char"/>
    <w:qFormat/>
    <w:uiPriority w:val="0"/>
    <w:rPr>
      <w:rFonts w:eastAsia="宋体"/>
      <w:kern w:val="2"/>
      <w:sz w:val="18"/>
      <w:szCs w:val="18"/>
      <w:lang w:val="en-US" w:eastAsia="zh-CN" w:bidi="ar-SA"/>
    </w:rPr>
  </w:style>
  <w:style w:type="character" w:customStyle="1" w:styleId="100">
    <w:name w:val="正文格式 Char"/>
    <w:link w:val="101"/>
    <w:qFormat/>
    <w:locked/>
    <w:uiPriority w:val="0"/>
    <w:rPr>
      <w:rFonts w:ascii="宋体" w:hAnsi="宋体"/>
      <w:sz w:val="24"/>
      <w:szCs w:val="24"/>
      <w:lang w:val="en-GB"/>
    </w:rPr>
  </w:style>
  <w:style w:type="paragraph" w:customStyle="1" w:styleId="101">
    <w:name w:val="正文格式"/>
    <w:basedOn w:val="1"/>
    <w:link w:val="100"/>
    <w:qFormat/>
    <w:uiPriority w:val="0"/>
    <w:pPr>
      <w:spacing w:beforeLines="50" w:line="360" w:lineRule="auto"/>
      <w:ind w:firstLine="480" w:firstLineChars="200"/>
    </w:pPr>
    <w:rPr>
      <w:rFonts w:ascii="宋体" w:hAnsi="宋体"/>
      <w:kern w:val="0"/>
      <w:sz w:val="24"/>
      <w:lang w:val="en-GB"/>
    </w:rPr>
  </w:style>
  <w:style w:type="character" w:customStyle="1" w:styleId="102">
    <w:name w:val="正文小标题 Char"/>
    <w:link w:val="103"/>
    <w:qFormat/>
    <w:uiPriority w:val="0"/>
    <w:rPr>
      <w:rFonts w:ascii="宋体" w:hAnsi="宋体"/>
      <w:b/>
      <w:i/>
      <w:color w:val="FF0000"/>
      <w:kern w:val="2"/>
      <w:sz w:val="24"/>
    </w:rPr>
  </w:style>
  <w:style w:type="paragraph" w:customStyle="1" w:styleId="103">
    <w:name w:val="正文小标题"/>
    <w:basedOn w:val="1"/>
    <w:next w:val="14"/>
    <w:link w:val="1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4">
    <w:name w:val="正文重点 Char"/>
    <w:link w:val="105"/>
    <w:qFormat/>
    <w:uiPriority w:val="0"/>
    <w:rPr>
      <w:b/>
      <w:sz w:val="24"/>
    </w:rPr>
  </w:style>
  <w:style w:type="paragraph" w:customStyle="1" w:styleId="105">
    <w:name w:val="正文重点"/>
    <w:basedOn w:val="1"/>
    <w:link w:val="104"/>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21"/>
    <w:qFormat/>
    <w:uiPriority w:val="0"/>
    <w:rPr>
      <w:rFonts w:hint="default" w:ascii="ˎ̥" w:hAnsi="ˎ̥"/>
      <w:color w:val="000000"/>
      <w:sz w:val="20"/>
      <w:szCs w:val="20"/>
      <w:u w:val="none"/>
    </w:rPr>
  </w:style>
  <w:style w:type="character" w:customStyle="1" w:styleId="107">
    <w:name w:val="chanpin拷贝"/>
    <w:basedOn w:val="47"/>
    <w:qFormat/>
    <w:uiPriority w:val="0"/>
  </w:style>
  <w:style w:type="character" w:customStyle="1" w:styleId="108">
    <w:name w:val="street-address"/>
    <w:basedOn w:val="47"/>
    <w:qFormat/>
    <w:uiPriority w:val="0"/>
  </w:style>
  <w:style w:type="character" w:customStyle="1" w:styleId="109">
    <w:name w:val="black1"/>
    <w:qFormat/>
    <w:uiPriority w:val="0"/>
    <w:rPr>
      <w:color w:val="000000"/>
    </w:rPr>
  </w:style>
  <w:style w:type="character" w:customStyle="1" w:styleId="110">
    <w:name w:val="正文文本缩进 Char1"/>
    <w:link w:val="111"/>
    <w:qFormat/>
    <w:uiPriority w:val="0"/>
    <w:rPr>
      <w:rFonts w:ascii="宋体" w:hAnsi="宋体" w:eastAsia="宋体"/>
      <w:sz w:val="24"/>
      <w:szCs w:val="24"/>
      <w:lang w:bidi="ar-SA"/>
    </w:rPr>
  </w:style>
  <w:style w:type="paragraph" w:customStyle="1" w:styleId="111">
    <w:name w:val="正文文本缩进1"/>
    <w:basedOn w:val="1"/>
    <w:link w:val="110"/>
    <w:qFormat/>
    <w:uiPriority w:val="0"/>
    <w:pPr>
      <w:spacing w:line="480" w:lineRule="exact"/>
      <w:ind w:firstLine="480" w:firstLineChars="200"/>
    </w:pPr>
    <w:rPr>
      <w:rFonts w:ascii="宋体" w:hAnsi="宋体"/>
      <w:kern w:val="0"/>
      <w:sz w:val="24"/>
    </w:rPr>
  </w:style>
  <w:style w:type="character" w:customStyle="1" w:styleId="112">
    <w:name w:val="注释 Char"/>
    <w:link w:val="113"/>
    <w:qFormat/>
    <w:uiPriority w:val="0"/>
    <w:rPr>
      <w:rFonts w:ascii="宋体" w:hAnsi="宋体"/>
      <w:kern w:val="2"/>
      <w:sz w:val="21"/>
      <w:szCs w:val="21"/>
    </w:rPr>
  </w:style>
  <w:style w:type="paragraph" w:customStyle="1" w:styleId="113">
    <w:name w:val="注释"/>
    <w:basedOn w:val="1"/>
    <w:link w:val="112"/>
    <w:qFormat/>
    <w:uiPriority w:val="0"/>
    <w:pPr>
      <w:adjustRightInd w:val="0"/>
      <w:snapToGrid w:val="0"/>
      <w:ind w:left="420" w:hanging="420" w:hangingChars="200"/>
      <w:jc w:val="left"/>
    </w:pPr>
    <w:rPr>
      <w:rFonts w:ascii="宋体" w:hAnsi="宋体"/>
      <w:szCs w:val="21"/>
    </w:rPr>
  </w:style>
  <w:style w:type="character" w:customStyle="1" w:styleId="114">
    <w:name w:val="bjh-p"/>
    <w:qFormat/>
    <w:uiPriority w:val="0"/>
  </w:style>
  <w:style w:type="character" w:customStyle="1" w:styleId="115">
    <w:name w:val="正文大标题 Char"/>
    <w:link w:val="116"/>
    <w:qFormat/>
    <w:uiPriority w:val="0"/>
    <w:rPr>
      <w:rFonts w:ascii="宋体" w:hAnsi="宋体"/>
      <w:b/>
      <w:color w:val="000000"/>
      <w:kern w:val="2"/>
      <w:sz w:val="28"/>
      <w:szCs w:val="21"/>
    </w:rPr>
  </w:style>
  <w:style w:type="paragraph" w:customStyle="1" w:styleId="116">
    <w:name w:val="正文大标题"/>
    <w:basedOn w:val="103"/>
    <w:next w:val="14"/>
    <w:link w:val="115"/>
    <w:qFormat/>
    <w:uiPriority w:val="0"/>
    <w:pPr>
      <w:jc w:val="center"/>
    </w:pPr>
    <w:rPr>
      <w:i w:val="0"/>
      <w:color w:val="000000"/>
      <w:sz w:val="28"/>
      <w:szCs w:val="21"/>
    </w:rPr>
  </w:style>
  <w:style w:type="character" w:customStyle="1" w:styleId="117">
    <w:name w:val="正文文本缩进 Char"/>
    <w:qFormat/>
    <w:uiPriority w:val="0"/>
    <w:rPr>
      <w:rFonts w:eastAsia="宋体"/>
      <w:kern w:val="2"/>
      <w:sz w:val="24"/>
      <w:szCs w:val="24"/>
      <w:lang w:val="en-US" w:eastAsia="zh-CN" w:bidi="ar-SA"/>
    </w:rPr>
  </w:style>
  <w:style w:type="character" w:customStyle="1" w:styleId="118">
    <w:name w:val="纯文本 字符1"/>
    <w:qFormat/>
    <w:uiPriority w:val="0"/>
    <w:rPr>
      <w:rFonts w:ascii="宋体" w:hAnsi="Courier New"/>
    </w:rPr>
  </w:style>
  <w:style w:type="character" w:customStyle="1" w:styleId="119">
    <w:name w:val="批注文字 Char"/>
    <w:qFormat/>
    <w:uiPriority w:val="99"/>
    <w:rPr>
      <w:kern w:val="2"/>
      <w:sz w:val="21"/>
      <w:szCs w:val="24"/>
    </w:rPr>
  </w:style>
  <w:style w:type="character" w:customStyle="1" w:styleId="120">
    <w:name w:val="标题 Char"/>
    <w:qFormat/>
    <w:uiPriority w:val="0"/>
    <w:rPr>
      <w:b/>
      <w:kern w:val="2"/>
      <w:sz w:val="32"/>
    </w:rPr>
  </w:style>
  <w:style w:type="character" w:customStyle="1" w:styleId="121">
    <w:name w:val="Char Char111"/>
    <w:qFormat/>
    <w:uiPriority w:val="0"/>
    <w:rPr>
      <w:rFonts w:ascii="宋体" w:eastAsia="宋体"/>
      <w:b/>
      <w:sz w:val="24"/>
      <w:u w:val="single"/>
      <w:lang w:val="en-US" w:eastAsia="zh-CN" w:bidi="ar-SA"/>
    </w:rPr>
  </w:style>
  <w:style w:type="character" w:customStyle="1" w:styleId="122">
    <w:name w:val="标题 2 Char Char"/>
    <w:qFormat/>
    <w:uiPriority w:val="0"/>
    <w:rPr>
      <w:rFonts w:ascii="Arial" w:hAnsi="Arial" w:eastAsia="黑体"/>
      <w:b/>
      <w:bCs/>
      <w:kern w:val="2"/>
      <w:sz w:val="32"/>
      <w:szCs w:val="32"/>
      <w:lang w:val="en-US" w:eastAsia="zh-CN" w:bidi="ar-SA"/>
    </w:rPr>
  </w:style>
  <w:style w:type="character" w:customStyle="1" w:styleId="123">
    <w:name w:val="普通文字1 Char1"/>
    <w:qFormat/>
    <w:uiPriority w:val="0"/>
    <w:rPr>
      <w:rFonts w:ascii="宋体" w:hAnsi="Courier New" w:eastAsia="宋体"/>
      <w:kern w:val="2"/>
      <w:sz w:val="21"/>
      <w:lang w:val="en-US" w:eastAsia="zh-CN" w:bidi="ar-SA"/>
    </w:rPr>
  </w:style>
  <w:style w:type="character" w:customStyle="1" w:styleId="124">
    <w:name w:val="列出段落 字符"/>
    <w:link w:val="125"/>
    <w:qFormat/>
    <w:uiPriority w:val="34"/>
    <w:rPr>
      <w:rFonts w:ascii="Calibri" w:hAnsi="Calibri" w:eastAsia="宋体"/>
      <w:kern w:val="2"/>
      <w:sz w:val="21"/>
      <w:szCs w:val="22"/>
      <w:lang w:val="en-US" w:eastAsia="zh-CN" w:bidi="ar-SA"/>
    </w:rPr>
  </w:style>
  <w:style w:type="paragraph" w:styleId="125">
    <w:name w:val="List Paragraph"/>
    <w:basedOn w:val="1"/>
    <w:link w:val="124"/>
    <w:qFormat/>
    <w:uiPriority w:val="34"/>
    <w:pPr>
      <w:ind w:firstLine="420" w:firstLineChars="200"/>
    </w:pPr>
    <w:rPr>
      <w:rFonts w:ascii="Calibri" w:hAnsi="Calibri"/>
      <w:szCs w:val="22"/>
    </w:rPr>
  </w:style>
  <w:style w:type="character" w:customStyle="1" w:styleId="126">
    <w:name w:val="段1 Char"/>
    <w:qFormat/>
    <w:uiPriority w:val="0"/>
    <w:rPr>
      <w:rFonts w:ascii="宋体" w:eastAsia="宋体"/>
      <w:sz w:val="24"/>
      <w:lang w:val="en-US" w:eastAsia="zh-CN" w:bidi="ar-SA"/>
    </w:rPr>
  </w:style>
  <w:style w:type="character" w:customStyle="1" w:styleId="127">
    <w:name w:val="中等深浅网格 1 - 强调文字颜色 2 Char"/>
    <w:link w:val="128"/>
    <w:qFormat/>
    <w:uiPriority w:val="0"/>
    <w:rPr>
      <w:kern w:val="2"/>
      <w:sz w:val="21"/>
      <w:szCs w:val="24"/>
      <w:lang w:val="zh-CN" w:eastAsia="zh-CN"/>
    </w:rPr>
  </w:style>
  <w:style w:type="paragraph" w:customStyle="1" w:styleId="128">
    <w:name w:val="1"/>
    <w:link w:val="127"/>
    <w:qFormat/>
    <w:uiPriority w:val="0"/>
    <w:rPr>
      <w:rFonts w:ascii="Times New Roman" w:hAnsi="Times New Roman" w:eastAsia="宋体" w:cs="Times New Roman"/>
      <w:kern w:val="2"/>
      <w:sz w:val="21"/>
      <w:szCs w:val="24"/>
      <w:lang w:val="zh-CN" w:eastAsia="zh-CN" w:bidi="ar-SA"/>
    </w:rPr>
  </w:style>
  <w:style w:type="character" w:customStyle="1" w:styleId="129">
    <w:name w:val="纯文本 字符"/>
    <w:qFormat/>
    <w:uiPriority w:val="99"/>
    <w:rPr>
      <w:rFonts w:ascii="宋体" w:hAnsi="Courier New" w:eastAsia="宋体" w:cs="Times New Roman"/>
      <w:kern w:val="2"/>
      <w:sz w:val="21"/>
      <w:szCs w:val="21"/>
      <w:lang w:val="en-US" w:eastAsia="zh-CN" w:bidi="ar-SA"/>
    </w:rPr>
  </w:style>
  <w:style w:type="character" w:customStyle="1" w:styleId="130">
    <w:name w:val="标题 3 Char"/>
    <w:qFormat/>
    <w:uiPriority w:val="0"/>
    <w:rPr>
      <w:rFonts w:ascii="宋体" w:eastAsia="宋体"/>
      <w:b/>
      <w:sz w:val="24"/>
      <w:u w:val="single"/>
      <w:lang w:val="en-US" w:eastAsia="zh-CN" w:bidi="ar-SA"/>
    </w:rPr>
  </w:style>
  <w:style w:type="character" w:customStyle="1" w:styleId="131">
    <w:name w:val="正文缩进 Char"/>
    <w:qFormat/>
    <w:uiPriority w:val="0"/>
    <w:rPr>
      <w:rFonts w:ascii="宋体" w:eastAsia="宋体"/>
      <w:kern w:val="2"/>
      <w:sz w:val="24"/>
      <w:szCs w:val="24"/>
      <w:lang w:val="en-US" w:eastAsia="zh-CN" w:bidi="ar-SA"/>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Char3 Char Char Char"/>
    <w:basedOn w:val="1"/>
    <w:qFormat/>
    <w:uiPriority w:val="0"/>
    <w:rPr>
      <w:rFonts w:ascii="Tahoma" w:hAnsi="Tahoma"/>
      <w:sz w:val="24"/>
      <w:szCs w:val="20"/>
    </w:rPr>
  </w:style>
  <w:style w:type="paragraph" w:customStyle="1" w:styleId="13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5">
    <w:name w:val="文档正文"/>
    <w:basedOn w:val="1"/>
    <w:qFormat/>
    <w:uiPriority w:val="0"/>
    <w:pPr>
      <w:snapToGrid w:val="0"/>
      <w:spacing w:before="120" w:after="120" w:line="180" w:lineRule="auto"/>
    </w:pPr>
    <w:rPr>
      <w:rFonts w:ascii="Arial" w:hAnsi="Arial"/>
      <w:szCs w:val="20"/>
    </w:rPr>
  </w:style>
  <w:style w:type="paragraph" w:customStyle="1" w:styleId="136">
    <w:name w:val="二级条标题"/>
    <w:basedOn w:val="13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7">
    <w:name w:val="一级条标题"/>
    <w:basedOn w:val="134"/>
    <w:next w:val="1"/>
    <w:qFormat/>
    <w:uiPriority w:val="0"/>
    <w:pPr>
      <w:numPr>
        <w:ilvl w:val="1"/>
      </w:numPr>
      <w:tabs>
        <w:tab w:val="left" w:pos="360"/>
        <w:tab w:val="left" w:pos="840"/>
      </w:tabs>
      <w:ind w:left="0" w:hanging="840"/>
      <w:outlineLvl w:val="1"/>
    </w:pPr>
  </w:style>
  <w:style w:type="paragraph" w:customStyle="1" w:styleId="13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项目编号2"/>
    <w:basedOn w:val="141"/>
    <w:qFormat/>
    <w:uiPriority w:val="0"/>
    <w:pPr>
      <w:numPr>
        <w:numId w:val="2"/>
      </w:numPr>
    </w:pPr>
  </w:style>
  <w:style w:type="paragraph" w:customStyle="1" w:styleId="14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5">
    <w:name w:val="字元 字元"/>
    <w:basedOn w:val="1"/>
    <w:qFormat/>
    <w:uiPriority w:val="0"/>
    <w:rPr>
      <w:rFonts w:ascii="Tahoma" w:hAnsi="Tahoma"/>
      <w:sz w:val="24"/>
      <w:szCs w:val="20"/>
    </w:rPr>
  </w:style>
  <w:style w:type="paragraph" w:customStyle="1" w:styleId="146">
    <w:name w:val="缺省文本"/>
    <w:basedOn w:val="1"/>
    <w:qFormat/>
    <w:uiPriority w:val="0"/>
    <w:pPr>
      <w:autoSpaceDE w:val="0"/>
      <w:autoSpaceDN w:val="0"/>
      <w:adjustRightInd w:val="0"/>
      <w:jc w:val="left"/>
    </w:pPr>
    <w:rPr>
      <w:kern w:val="0"/>
      <w:sz w:val="24"/>
    </w:r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图中文字"/>
    <w:basedOn w:val="1"/>
    <w:qFormat/>
    <w:uiPriority w:val="0"/>
    <w:pPr>
      <w:adjustRightInd w:val="0"/>
      <w:snapToGrid w:val="0"/>
      <w:spacing w:line="0" w:lineRule="atLeast"/>
      <w:jc w:val="center"/>
    </w:pPr>
    <w:rPr>
      <w:sz w:val="24"/>
      <w:szCs w:val="20"/>
    </w:rPr>
  </w:style>
  <w:style w:type="paragraph" w:customStyle="1" w:styleId="15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3">
    <w:name w:val="默认段落字体 Para Char Char Char Char"/>
    <w:basedOn w:val="1"/>
    <w:qFormat/>
    <w:uiPriority w:val="0"/>
    <w:rPr>
      <w:rFonts w:ascii="Arial" w:hAnsi="Arial" w:cs="Arial"/>
      <w:szCs w:val="21"/>
    </w:rPr>
  </w:style>
  <w:style w:type="paragraph" w:customStyle="1" w:styleId="154">
    <w:name w:val="Char2"/>
    <w:basedOn w:val="1"/>
    <w:qFormat/>
    <w:uiPriority w:val="0"/>
    <w:rPr>
      <w:rFonts w:ascii="Tahoma" w:hAnsi="Tahoma"/>
      <w:sz w:val="24"/>
      <w:szCs w:val="20"/>
    </w:rPr>
  </w:style>
  <w:style w:type="paragraph" w:customStyle="1" w:styleId="155">
    <w:name w:val="样式2"/>
    <w:basedOn w:val="40"/>
    <w:qFormat/>
    <w:uiPriority w:val="0"/>
    <w:pPr>
      <w:spacing w:line="360" w:lineRule="auto"/>
      <w:jc w:val="center"/>
    </w:pPr>
    <w:rPr>
      <w:sz w:val="24"/>
    </w:rPr>
  </w:style>
  <w:style w:type="paragraph" w:customStyle="1" w:styleId="156">
    <w:name w:val="Char1 Char Char Char1"/>
    <w:basedOn w:val="1"/>
    <w:qFormat/>
    <w:uiPriority w:val="0"/>
    <w:rPr>
      <w:rFonts w:ascii="Tahoma" w:hAnsi="Tahoma" w:cs="仿宋_GB2312"/>
      <w:sz w:val="24"/>
      <w:szCs w:val="28"/>
    </w:rPr>
  </w:style>
  <w:style w:type="paragraph" w:customStyle="1" w:styleId="15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Char1"/>
    <w:basedOn w:val="1"/>
    <w:qFormat/>
    <w:uiPriority w:val="0"/>
    <w:pPr>
      <w:tabs>
        <w:tab w:val="left" w:pos="360"/>
      </w:tabs>
    </w:pPr>
    <w:rPr>
      <w:sz w:val="24"/>
    </w:rPr>
  </w:style>
  <w:style w:type="paragraph" w:customStyle="1" w:styleId="16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List Paragraph1"/>
    <w:basedOn w:val="1"/>
    <w:qFormat/>
    <w:uiPriority w:val="0"/>
    <w:pPr>
      <w:ind w:firstLine="420" w:firstLineChars="200"/>
    </w:pPr>
    <w:rPr>
      <w:rFonts w:ascii="Calibri" w:hAnsi="Calibri"/>
      <w:szCs w:val="22"/>
    </w:rPr>
  </w:style>
  <w:style w:type="paragraph" w:customStyle="1" w:styleId="16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7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4">
    <w:name w:val="五级条标题"/>
    <w:basedOn w:val="175"/>
    <w:next w:val="1"/>
    <w:qFormat/>
    <w:uiPriority w:val="0"/>
    <w:pPr>
      <w:numPr>
        <w:ilvl w:val="5"/>
      </w:numPr>
      <w:tabs>
        <w:tab w:val="left" w:pos="360"/>
        <w:tab w:val="left" w:pos="840"/>
      </w:tabs>
      <w:ind w:left="0" w:hanging="840"/>
      <w:outlineLvl w:val="5"/>
    </w:pPr>
  </w:style>
  <w:style w:type="paragraph" w:customStyle="1" w:styleId="175">
    <w:name w:val="四级条标题"/>
    <w:basedOn w:val="176"/>
    <w:next w:val="1"/>
    <w:qFormat/>
    <w:uiPriority w:val="0"/>
    <w:pPr>
      <w:numPr>
        <w:ilvl w:val="4"/>
      </w:numPr>
      <w:tabs>
        <w:tab w:val="left" w:pos="360"/>
        <w:tab w:val="left" w:pos="840"/>
      </w:tabs>
      <w:ind w:left="0" w:hanging="840"/>
      <w:outlineLvl w:val="4"/>
    </w:pPr>
  </w:style>
  <w:style w:type="paragraph" w:customStyle="1" w:styleId="176">
    <w:name w:val="三级条标题"/>
    <w:basedOn w:val="136"/>
    <w:next w:val="1"/>
    <w:qFormat/>
    <w:uiPriority w:val="0"/>
    <w:pPr>
      <w:numPr>
        <w:ilvl w:val="3"/>
        <w:numId w:val="1"/>
      </w:numPr>
      <w:ind w:left="0" w:hanging="840"/>
      <w:outlineLvl w:val="3"/>
    </w:pPr>
  </w:style>
  <w:style w:type="paragraph" w:customStyle="1" w:styleId="17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font8"/>
    <w:basedOn w:val="1"/>
    <w:qFormat/>
    <w:uiPriority w:val="0"/>
    <w:pPr>
      <w:widowControl/>
      <w:spacing w:before="100" w:beforeAutospacing="1" w:after="100" w:afterAutospacing="1"/>
      <w:jc w:val="left"/>
    </w:pPr>
    <w:rPr>
      <w:kern w:val="0"/>
      <w:sz w:val="36"/>
      <w:szCs w:val="36"/>
    </w:rPr>
  </w:style>
  <w:style w:type="paragraph" w:customStyle="1" w:styleId="18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1">
    <w:name w:val="Char"/>
    <w:basedOn w:val="1"/>
    <w:qFormat/>
    <w:uiPriority w:val="0"/>
    <w:pPr>
      <w:tabs>
        <w:tab w:val="left" w:pos="360"/>
      </w:tabs>
    </w:pPr>
    <w:rPr>
      <w:sz w:val="24"/>
    </w:rPr>
  </w:style>
  <w:style w:type="paragraph" w:customStyle="1" w:styleId="18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3">
    <w:name w:val="Char Char Char1 Char1"/>
    <w:basedOn w:val="1"/>
    <w:qFormat/>
    <w:uiPriority w:val="0"/>
    <w:rPr>
      <w:rFonts w:ascii="Tahoma" w:hAnsi="Tahoma"/>
      <w:sz w:val="24"/>
      <w:szCs w:val="20"/>
    </w:rPr>
  </w:style>
  <w:style w:type="paragraph" w:customStyle="1" w:styleId="18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Char Char Char Char Char Char Char Char Char Char"/>
    <w:basedOn w:val="1"/>
    <w:qFormat/>
    <w:uiPriority w:val="0"/>
  </w:style>
  <w:style w:type="paragraph" w:customStyle="1" w:styleId="18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7">
    <w:name w:val="Char Char1"/>
    <w:basedOn w:val="16"/>
    <w:qFormat/>
    <w:uiPriority w:val="0"/>
    <w:rPr>
      <w:rFonts w:ascii="Tahoma" w:hAnsi="Tahoma"/>
      <w:sz w:val="24"/>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8">
    <w:name w:val="Char Char Char1 Char"/>
    <w:basedOn w:val="1"/>
    <w:qFormat/>
    <w:uiPriority w:val="0"/>
    <w:rPr>
      <w:rFonts w:ascii="Tahoma" w:hAnsi="Tahoma"/>
      <w:sz w:val="24"/>
      <w:szCs w:val="20"/>
    </w:rPr>
  </w:style>
  <w:style w:type="paragraph" w:customStyle="1" w:styleId="199">
    <w:name w:val="1名"/>
    <w:basedOn w:val="1"/>
    <w:qFormat/>
    <w:uiPriority w:val="0"/>
    <w:pPr>
      <w:numPr>
        <w:ilvl w:val="0"/>
        <w:numId w:val="5"/>
      </w:numPr>
      <w:spacing w:before="120"/>
    </w:pPr>
    <w:rPr>
      <w:rFonts w:ascii="宋体"/>
      <w:sz w:val="28"/>
      <w:szCs w:val="20"/>
    </w:rPr>
  </w:style>
  <w:style w:type="paragraph" w:customStyle="1" w:styleId="20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3">
    <w:name w:val="Char Char Char"/>
    <w:basedOn w:val="1"/>
    <w:qFormat/>
    <w:uiPriority w:val="0"/>
    <w:rPr>
      <w:rFonts w:ascii="Tahoma" w:hAnsi="Tahoma"/>
      <w:sz w:val="24"/>
      <w:szCs w:val="20"/>
    </w:rPr>
  </w:style>
  <w:style w:type="paragraph" w:customStyle="1" w:styleId="204">
    <w:name w:val="Char Char Char1"/>
    <w:basedOn w:val="1"/>
    <w:qFormat/>
    <w:uiPriority w:val="0"/>
    <w:rPr>
      <w:rFonts w:ascii="Tahoma" w:hAnsi="Tahoma"/>
      <w:sz w:val="24"/>
      <w:szCs w:val="20"/>
    </w:rPr>
  </w:style>
  <w:style w:type="paragraph" w:customStyle="1" w:styleId="20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08">
    <w:name w:val="正文 + 楷体_GB2312"/>
    <w:basedOn w:val="1"/>
    <w:qFormat/>
    <w:uiPriority w:val="0"/>
    <w:pPr>
      <w:widowControl/>
      <w:jc w:val="left"/>
    </w:pPr>
    <w:rPr>
      <w:rFonts w:ascii="楷体_GB2312" w:eastAsia="楷体_GB2312" w:cs="Arial"/>
      <w:kern w:val="0"/>
      <w:sz w:val="24"/>
    </w:rPr>
  </w:style>
  <w:style w:type="paragraph" w:customStyle="1" w:styleId="209">
    <w:name w:val="表格1"/>
    <w:basedOn w:val="1"/>
    <w:qFormat/>
    <w:uiPriority w:val="0"/>
    <w:pPr>
      <w:ind w:firstLine="480" w:firstLineChars="200"/>
      <w:jc w:val="center"/>
    </w:pPr>
    <w:rPr>
      <w:sz w:val="24"/>
      <w:szCs w:val="20"/>
    </w:rPr>
  </w:style>
  <w:style w:type="paragraph" w:customStyle="1" w:styleId="21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1">
    <w:name w:val="1 Char Char Char Char"/>
    <w:basedOn w:val="1"/>
    <w:qFormat/>
    <w:uiPriority w:val="0"/>
    <w:rPr>
      <w:rFonts w:ascii="Tahoma" w:hAnsi="Tahoma"/>
      <w:sz w:val="24"/>
      <w:szCs w:val="20"/>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Char3"/>
    <w:basedOn w:val="1"/>
    <w:qFormat/>
    <w:uiPriority w:val="0"/>
    <w:pPr>
      <w:tabs>
        <w:tab w:val="left" w:pos="360"/>
      </w:tabs>
    </w:pPr>
    <w:rPr>
      <w:sz w:val="24"/>
    </w:rPr>
  </w:style>
  <w:style w:type="paragraph" w:customStyle="1" w:styleId="215">
    <w:name w:val="字元 字元1"/>
    <w:basedOn w:val="1"/>
    <w:qFormat/>
    <w:uiPriority w:val="0"/>
    <w:rPr>
      <w:rFonts w:ascii="Tahoma" w:hAnsi="Tahoma"/>
      <w:sz w:val="24"/>
      <w:szCs w:val="20"/>
    </w:rPr>
  </w:style>
  <w:style w:type="paragraph" w:customStyle="1" w:styleId="216">
    <w:name w:val="_Style 160"/>
    <w:qFormat/>
    <w:uiPriority w:val="0"/>
    <w:rPr>
      <w:rFonts w:ascii="Times New Roman" w:hAnsi="Times New Roman" w:eastAsia="宋体" w:cs="Times New Roman"/>
      <w:kern w:val="2"/>
      <w:sz w:val="21"/>
      <w:szCs w:val="24"/>
      <w:lang w:val="en-US" w:eastAsia="zh-CN" w:bidi="ar-SA"/>
    </w:rPr>
  </w:style>
  <w:style w:type="paragraph" w:customStyle="1" w:styleId="217">
    <w:name w:val="项目编号3"/>
    <w:basedOn w:val="149"/>
    <w:qFormat/>
    <w:uiPriority w:val="0"/>
    <w:pPr>
      <w:numPr>
        <w:ilvl w:val="0"/>
        <w:numId w:val="7"/>
      </w:numPr>
    </w:pPr>
  </w:style>
  <w:style w:type="paragraph" w:customStyle="1" w:styleId="218">
    <w:name w:val="Char Char Char2"/>
    <w:basedOn w:val="1"/>
    <w:qFormat/>
    <w:uiPriority w:val="0"/>
    <w:rPr>
      <w:rFonts w:ascii="Tahoma" w:hAnsi="Tahoma"/>
      <w:sz w:val="24"/>
      <w:szCs w:val="20"/>
    </w:rPr>
  </w:style>
  <w:style w:type="paragraph" w:customStyle="1" w:styleId="219">
    <w:name w:val="Char21"/>
    <w:basedOn w:val="1"/>
    <w:qFormat/>
    <w:uiPriority w:val="0"/>
    <w:rPr>
      <w:rFonts w:ascii="Tahoma" w:hAnsi="Tahoma"/>
      <w:sz w:val="24"/>
      <w:szCs w:val="20"/>
    </w:rPr>
  </w:style>
  <w:style w:type="paragraph" w:customStyle="1" w:styleId="220">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2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2">
    <w:name w:val="Char Char Char Char Char Char Char Char Char Char1"/>
    <w:basedOn w:val="1"/>
    <w:qFormat/>
    <w:uiPriority w:val="0"/>
    <w:rPr>
      <w:rFonts w:ascii="宋体" w:hAnsi="宋体" w:cs="Courier New"/>
      <w:sz w:val="32"/>
      <w:szCs w:val="32"/>
    </w:rPr>
  </w:style>
  <w:style w:type="paragraph" w:customStyle="1" w:styleId="223">
    <w:name w:val="正文文本样式 加粗"/>
    <w:basedOn w:val="149"/>
    <w:qFormat/>
    <w:uiPriority w:val="0"/>
    <w:rPr>
      <w:b/>
    </w:rPr>
  </w:style>
  <w:style w:type="paragraph" w:customStyle="1" w:styleId="22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25">
    <w:name w:val="Char2 Char Char Char Char Char Char"/>
    <w:basedOn w:val="1"/>
    <w:qFormat/>
    <w:uiPriority w:val="0"/>
    <w:pPr>
      <w:widowControl/>
      <w:spacing w:line="400" w:lineRule="exact"/>
      <w:jc w:val="center"/>
    </w:pPr>
  </w:style>
  <w:style w:type="paragraph" w:customStyle="1" w:styleId="226">
    <w:name w:val="Char Char4"/>
    <w:basedOn w:val="1"/>
    <w:qFormat/>
    <w:uiPriority w:val="0"/>
    <w:pPr>
      <w:widowControl/>
      <w:spacing w:line="400" w:lineRule="exact"/>
      <w:jc w:val="center"/>
    </w:pPr>
  </w:style>
  <w:style w:type="paragraph" w:customStyle="1" w:styleId="227">
    <w:name w:val="Char3 Char Char Char1"/>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styleId="22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31">
    <w:name w:val="图文"/>
    <w:basedOn w:val="1"/>
    <w:qFormat/>
    <w:uiPriority w:val="0"/>
    <w:pPr>
      <w:adjustRightInd w:val="0"/>
      <w:snapToGrid w:val="0"/>
      <w:spacing w:after="50" w:line="360" w:lineRule="auto"/>
    </w:pPr>
    <w:rPr>
      <w:sz w:val="24"/>
    </w:rPr>
  </w:style>
  <w:style w:type="paragraph" w:customStyle="1" w:styleId="23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3">
    <w:name w:val="Revision"/>
    <w:qFormat/>
    <w:uiPriority w:val="0"/>
    <w:rPr>
      <w:rFonts w:ascii="Times New Roman" w:hAnsi="Times New Roman" w:eastAsia="宋体" w:cs="Times New Roman"/>
      <w:kern w:val="2"/>
      <w:sz w:val="21"/>
      <w:szCs w:val="24"/>
      <w:lang w:val="en-US" w:eastAsia="zh-CN" w:bidi="ar-SA"/>
    </w:rPr>
  </w:style>
  <w:style w:type="paragraph" w:customStyle="1" w:styleId="234">
    <w:name w:val="标题1-附件"/>
    <w:basedOn w:val="4"/>
    <w:qFormat/>
    <w:uiPriority w:val="0"/>
    <w:pPr>
      <w:jc w:val="left"/>
    </w:pPr>
    <w:rPr>
      <w:sz w:val="24"/>
      <w:szCs w:val="24"/>
    </w:rPr>
  </w:style>
  <w:style w:type="paragraph" w:customStyle="1" w:styleId="23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3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37">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字元 字元2"/>
    <w:basedOn w:val="1"/>
    <w:qFormat/>
    <w:uiPriority w:val="0"/>
    <w:rPr>
      <w:rFonts w:ascii="Tahoma" w:hAnsi="Tahoma"/>
      <w:sz w:val="24"/>
      <w:szCs w:val="20"/>
    </w:rPr>
  </w:style>
  <w:style w:type="paragraph" w:customStyle="1" w:styleId="240">
    <w:name w:val="Char3 Char Char Char2"/>
    <w:basedOn w:val="1"/>
    <w:qFormat/>
    <w:uiPriority w:val="0"/>
    <w:rPr>
      <w:rFonts w:ascii="Tahoma" w:hAnsi="Tahoma"/>
      <w:sz w:val="24"/>
      <w:szCs w:val="20"/>
    </w:rPr>
  </w:style>
  <w:style w:type="paragraph" w:customStyle="1" w:styleId="24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列出段落2"/>
    <w:basedOn w:val="1"/>
    <w:qFormat/>
    <w:uiPriority w:val="0"/>
    <w:pPr>
      <w:ind w:firstLine="420" w:firstLineChars="200"/>
    </w:pPr>
    <w:rPr>
      <w:rFonts w:ascii="Calibri" w:hAnsi="Calibri"/>
      <w:szCs w:val="22"/>
    </w:rPr>
  </w:style>
  <w:style w:type="paragraph" w:customStyle="1" w:styleId="243">
    <w:name w:val="Char Char Char1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Char Char41"/>
    <w:basedOn w:val="1"/>
    <w:qFormat/>
    <w:uiPriority w:val="0"/>
    <w:pPr>
      <w:widowControl/>
      <w:spacing w:line="400" w:lineRule="exact"/>
      <w:jc w:val="center"/>
    </w:p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51">
    <w:name w:val="font51"/>
    <w:basedOn w:val="47"/>
    <w:qFormat/>
    <w:uiPriority w:val="0"/>
    <w:rPr>
      <w:rFonts w:hint="eastAsia" w:ascii="宋体" w:hAnsi="宋体" w:eastAsia="宋体" w:cs="宋体"/>
      <w:b/>
      <w:bCs/>
      <w:color w:val="000000"/>
      <w:sz w:val="24"/>
      <w:szCs w:val="24"/>
      <w:u w:val="single"/>
    </w:rPr>
  </w:style>
  <w:style w:type="character" w:customStyle="1" w:styleId="252">
    <w:name w:val="font21"/>
    <w:basedOn w:val="47"/>
    <w:qFormat/>
    <w:uiPriority w:val="0"/>
    <w:rPr>
      <w:rFonts w:hint="eastAsia" w:ascii="宋体" w:hAnsi="宋体" w:eastAsia="宋体" w:cs="宋体"/>
      <w:b/>
      <w:bCs/>
      <w:color w:val="000000"/>
      <w:sz w:val="24"/>
      <w:szCs w:val="24"/>
      <w:u w:val="none"/>
    </w:rPr>
  </w:style>
  <w:style w:type="character" w:customStyle="1" w:styleId="253">
    <w:name w:val="font41"/>
    <w:basedOn w:val="47"/>
    <w:qFormat/>
    <w:uiPriority w:val="0"/>
    <w:rPr>
      <w:rFonts w:ascii="Wingdings 2" w:hAnsi="Wingdings 2" w:eastAsia="Wingdings 2" w:cs="Wingdings 2"/>
      <w:b/>
      <w:bCs/>
      <w:color w:val="000000"/>
      <w:sz w:val="24"/>
      <w:szCs w:val="24"/>
      <w:u w:val="none"/>
    </w:rPr>
  </w:style>
  <w:style w:type="character" w:customStyle="1" w:styleId="254">
    <w:name w:val="font61"/>
    <w:basedOn w:val="47"/>
    <w:qFormat/>
    <w:uiPriority w:val="0"/>
    <w:rPr>
      <w:rFonts w:hint="eastAsia" w:ascii="宋体" w:hAnsi="宋体" w:eastAsia="宋体" w:cs="宋体"/>
      <w:b/>
      <w:bCs/>
      <w:color w:val="000000"/>
      <w:sz w:val="20"/>
      <w:szCs w:val="20"/>
      <w:u w:val="none"/>
    </w:rPr>
  </w:style>
  <w:style w:type="paragraph" w:customStyle="1" w:styleId="255">
    <w:name w:val="列表段落11"/>
    <w:basedOn w:val="1"/>
    <w:qFormat/>
    <w:uiPriority w:val="99"/>
    <w:pPr>
      <w:ind w:firstLine="420" w:firstLineChars="200"/>
    </w:pPr>
  </w:style>
  <w:style w:type="paragraph" w:customStyle="1" w:styleId="256">
    <w:name w:val="_正文段落"/>
    <w:basedOn w:val="1"/>
    <w:qFormat/>
    <w:uiPriority w:val="0"/>
    <w:pPr>
      <w:spacing w:after="0" w:line="360" w:lineRule="auto"/>
      <w:ind w:firstLine="480" w:firstLineChars="200"/>
    </w:pPr>
    <w:rPr>
      <w:rFonts w:ascii="宋体" w:hAnsi="宋体"/>
      <w:color w:val="000000"/>
      <w:kern w:val="0"/>
      <w:sz w:val="24"/>
      <w:lang w:val="zh-CN" w:eastAsia="zh-CN"/>
    </w:rPr>
  </w:style>
  <w:style w:type="paragraph" w:customStyle="1" w:styleId="257">
    <w:name w:val="首2正文"/>
    <w:basedOn w:val="1"/>
    <w:qFormat/>
    <w:uiPriority w:val="0"/>
    <w:pPr>
      <w:spacing w:line="360" w:lineRule="auto"/>
      <w:ind w:firstLine="420" w:firstLineChars="200"/>
    </w:pPr>
    <w:rPr>
      <w:rFonts w:ascii="宋体" w:hAnsi="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128</Pages>
  <Words>16610</Words>
  <Characters>17352</Characters>
  <Lines>202</Lines>
  <Paragraphs>57</Paragraphs>
  <TotalTime>126</TotalTime>
  <ScaleCrop>false</ScaleCrop>
  <LinksUpToDate>false</LinksUpToDate>
  <CharactersWithSpaces>17578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余白</cp:lastModifiedBy>
  <cp:lastPrinted>2024-05-08T02:53:00Z</cp:lastPrinted>
  <dcterms:modified xsi:type="dcterms:W3CDTF">2026-04-29T07:52:46Z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3A9DBB3CDA734487AC1D717D45C23F09_13</vt:lpwstr>
  </property>
  <property fmtid="{D5CDD505-2E9C-101B-9397-08002B2CF9AE}" pid="4" name="KSOTemplateDocerSaveRecord">
    <vt:lpwstr>eyJoZGlkIjoiM2IyZmM3ZWNhYjE5NDE5ZjZkMzI4ZTllZGJjMGM5YjUiLCJ1c2VySWQiOiIzOTY2ODEzNzgifQ==</vt:lpwstr>
  </property>
</Properties>
</file>