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F1DF2A">
      <w:pPr>
        <w:adjustRightInd/>
        <w:snapToGrid/>
        <w:spacing w:after="109" w:line="240" w:lineRule="auto"/>
        <w:ind w:left="480"/>
        <w:jc w:val="left"/>
        <w:rPr>
          <w:rFonts w:ascii="宋体" w:hAnsi="宋体" w:cs="宋体-18030"/>
          <w:color w:val="auto"/>
          <w:sz w:val="28"/>
          <w:szCs w:val="28"/>
          <w:highlight w:val="none"/>
        </w:rPr>
      </w:pPr>
      <w:bookmarkStart w:id="0" w:name="_Hlk107826113"/>
      <w:bookmarkEnd w:id="0"/>
      <w:bookmarkStart w:id="871" w:name="_GoBack"/>
      <w:bookmarkEnd w:id="871"/>
      <w:r>
        <w:rPr>
          <w:color w:val="auto"/>
          <w:highlight w:val="none"/>
        </w:rPr>
        <w:drawing>
          <wp:inline distT="0" distB="0" distL="114300" distR="114300">
            <wp:extent cx="914400" cy="752475"/>
            <wp:effectExtent l="0" t="0" r="0" b="9525"/>
            <wp:docPr id="2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3"/>
                    <pic:cNvPicPr>
                      <a:picLocks noChangeAspect="1"/>
                    </pic:cNvPicPr>
                  </pic:nvPicPr>
                  <pic:blipFill>
                    <a:blip r:embed="rId27"/>
                    <a:stretch>
                      <a:fillRect/>
                    </a:stretch>
                  </pic:blipFill>
                  <pic:spPr>
                    <a:xfrm>
                      <a:off x="0" y="0"/>
                      <a:ext cx="914400" cy="752475"/>
                    </a:xfrm>
                    <a:prstGeom prst="rect">
                      <a:avLst/>
                    </a:prstGeom>
                    <a:noFill/>
                    <a:ln>
                      <a:noFill/>
                    </a:ln>
                  </pic:spPr>
                </pic:pic>
              </a:graphicData>
            </a:graphic>
          </wp:inline>
        </w:drawing>
      </w:r>
      <w:r>
        <w:rPr>
          <w:rFonts w:hint="eastAsia"/>
          <w:b/>
          <w:bCs/>
          <w:color w:val="auto"/>
          <w:sz w:val="36"/>
          <w:szCs w:val="36"/>
          <w:highlight w:val="none"/>
        </w:rPr>
        <w:t xml:space="preserve"> </w:t>
      </w:r>
    </w:p>
    <w:p w14:paraId="0EF9CF43">
      <w:pPr>
        <w:tabs>
          <w:tab w:val="left" w:pos="6863"/>
        </w:tabs>
        <w:adjustRightInd/>
        <w:snapToGrid/>
        <w:spacing w:after="109"/>
        <w:ind w:left="525" w:leftChars="250"/>
        <w:jc w:val="left"/>
        <w:rPr>
          <w:rFonts w:ascii="宋体" w:hAnsi="宋体" w:cs="宋体-18030"/>
          <w:color w:val="auto"/>
          <w:sz w:val="28"/>
          <w:szCs w:val="28"/>
          <w:highlight w:val="none"/>
        </w:rPr>
      </w:pPr>
      <w:r>
        <w:rPr>
          <w:b/>
          <w:bCs/>
          <w:color w:val="auto"/>
          <w:sz w:val="36"/>
          <w:szCs w:val="36"/>
          <w:highlight w:val="none"/>
        </w:rPr>
        <w:t>GXTC</w:t>
      </w:r>
    </w:p>
    <w:p w14:paraId="0F8D540C">
      <w:pPr>
        <w:spacing w:line="360" w:lineRule="auto"/>
        <w:ind w:firstLine="300" w:firstLineChars="50"/>
        <w:rPr>
          <w:color w:val="auto"/>
          <w:sz w:val="60"/>
          <w:szCs w:val="60"/>
          <w:highlight w:val="none"/>
        </w:rPr>
      </w:pPr>
    </w:p>
    <w:p w14:paraId="1EF6C143">
      <w:pPr>
        <w:spacing w:line="360" w:lineRule="auto"/>
        <w:ind w:firstLine="300" w:firstLineChars="50"/>
        <w:rPr>
          <w:color w:val="auto"/>
          <w:sz w:val="60"/>
          <w:szCs w:val="60"/>
          <w:highlight w:val="none"/>
        </w:rPr>
      </w:pPr>
    </w:p>
    <w:p w14:paraId="1009036A">
      <w:pPr>
        <w:jc w:val="center"/>
        <w:rPr>
          <w:b/>
          <w:bCs/>
          <w:color w:val="auto"/>
          <w:sz w:val="60"/>
          <w:szCs w:val="60"/>
          <w:highlight w:val="none"/>
        </w:rPr>
      </w:pPr>
      <w:r>
        <w:rPr>
          <w:b/>
          <w:bCs/>
          <w:color w:val="auto"/>
          <w:sz w:val="60"/>
          <w:szCs w:val="60"/>
          <w:highlight w:val="none"/>
        </w:rPr>
        <w:t>北京市政府采购项目</w:t>
      </w:r>
    </w:p>
    <w:p w14:paraId="098DF1C2">
      <w:pPr>
        <w:jc w:val="center"/>
        <w:rPr>
          <w:b/>
          <w:bCs/>
          <w:color w:val="auto"/>
          <w:sz w:val="60"/>
          <w:szCs w:val="60"/>
          <w:highlight w:val="none"/>
        </w:rPr>
      </w:pPr>
      <w:r>
        <w:rPr>
          <w:b/>
          <w:bCs/>
          <w:color w:val="auto"/>
          <w:sz w:val="60"/>
          <w:szCs w:val="60"/>
          <w:highlight w:val="none"/>
        </w:rPr>
        <w:t>公开招标文件</w:t>
      </w:r>
    </w:p>
    <w:p w14:paraId="2435DA4F">
      <w:pPr>
        <w:spacing w:line="360" w:lineRule="auto"/>
        <w:jc w:val="center"/>
        <w:rPr>
          <w:color w:val="auto"/>
          <w:sz w:val="60"/>
          <w:szCs w:val="60"/>
          <w:highlight w:val="none"/>
        </w:rPr>
      </w:pPr>
    </w:p>
    <w:p w14:paraId="68777592">
      <w:pPr>
        <w:spacing w:line="360" w:lineRule="auto"/>
        <w:jc w:val="center"/>
        <w:rPr>
          <w:color w:val="auto"/>
          <w:sz w:val="60"/>
          <w:szCs w:val="60"/>
          <w:highlight w:val="none"/>
        </w:rPr>
      </w:pPr>
    </w:p>
    <w:p w14:paraId="31D8BB68">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932" w:leftChars="444" w:firstLine="0" w:firstLineChars="0"/>
        <w:jc w:val="left"/>
        <w:textAlignment w:val="auto"/>
        <w:rPr>
          <w:rFonts w:hint="eastAsia"/>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特定行业公用经费（学生公寓标准化管理项目）</w:t>
      </w:r>
    </w:p>
    <w:p w14:paraId="232A011C">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932" w:leftChars="444" w:firstLine="0" w:firstLineChars="0"/>
        <w:jc w:val="left"/>
        <w:textAlignment w:val="auto"/>
        <w:rPr>
          <w:rFonts w:hint="eastAsia"/>
          <w:bCs/>
          <w:color w:val="auto"/>
          <w:sz w:val="36"/>
          <w:szCs w:val="36"/>
          <w:highlight w:val="none"/>
          <w:lang w:eastAsia="zh-CN"/>
        </w:rPr>
      </w:pPr>
      <w:r>
        <w:rPr>
          <w:rFonts w:hint="eastAsia"/>
          <w:bCs/>
          <w:color w:val="auto"/>
          <w:sz w:val="36"/>
          <w:szCs w:val="36"/>
          <w:highlight w:val="none"/>
          <w:lang w:eastAsia="zh-CN"/>
        </w:rPr>
        <w:t>项目编号：</w:t>
      </w:r>
      <w:r>
        <w:rPr>
          <w:rFonts w:hint="eastAsia"/>
          <w:bCs/>
          <w:color w:val="auto"/>
          <w:sz w:val="36"/>
          <w:szCs w:val="36"/>
          <w:highlight w:val="none"/>
          <w:lang w:val="en-US" w:eastAsia="zh-CN"/>
        </w:rPr>
        <w:fldChar w:fldCharType="begin"/>
      </w:r>
      <w:r>
        <w:rPr>
          <w:rFonts w:hint="eastAsia"/>
          <w:bCs/>
          <w:color w:val="auto"/>
          <w:sz w:val="36"/>
          <w:szCs w:val="36"/>
          <w:highlight w:val="none"/>
          <w:lang w:val="en-US" w:eastAsia="zh-CN"/>
        </w:rPr>
        <w:instrText xml:space="preserve"> HYPERLINK "http://219.232.204.193:8080/frontend/plan/project_detail.html?projectUuid=22a132ad-2d40-4cce-99a9-43fa6be06375&amp;viewMode=accept" </w:instrText>
      </w:r>
      <w:r>
        <w:rPr>
          <w:rFonts w:hint="eastAsia"/>
          <w:bCs/>
          <w:color w:val="auto"/>
          <w:sz w:val="36"/>
          <w:szCs w:val="36"/>
          <w:highlight w:val="none"/>
          <w:lang w:val="en-US" w:eastAsia="zh-CN"/>
        </w:rPr>
        <w:fldChar w:fldCharType="separate"/>
      </w:r>
      <w:r>
        <w:rPr>
          <w:rFonts w:hint="eastAsia"/>
          <w:bCs/>
          <w:color w:val="auto"/>
          <w:sz w:val="36"/>
          <w:szCs w:val="36"/>
          <w:highlight w:val="none"/>
          <w:lang w:eastAsia="zh-CN"/>
        </w:rPr>
        <w:t>11000025210200115441-XM001</w:t>
      </w:r>
      <w:r>
        <w:rPr>
          <w:rFonts w:hint="eastAsia"/>
          <w:bCs/>
          <w:color w:val="auto"/>
          <w:sz w:val="36"/>
          <w:szCs w:val="36"/>
          <w:highlight w:val="none"/>
          <w:lang w:val="en-US" w:eastAsia="zh-CN"/>
        </w:rPr>
        <w:fldChar w:fldCharType="end"/>
      </w:r>
    </w:p>
    <w:p w14:paraId="164F7764">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932" w:leftChars="444" w:firstLine="0" w:firstLineChars="0"/>
        <w:jc w:val="left"/>
        <w:textAlignment w:val="auto"/>
        <w:rPr>
          <w:rFonts w:hint="eastAsia"/>
          <w:bCs/>
          <w:color w:val="auto"/>
          <w:sz w:val="36"/>
          <w:szCs w:val="36"/>
          <w:highlight w:val="none"/>
          <w:lang w:eastAsia="zh-CN"/>
        </w:rPr>
      </w:pPr>
      <w:r>
        <w:rPr>
          <w:rFonts w:hint="eastAsia"/>
          <w:bCs/>
          <w:color w:val="auto"/>
          <w:sz w:val="36"/>
          <w:szCs w:val="36"/>
          <w:highlight w:val="none"/>
          <w:lang w:eastAsia="zh-CN"/>
        </w:rPr>
        <w:t>项目代理编号：</w:t>
      </w:r>
      <w:r>
        <w:rPr>
          <w:rFonts w:hint="eastAsia"/>
          <w:bCs/>
          <w:color w:val="auto"/>
          <w:sz w:val="36"/>
          <w:szCs w:val="36"/>
          <w:highlight w:val="none"/>
          <w:lang w:val="en-US" w:eastAsia="zh-CN"/>
        </w:rPr>
        <w:t>GXTC-C-251290069</w:t>
      </w:r>
    </w:p>
    <w:p w14:paraId="379377EB">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北京劳动保障职业学院</w:t>
      </w:r>
    </w:p>
    <w:p w14:paraId="43019D23">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采购代理机构：</w:t>
      </w:r>
      <w:r>
        <w:rPr>
          <w:rFonts w:hint="eastAsia"/>
          <w:bCs/>
          <w:color w:val="auto"/>
          <w:sz w:val="36"/>
          <w:szCs w:val="36"/>
          <w:highlight w:val="none"/>
          <w:lang w:val="en-US" w:eastAsia="zh-CN"/>
        </w:rPr>
        <w:t>国信招标集团股份有限公司</w:t>
      </w:r>
      <w:r>
        <w:rPr>
          <w:bCs/>
          <w:color w:val="auto"/>
          <w:sz w:val="36"/>
          <w:szCs w:val="36"/>
          <w:highlight w:val="none"/>
        </w:rPr>
        <w:t xml:space="preserve"> </w:t>
      </w:r>
    </w:p>
    <w:p w14:paraId="5B2432F8">
      <w:pPr>
        <w:widowControl/>
        <w:jc w:val="left"/>
        <w:rPr>
          <w:rFonts w:hint="eastAsia" w:ascii="宋体" w:hAnsi="宋体" w:eastAsia="宋体" w:cs="宋体"/>
          <w:b/>
          <w:bCs/>
          <w:color w:val="auto"/>
          <w:spacing w:val="-6"/>
          <w:position w:val="5"/>
          <w:sz w:val="32"/>
          <w:szCs w:val="32"/>
          <w:highlight w:val="none"/>
          <w:lang w:val="en-US" w:eastAsia="zh-CN"/>
        </w:rPr>
      </w:pPr>
    </w:p>
    <w:p w14:paraId="22B1B8E7">
      <w:pPr>
        <w:widowControl/>
        <w:jc w:val="left"/>
        <w:rPr>
          <w:rFonts w:hint="eastAsia" w:ascii="宋体" w:hAnsi="宋体" w:eastAsia="宋体" w:cs="宋体"/>
          <w:b/>
          <w:bCs/>
          <w:color w:val="auto"/>
          <w:spacing w:val="-6"/>
          <w:position w:val="5"/>
          <w:sz w:val="32"/>
          <w:szCs w:val="32"/>
          <w:highlight w:val="none"/>
          <w:lang w:val="en-US" w:eastAsia="zh-CN"/>
        </w:rPr>
      </w:pPr>
    </w:p>
    <w:p w14:paraId="3775E7F3">
      <w:pPr>
        <w:widowControl/>
        <w:jc w:val="left"/>
        <w:rPr>
          <w:rFonts w:hint="eastAsia" w:ascii="宋体" w:hAnsi="宋体" w:eastAsia="宋体" w:cs="宋体"/>
          <w:b/>
          <w:bCs/>
          <w:color w:val="auto"/>
          <w:spacing w:val="-6"/>
          <w:position w:val="5"/>
          <w:sz w:val="32"/>
          <w:szCs w:val="32"/>
          <w:highlight w:val="none"/>
          <w:lang w:val="en-US" w:eastAsia="zh-CN"/>
        </w:rPr>
      </w:pPr>
    </w:p>
    <w:p w14:paraId="39475639">
      <w:pPr>
        <w:widowControl/>
        <w:jc w:val="center"/>
        <w:rPr>
          <w:b/>
          <w:bCs/>
          <w:color w:val="auto"/>
          <w:sz w:val="44"/>
          <w:highlight w:val="none"/>
        </w:rPr>
      </w:pPr>
      <w:r>
        <w:rPr>
          <w:rFonts w:hint="eastAsia" w:ascii="宋体" w:hAnsi="宋体" w:eastAsia="宋体" w:cs="宋体"/>
          <w:b/>
          <w:bCs/>
          <w:color w:val="auto"/>
          <w:spacing w:val="-6"/>
          <w:position w:val="5"/>
          <w:sz w:val="32"/>
          <w:szCs w:val="32"/>
          <w:highlight w:val="none"/>
          <w:lang w:val="en-US" w:eastAsia="zh-CN"/>
        </w:rPr>
        <w:t>202</w:t>
      </w:r>
      <w:r>
        <w:rPr>
          <w:rFonts w:hint="eastAsia" w:ascii="宋体" w:hAnsi="宋体" w:cs="宋体"/>
          <w:b/>
          <w:bCs/>
          <w:color w:val="auto"/>
          <w:spacing w:val="-6"/>
          <w:position w:val="5"/>
          <w:sz w:val="32"/>
          <w:szCs w:val="32"/>
          <w:highlight w:val="none"/>
          <w:lang w:val="en-US" w:eastAsia="zh-CN"/>
        </w:rPr>
        <w:t>5</w:t>
      </w:r>
      <w:r>
        <w:rPr>
          <w:rFonts w:hint="eastAsia" w:ascii="宋体" w:hAnsi="宋体" w:eastAsia="宋体" w:cs="宋体"/>
          <w:b/>
          <w:bCs/>
          <w:color w:val="auto"/>
          <w:spacing w:val="-6"/>
          <w:position w:val="5"/>
          <w:sz w:val="32"/>
          <w:szCs w:val="32"/>
          <w:highlight w:val="none"/>
          <w:lang w:val="en-US" w:eastAsia="zh-CN"/>
        </w:rPr>
        <w:t>年</w:t>
      </w:r>
      <w:r>
        <w:rPr>
          <w:rFonts w:hint="eastAsia" w:ascii="宋体" w:hAnsi="宋体" w:cs="宋体"/>
          <w:b/>
          <w:bCs/>
          <w:color w:val="auto"/>
          <w:spacing w:val="-6"/>
          <w:position w:val="5"/>
          <w:sz w:val="32"/>
          <w:szCs w:val="32"/>
          <w:highlight w:val="none"/>
          <w:lang w:val="en-US" w:eastAsia="zh-CN"/>
        </w:rPr>
        <w:t>05</w:t>
      </w:r>
      <w:r>
        <w:rPr>
          <w:rFonts w:hint="eastAsia" w:ascii="宋体" w:hAnsi="宋体" w:eastAsia="宋体" w:cs="宋体"/>
          <w:b/>
          <w:bCs/>
          <w:color w:val="auto"/>
          <w:spacing w:val="-6"/>
          <w:position w:val="5"/>
          <w:sz w:val="32"/>
          <w:szCs w:val="32"/>
          <w:highlight w:val="none"/>
          <w:lang w:val="en-US" w:eastAsia="zh-CN"/>
        </w:rPr>
        <w:t>月</w:t>
      </w:r>
    </w:p>
    <w:p w14:paraId="7AA9DEC2">
      <w:pPr>
        <w:rPr>
          <w:b/>
          <w:color w:val="auto"/>
          <w:sz w:val="36"/>
          <w:szCs w:val="36"/>
          <w:highlight w:val="none"/>
        </w:rPr>
      </w:pPr>
      <w:bookmarkStart w:id="1" w:name="_Toc99301417"/>
      <w:bookmarkStart w:id="2" w:name="_Toc74227630"/>
    </w:p>
    <w:p w14:paraId="647CC82F">
      <w:pPr>
        <w:spacing w:line="360" w:lineRule="auto"/>
        <w:jc w:val="center"/>
        <w:outlineLvl w:val="0"/>
        <w:rPr>
          <w:b/>
          <w:color w:val="auto"/>
          <w:sz w:val="36"/>
          <w:szCs w:val="36"/>
          <w:highlight w:val="none"/>
        </w:rPr>
      </w:pPr>
      <w:r>
        <w:rPr>
          <w:b/>
          <w:color w:val="auto"/>
          <w:sz w:val="36"/>
          <w:szCs w:val="36"/>
          <w:highlight w:val="none"/>
        </w:rPr>
        <w:t>使用说明</w:t>
      </w:r>
      <w:bookmarkEnd w:id="1"/>
      <w:bookmarkEnd w:id="2"/>
    </w:p>
    <w:p w14:paraId="09DC79E0">
      <w:pPr>
        <w:pStyle w:val="161"/>
        <w:spacing w:line="360" w:lineRule="auto"/>
        <w:ind w:firstLine="640" w:firstLineChars="200"/>
        <w:rPr>
          <w:rFonts w:ascii="Times New Roman" w:hAnsi="Times New Roman" w:cs="Times New Roman"/>
          <w:color w:val="auto"/>
          <w:sz w:val="32"/>
          <w:szCs w:val="32"/>
          <w:highlight w:val="none"/>
        </w:rPr>
      </w:pPr>
    </w:p>
    <w:p w14:paraId="1994A026">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试行）》（以下简称《示范文本》），并在我市政府采购项目中推广使用。</w:t>
      </w:r>
    </w:p>
    <w:p w14:paraId="7C55AF94">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现根据一年来使用情况及政府采购有关新政策要求，就《示范文本》进行更新。</w:t>
      </w:r>
    </w:p>
    <w:p w14:paraId="38A66EBF">
      <w:pPr>
        <w:pStyle w:val="161"/>
        <w:spacing w:line="48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一、适用范围</w:t>
      </w:r>
    </w:p>
    <w:p w14:paraId="78B192C7">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《示范文本》适用于我市采用公开招标方式采购的政府采购货物和服务项目。</w:t>
      </w:r>
    </w:p>
    <w:p w14:paraId="1571C7E4">
      <w:pPr>
        <w:pStyle w:val="161"/>
        <w:spacing w:line="48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二、填写规则</w:t>
      </w:r>
    </w:p>
    <w:p w14:paraId="6B2F487E">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条款中以空格和下划横线“</w:t>
      </w:r>
      <w:r>
        <w:rPr>
          <w:rFonts w:ascii="Times New Roman" w:hAnsi="Times New Roman" w:cs="Times New Roman"/>
          <w:bCs/>
          <w:color w:val="auto"/>
          <w:sz w:val="24"/>
          <w:szCs w:val="24"/>
          <w:highlight w:val="none"/>
        </w:rPr>
        <w:t>__</w:t>
      </w:r>
      <w:r>
        <w:rPr>
          <w:rFonts w:ascii="Times New Roman" w:hAnsi="Times New Roman" w:cs="Times New Roman"/>
          <w:color w:val="auto"/>
          <w:sz w:val="24"/>
          <w:szCs w:val="24"/>
          <w:highlight w:val="none"/>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color w:val="auto"/>
          <w:sz w:val="24"/>
          <w:szCs w:val="24"/>
          <w:highlight w:val="none"/>
        </w:rPr>
        <w:t>__</w:t>
      </w:r>
      <w:r>
        <w:rPr>
          <w:rFonts w:ascii="Times New Roman" w:hAnsi="Times New Roman" w:cs="Times New Roman"/>
          <w:color w:val="auto"/>
          <w:sz w:val="24"/>
          <w:szCs w:val="24"/>
          <w:highlight w:val="none"/>
        </w:rPr>
        <w:t>”中用“ / ”标记。</w:t>
      </w:r>
    </w:p>
    <w:p w14:paraId="4040FA36">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条款中以“</w:t>
      </w:r>
      <w:r>
        <w:rPr>
          <w:rFonts w:ascii="Times New Roman" w:hAnsi="Times New Roman" w:cs="Times New Roman" w:eastAsiaTheme="minorEastAsia"/>
          <w:color w:val="auto"/>
          <w:sz w:val="24"/>
          <w:szCs w:val="24"/>
          <w:highlight w:val="none"/>
        </w:rPr>
        <w:t>□</w:t>
      </w:r>
      <w:r>
        <w:rPr>
          <w:rFonts w:ascii="Times New Roman" w:hAnsi="Times New Roman" w:cs="Times New Roman"/>
          <w:color w:val="auto"/>
          <w:sz w:val="24"/>
          <w:szCs w:val="24"/>
          <w:highlight w:val="none"/>
        </w:rPr>
        <w:t>”形式标记的内容，为采购人或采购代理机构需要确定的选项。编制招标文件时，适用于本项目的选项标记为“</w:t>
      </w:r>
      <w:r>
        <w:rPr>
          <w:rFonts w:ascii="Times New Roman" w:hAnsi="Times New Roman" w:cs="Times New Roman" w:eastAsiaTheme="minorEastAsia"/>
          <w:color w:val="auto"/>
          <w:sz w:val="24"/>
          <w:szCs w:val="24"/>
          <w:highlight w:val="none"/>
        </w:rPr>
        <w:t>■</w:t>
      </w:r>
      <w:r>
        <w:rPr>
          <w:rFonts w:ascii="Times New Roman" w:hAnsi="Times New Roman" w:cs="Times New Roman"/>
          <w:color w:val="auto"/>
          <w:sz w:val="24"/>
          <w:szCs w:val="24"/>
          <w:highlight w:val="none"/>
        </w:rPr>
        <w:t>”，不适用于本项目的选项标记为“</w:t>
      </w:r>
      <w:r>
        <w:rPr>
          <w:rFonts w:ascii="Times New Roman" w:hAnsi="Times New Roman" w:cs="Times New Roman" w:eastAsiaTheme="minorEastAsia"/>
          <w:color w:val="auto"/>
          <w:sz w:val="24"/>
          <w:szCs w:val="24"/>
          <w:highlight w:val="none"/>
        </w:rPr>
        <w:t>□</w:t>
      </w:r>
      <w:r>
        <w:rPr>
          <w:rFonts w:ascii="Times New Roman" w:hAnsi="Times New Roman" w:cs="Times New Roman"/>
          <w:color w:val="auto"/>
          <w:sz w:val="24"/>
          <w:szCs w:val="24"/>
          <w:highlight w:val="none"/>
        </w:rPr>
        <w:t>”。</w:t>
      </w:r>
    </w:p>
    <w:p w14:paraId="39ED6209">
      <w:pPr>
        <w:pStyle w:val="161"/>
        <w:spacing w:line="48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三、提示条款</w:t>
      </w:r>
    </w:p>
    <w:p w14:paraId="2004CCCB">
      <w:pPr>
        <w:pStyle w:val="161"/>
        <w:spacing w:line="480" w:lineRule="auto"/>
        <w:ind w:firstLine="480" w:firstLineChars="200"/>
        <w:rPr>
          <w:rFonts w:ascii="Times New Roman" w:hAnsi="Times New Roman" w:cs="Times New Roman"/>
          <w:b/>
          <w:color w:val="auto"/>
          <w:sz w:val="24"/>
          <w:szCs w:val="24"/>
          <w:highlight w:val="none"/>
        </w:rPr>
      </w:pPr>
      <w:r>
        <w:rPr>
          <w:rFonts w:ascii="Times New Roman" w:hAnsi="Times New Roman" w:cs="Times New Roman"/>
          <w:color w:val="auto"/>
          <w:sz w:val="24"/>
          <w:szCs w:val="24"/>
          <w:highlight w:val="none"/>
        </w:rPr>
        <w:t>《示范文本》中 “</w:t>
      </w:r>
      <w:r>
        <w:rPr>
          <w:rFonts w:ascii="Times New Roman" w:hAnsi="Times New Roman" w:cs="Times New Roman"/>
          <w:i/>
          <w:color w:val="auto"/>
          <w:sz w:val="24"/>
          <w:szCs w:val="24"/>
          <w:highlight w:val="none"/>
        </w:rPr>
        <w:t>（）</w:t>
      </w:r>
      <w:r>
        <w:rPr>
          <w:rFonts w:ascii="Times New Roman" w:hAnsi="Times New Roman" w:cs="Times New Roman"/>
          <w:color w:val="auto"/>
          <w:sz w:val="24"/>
          <w:szCs w:val="24"/>
          <w:highlight w:val="none"/>
        </w:rPr>
        <w:t>”形式标记的红色斜体内容，属于提示编制招标文件的注意事项，招标文件发出前，有关提示内容应予以删除。</w:t>
      </w:r>
    </w:p>
    <w:p w14:paraId="3C4CF3E1">
      <w:pPr>
        <w:pStyle w:val="161"/>
        <w:spacing w:line="48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四、资料表的运用</w:t>
      </w:r>
    </w:p>
    <w:p w14:paraId="4942D242">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3016AAF9">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为避免招标文件编制过程中出现的相同内容在文件中前后不一致等错误，招标文件尽量做到相同内容只出现一次，其他章节涉及有关内容的，以标明条款号引用的方式体现。</w:t>
      </w:r>
    </w:p>
    <w:p w14:paraId="21B7A055">
      <w:pPr>
        <w:pStyle w:val="161"/>
        <w:spacing w:line="48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五、采购需求与合同文本</w:t>
      </w:r>
    </w:p>
    <w:p w14:paraId="48F6573D">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《示范文本》在第五章“采购需求”部分列出了需求大纲供采购人或采购代理机构参考。</w:t>
      </w:r>
    </w:p>
    <w:p w14:paraId="039CEDBA">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01F726C8">
      <w:pPr>
        <w:pStyle w:val="161"/>
        <w:spacing w:line="48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六、投标文件格式的统一与简化</w:t>
      </w:r>
    </w:p>
    <w:p w14:paraId="56265098">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485B3691">
      <w:pPr>
        <w:pStyle w:val="161"/>
        <w:spacing w:line="48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七、实施及修改</w:t>
      </w:r>
    </w:p>
    <w:p w14:paraId="64689043">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08437F02">
      <w:pPr>
        <w:pStyle w:val="161"/>
        <w:spacing w:line="48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采购人或采购代理机构可根据法律法规、政府采购政策文件等更新情况或项目具体特点，对示范文本适当进行更新或调整。</w:t>
      </w:r>
    </w:p>
    <w:p w14:paraId="5EB503E8">
      <w:pPr>
        <w:spacing w:line="500" w:lineRule="exact"/>
        <w:rPr>
          <w:i/>
          <w:color w:val="auto"/>
          <w:highlight w:val="none"/>
        </w:rPr>
      </w:pPr>
    </w:p>
    <w:p w14:paraId="19892C70">
      <w:pPr>
        <w:spacing w:line="360" w:lineRule="auto"/>
        <w:jc w:val="center"/>
        <w:outlineLvl w:val="0"/>
        <w:rPr>
          <w:b/>
          <w:color w:val="auto"/>
          <w:sz w:val="36"/>
          <w:szCs w:val="36"/>
          <w:highlight w:val="none"/>
        </w:rPr>
      </w:pPr>
      <w:bookmarkStart w:id="3" w:name="_Toc99301418"/>
      <w:r>
        <w:rPr>
          <w:b/>
          <w:color w:val="auto"/>
          <w:sz w:val="36"/>
          <w:szCs w:val="36"/>
          <w:highlight w:val="none"/>
        </w:rPr>
        <w:t>目      录</w:t>
      </w:r>
      <w:bookmarkEnd w:id="3"/>
    </w:p>
    <w:p w14:paraId="27E1CB20">
      <w:pPr>
        <w:rPr>
          <w:color w:val="auto"/>
          <w:highlight w:val="none"/>
        </w:rPr>
      </w:pPr>
    </w:p>
    <w:p w14:paraId="0291D9D8">
      <w:pPr>
        <w:rPr>
          <w:color w:val="auto"/>
          <w:highlight w:val="none"/>
        </w:rPr>
      </w:pPr>
    </w:p>
    <w:p w14:paraId="735B2047">
      <w:pPr>
        <w:rPr>
          <w:color w:val="auto"/>
          <w:highlight w:val="none"/>
        </w:rPr>
      </w:pPr>
    </w:p>
    <w:p w14:paraId="32C264B6">
      <w:pPr>
        <w:pStyle w:val="31"/>
        <w:rPr>
          <w:rFonts w:ascii="Times New Roman" w:hAnsi="Times New Roman" w:eastAsiaTheme="minorEastAsia"/>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469BE22F">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"_Toc99301419" </w:instrText>
      </w:r>
      <w:r>
        <w:rPr>
          <w:color w:val="auto"/>
          <w:highlight w:val="none"/>
        </w:rPr>
        <w:fldChar w:fldCharType="separate"/>
      </w:r>
      <w:r>
        <w:rPr>
          <w:rStyle w:val="51"/>
          <w:rFonts w:ascii="Times New Roman" w:hAnsi="Times New Roman"/>
          <w:color w:val="auto"/>
          <w:highlight w:val="none"/>
        </w:rPr>
        <w:t>第一章   投标邀请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_Toc99301419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11F4A46">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"_Toc99301420" </w:instrText>
      </w:r>
      <w:r>
        <w:rPr>
          <w:color w:val="auto"/>
          <w:highlight w:val="none"/>
        </w:rPr>
        <w:fldChar w:fldCharType="separate"/>
      </w:r>
      <w:r>
        <w:rPr>
          <w:rStyle w:val="51"/>
          <w:rFonts w:ascii="Times New Roman" w:hAnsi="Times New Roman"/>
          <w:color w:val="auto"/>
          <w:highlight w:val="none"/>
        </w:rPr>
        <w:t>第二章   投标人须知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_Toc99301420 \h </w:instrText>
      </w:r>
      <w:r>
        <w:rPr>
          <w:rFonts w:ascii="Times New Roman" w:hAnsi="Times New Roman"/>
          <w:color w:val="auto"/>
          <w:highlight w:val="none"/>
        </w:rPr>
        <w:fldChar w:fldCharType="separate"/>
      </w:r>
      <w:r>
        <w:rPr>
          <w:rFonts w:ascii="Times New Roman" w:hAnsi="Times New Roman"/>
          <w:color w:val="auto"/>
          <w:highlight w:val="none"/>
        </w:rPr>
        <w:t>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199908E">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"_Toc99301421" </w:instrText>
      </w:r>
      <w:r>
        <w:rPr>
          <w:color w:val="auto"/>
          <w:highlight w:val="none"/>
        </w:rPr>
        <w:fldChar w:fldCharType="separate"/>
      </w:r>
      <w:r>
        <w:rPr>
          <w:rStyle w:val="51"/>
          <w:rFonts w:ascii="Times New Roman" w:hAnsi="Times New Roman"/>
          <w:color w:val="auto"/>
          <w:highlight w:val="none"/>
        </w:rPr>
        <w:t>第三章   资格审查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_Toc99301421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B8F705F">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"_Toc99301423" </w:instrText>
      </w:r>
      <w:r>
        <w:rPr>
          <w:color w:val="auto"/>
          <w:highlight w:val="none"/>
        </w:rPr>
        <w:fldChar w:fldCharType="separate"/>
      </w:r>
      <w:r>
        <w:rPr>
          <w:rStyle w:val="51"/>
          <w:rFonts w:ascii="Times New Roman" w:hAnsi="Times New Roman"/>
          <w:color w:val="auto"/>
          <w:highlight w:val="none"/>
        </w:rPr>
        <w:t>第四章   评标程序、评标方法和评标标准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_Toc99301423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F19B7A">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"_Toc99301424" </w:instrText>
      </w:r>
      <w:r>
        <w:rPr>
          <w:color w:val="auto"/>
          <w:highlight w:val="none"/>
        </w:rPr>
        <w:fldChar w:fldCharType="separate"/>
      </w:r>
      <w:r>
        <w:rPr>
          <w:rStyle w:val="51"/>
          <w:rFonts w:ascii="Times New Roman" w:hAnsi="Times New Roman"/>
          <w:color w:val="auto"/>
          <w:highlight w:val="none"/>
        </w:rPr>
        <w:t>第五章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_Toc99301424 \h </w:instrText>
      </w:r>
      <w:r>
        <w:rPr>
          <w:rFonts w:ascii="Times New Roman" w:hAnsi="Times New Roman"/>
          <w:color w:val="auto"/>
          <w:highlight w:val="none"/>
        </w:rPr>
        <w:fldChar w:fldCharType="separate"/>
      </w:r>
      <w:r>
        <w:rPr>
          <w:rFonts w:ascii="Times New Roman" w:hAnsi="Times New Roman"/>
          <w:color w:val="auto"/>
          <w:highlight w:val="none"/>
        </w:rPr>
        <w:t>40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603EAF">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"_Toc99301425" </w:instrText>
      </w:r>
      <w:r>
        <w:rPr>
          <w:color w:val="auto"/>
          <w:highlight w:val="none"/>
        </w:rPr>
        <w:fldChar w:fldCharType="separate"/>
      </w:r>
      <w:r>
        <w:rPr>
          <w:rStyle w:val="51"/>
          <w:rFonts w:ascii="Times New Roman" w:hAnsi="Times New Roman"/>
          <w:color w:val="auto"/>
          <w:highlight w:val="none"/>
        </w:rPr>
        <w:t>第六章   拟签订的合同文本</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_Toc99301425 \h </w:instrText>
      </w:r>
      <w:r>
        <w:rPr>
          <w:rFonts w:ascii="Times New Roman" w:hAnsi="Times New Roman"/>
          <w:color w:val="auto"/>
          <w:highlight w:val="none"/>
        </w:rPr>
        <w:fldChar w:fldCharType="separate"/>
      </w:r>
      <w:r>
        <w:rPr>
          <w:rFonts w:ascii="Times New Roman" w:hAnsi="Times New Roman"/>
          <w:color w:val="auto"/>
          <w:highlight w:val="none"/>
        </w:rPr>
        <w:t>66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78EE4F1">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"_Toc99301426" </w:instrText>
      </w:r>
      <w:r>
        <w:rPr>
          <w:color w:val="auto"/>
          <w:highlight w:val="none"/>
        </w:rPr>
        <w:fldChar w:fldCharType="separate"/>
      </w:r>
      <w:r>
        <w:rPr>
          <w:rStyle w:val="51"/>
          <w:rFonts w:ascii="Times New Roman" w:hAnsi="Times New Roman"/>
          <w:color w:val="auto"/>
          <w:highlight w:val="none"/>
        </w:rPr>
        <w:t>第七章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_Toc99301426 \h </w:instrText>
      </w:r>
      <w:r>
        <w:rPr>
          <w:rFonts w:ascii="Times New Roman" w:hAnsi="Times New Roman"/>
          <w:color w:val="auto"/>
          <w:highlight w:val="none"/>
        </w:rPr>
        <w:fldChar w:fldCharType="separate"/>
      </w:r>
      <w:r>
        <w:rPr>
          <w:rFonts w:ascii="Times New Roman" w:hAnsi="Times New Roman"/>
          <w:color w:val="auto"/>
          <w:highlight w:val="none"/>
        </w:rPr>
        <w:t>84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69EF026">
      <w:pPr>
        <w:pStyle w:val="31"/>
        <w:spacing w:line="36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743A0466">
      <w:pPr>
        <w:spacing w:line="360" w:lineRule="auto"/>
        <w:jc w:val="center"/>
        <w:outlineLvl w:val="0"/>
        <w:rPr>
          <w:b/>
          <w:color w:val="auto"/>
          <w:sz w:val="36"/>
          <w:szCs w:val="36"/>
          <w:highlight w:val="none"/>
        </w:rPr>
      </w:pPr>
      <w:r>
        <w:rPr>
          <w:color w:val="auto"/>
          <w:sz w:val="24"/>
          <w:highlight w:val="none"/>
        </w:rPr>
        <w:br w:type="page"/>
      </w:r>
      <w:bookmarkStart w:id="4" w:name="_Toc99301419"/>
      <w:r>
        <w:rPr>
          <w:b/>
          <w:color w:val="auto"/>
          <w:sz w:val="36"/>
          <w:szCs w:val="36"/>
          <w:highlight w:val="none"/>
        </w:rPr>
        <w:t>第一章   投标邀请</w:t>
      </w:r>
      <w:bookmarkEnd w:id="4"/>
    </w:p>
    <w:p w14:paraId="46C690AE">
      <w:pPr>
        <w:spacing w:line="360" w:lineRule="auto"/>
        <w:ind w:firstLine="640" w:firstLineChars="200"/>
        <w:rPr>
          <w:color w:val="auto"/>
          <w:sz w:val="32"/>
          <w:szCs w:val="32"/>
          <w:highlight w:val="none"/>
        </w:rPr>
      </w:pPr>
    </w:p>
    <w:p w14:paraId="7B5302E9">
      <w:pPr>
        <w:pStyle w:val="3"/>
        <w:spacing w:before="0" w:line="360" w:lineRule="auto"/>
        <w:jc w:val="left"/>
        <w:rPr>
          <w:rFonts w:ascii="Times New Roman" w:hAnsi="Times New Roman" w:eastAsia="宋体"/>
          <w:color w:val="auto"/>
          <w:sz w:val="24"/>
          <w:szCs w:val="24"/>
          <w:highlight w:val="none"/>
        </w:rPr>
      </w:pPr>
      <w:bookmarkStart w:id="5" w:name="_Toc35393621"/>
      <w:bookmarkStart w:id="6" w:name="_Toc28359079"/>
      <w:bookmarkStart w:id="7" w:name="_Toc35393790"/>
      <w:bookmarkStart w:id="8" w:name="_Toc28359002"/>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54E1C8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color w:val="auto"/>
          <w:sz w:val="24"/>
          <w:highlight w:val="none"/>
        </w:rPr>
        <w:t>1.项目编号：</w:t>
      </w:r>
      <w:r>
        <w:rPr>
          <w:color w:val="auto"/>
          <w:sz w:val="24"/>
          <w:highlight w:val="none"/>
          <w:lang w:val="en-US" w:eastAsia="zh-CN"/>
        </w:rPr>
        <w:fldChar w:fldCharType="begin"/>
      </w:r>
      <w:r>
        <w:rPr>
          <w:color w:val="auto"/>
          <w:sz w:val="24"/>
          <w:highlight w:val="none"/>
          <w:lang w:val="en-US" w:eastAsia="zh-CN"/>
        </w:rPr>
        <w:instrText xml:space="preserve"> HYPERLINK "http://219.232.204.193:8080/frontend/plan/project_detail.html?projectUuid=22a132ad-2d40-4cce-99a9-43fa6be06375&amp;viewMode=accept" </w:instrText>
      </w:r>
      <w:r>
        <w:rPr>
          <w:color w:val="auto"/>
          <w:sz w:val="24"/>
          <w:highlight w:val="none"/>
          <w:lang w:val="en-US" w:eastAsia="zh-CN"/>
        </w:rPr>
        <w:fldChar w:fldCharType="separate"/>
      </w:r>
      <w:r>
        <w:rPr>
          <w:color w:val="auto"/>
          <w:sz w:val="24"/>
          <w:highlight w:val="none"/>
        </w:rPr>
        <w:t>11000025210200115441-XM001</w:t>
      </w:r>
      <w:r>
        <w:rPr>
          <w:color w:val="auto"/>
          <w:sz w:val="24"/>
          <w:highlight w:val="none"/>
          <w:lang w:val="en-US" w:eastAsia="zh-CN"/>
        </w:rPr>
        <w:fldChar w:fldCharType="end"/>
      </w:r>
    </w:p>
    <w:p w14:paraId="64489403">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imes New Roman" w:hAnsi="Times New Roman" w:eastAsia="宋体" w:cs="Times New Roman"/>
          <w:color w:val="0000FF"/>
          <w:sz w:val="24"/>
        </w:rPr>
      </w:pPr>
      <w:r>
        <w:rPr>
          <w:rFonts w:hint="eastAsia"/>
          <w:color w:val="auto"/>
          <w:sz w:val="24"/>
          <w:highlight w:val="none"/>
          <w:lang w:val="en-US" w:eastAsia="zh-CN"/>
        </w:rPr>
        <w:t xml:space="preserve">1.1项目代理编号：GXTC-C-251290069 </w:t>
      </w:r>
    </w:p>
    <w:p w14:paraId="2C64FBEB">
      <w:pPr>
        <w:numPr>
          <w:ilvl w:val="0"/>
          <w:numId w:val="8"/>
        </w:numPr>
        <w:spacing w:line="360" w:lineRule="auto"/>
        <w:ind w:firstLine="480" w:firstLineChars="200"/>
        <w:rPr>
          <w:rFonts w:hint="default"/>
          <w:color w:val="auto"/>
          <w:lang w:val="en-US" w:eastAsia="zh-CN"/>
        </w:rPr>
      </w:pPr>
      <w:r>
        <w:rPr>
          <w:color w:val="auto"/>
          <w:sz w:val="24"/>
          <w:highlight w:val="none"/>
        </w:rPr>
        <w:t>项目名称：</w:t>
      </w:r>
      <w:bookmarkEnd w:id="9"/>
      <w:r>
        <w:rPr>
          <w:rFonts w:hint="eastAsia" w:cs="Times New Roman"/>
          <w:color w:val="auto"/>
          <w:sz w:val="24"/>
          <w:u w:val="single"/>
          <w:lang w:val="en-US" w:eastAsia="zh-CN"/>
        </w:rPr>
        <w:t>特定行业公用经费（学生公寓标准化管理项目）</w:t>
      </w:r>
    </w:p>
    <w:p w14:paraId="2B87C577">
      <w:pPr>
        <w:numPr>
          <w:ilvl w:val="0"/>
          <w:numId w:val="8"/>
        </w:numPr>
        <w:spacing w:line="360" w:lineRule="auto"/>
        <w:ind w:firstLine="480" w:firstLineChars="200"/>
        <w:rPr>
          <w:color w:val="auto"/>
          <w:sz w:val="24"/>
          <w:highlight w:val="none"/>
        </w:rPr>
      </w:pPr>
      <w:r>
        <w:rPr>
          <w:color w:val="auto"/>
          <w:sz w:val="24"/>
          <w:highlight w:val="none"/>
        </w:rPr>
        <w:t>项目预算金额：</w:t>
      </w:r>
      <w:r>
        <w:rPr>
          <w:rFonts w:hint="eastAsia" w:cs="Times New Roman"/>
          <w:color w:val="auto"/>
          <w:sz w:val="24"/>
          <w:u w:val="single"/>
          <w:lang w:val="en-US" w:eastAsia="zh-CN"/>
        </w:rPr>
        <w:t>264.3967</w:t>
      </w:r>
      <w:r>
        <w:rPr>
          <w:rFonts w:hint="eastAsia"/>
          <w:color w:val="auto"/>
          <w:sz w:val="24"/>
          <w:highlight w:val="none"/>
        </w:rPr>
        <w:t>万元</w:t>
      </w:r>
      <w:r>
        <w:rPr>
          <w:color w:val="auto"/>
          <w:sz w:val="24"/>
          <w:highlight w:val="none"/>
        </w:rPr>
        <w:t>、项目最高限价：</w:t>
      </w:r>
      <w:r>
        <w:rPr>
          <w:rFonts w:hint="eastAsia" w:cs="Times New Roman"/>
          <w:color w:val="auto"/>
          <w:sz w:val="24"/>
          <w:u w:val="single"/>
          <w:lang w:val="en-US" w:eastAsia="zh-CN"/>
        </w:rPr>
        <w:t>264.3967</w:t>
      </w:r>
      <w:r>
        <w:rPr>
          <w:rFonts w:hint="eastAsia"/>
          <w:color w:val="auto"/>
          <w:sz w:val="24"/>
          <w:highlight w:val="none"/>
        </w:rPr>
        <w:t>万元</w:t>
      </w:r>
    </w:p>
    <w:p w14:paraId="1855AA24">
      <w:pPr>
        <w:numPr>
          <w:ilvl w:val="0"/>
          <w:numId w:val="8"/>
        </w:numPr>
        <w:spacing w:line="360" w:lineRule="auto"/>
        <w:ind w:left="0" w:leftChars="0" w:firstLine="480" w:firstLineChars="200"/>
        <w:rPr>
          <w:color w:val="auto"/>
          <w:sz w:val="24"/>
          <w:highlight w:val="none"/>
        </w:rPr>
      </w:pPr>
      <w:r>
        <w:rPr>
          <w:color w:val="auto"/>
          <w:sz w:val="24"/>
          <w:highlight w:val="none"/>
        </w:rPr>
        <w:t>采购需求：</w:t>
      </w:r>
    </w:p>
    <w:tbl>
      <w:tblPr>
        <w:tblStyle w:val="43"/>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763"/>
        <w:gridCol w:w="939"/>
        <w:gridCol w:w="1014"/>
        <w:gridCol w:w="2592"/>
      </w:tblGrid>
      <w:tr w14:paraId="6802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52" w:type="pct"/>
            <w:tcBorders>
              <w:top w:val="single" w:color="auto" w:sz="4" w:space="0"/>
              <w:left w:val="single" w:color="auto" w:sz="4" w:space="0"/>
              <w:bottom w:val="single" w:color="auto" w:sz="4" w:space="0"/>
              <w:right w:val="single" w:color="auto" w:sz="4" w:space="0"/>
            </w:tcBorders>
            <w:vAlign w:val="center"/>
          </w:tcPr>
          <w:p w14:paraId="30A018C0">
            <w:pPr>
              <w:widowControl/>
              <w:jc w:val="center"/>
              <w:rPr>
                <w:rFonts w:ascii="宋体" w:hAnsi="宋体" w:cs="宋体"/>
                <w:b/>
                <w:kern w:val="0"/>
                <w:sz w:val="24"/>
              </w:rPr>
            </w:pPr>
            <w:r>
              <w:rPr>
                <w:rFonts w:hint="eastAsia" w:ascii="宋体" w:hAnsi="宋体" w:cs="宋体"/>
                <w:b/>
                <w:kern w:val="0"/>
                <w:sz w:val="24"/>
              </w:rPr>
              <w:t>序号</w:t>
            </w:r>
          </w:p>
        </w:tc>
        <w:tc>
          <w:tcPr>
            <w:tcW w:w="2105" w:type="pct"/>
            <w:tcBorders>
              <w:top w:val="single" w:color="auto" w:sz="4" w:space="0"/>
              <w:left w:val="single" w:color="auto" w:sz="4" w:space="0"/>
              <w:bottom w:val="single" w:color="auto" w:sz="4" w:space="0"/>
              <w:right w:val="single" w:color="auto" w:sz="4" w:space="0"/>
            </w:tcBorders>
            <w:noWrap/>
            <w:vAlign w:val="center"/>
          </w:tcPr>
          <w:p w14:paraId="08E25CC3">
            <w:pPr>
              <w:widowControl/>
              <w:jc w:val="center"/>
              <w:rPr>
                <w:rFonts w:ascii="宋体" w:hAnsi="宋体" w:cs="宋体"/>
                <w:b/>
                <w:kern w:val="0"/>
                <w:sz w:val="24"/>
              </w:rPr>
            </w:pPr>
            <w:r>
              <w:rPr>
                <w:rFonts w:hint="eastAsia" w:ascii="宋体" w:hAnsi="宋体" w:cs="宋体"/>
                <w:b/>
                <w:kern w:val="0"/>
                <w:sz w:val="24"/>
              </w:rPr>
              <w:t>采购产品名称</w:t>
            </w:r>
          </w:p>
        </w:tc>
        <w:tc>
          <w:tcPr>
            <w:tcW w:w="525" w:type="pct"/>
            <w:tcBorders>
              <w:top w:val="single" w:color="auto" w:sz="4" w:space="0"/>
              <w:left w:val="single" w:color="auto" w:sz="4" w:space="0"/>
              <w:bottom w:val="single" w:color="auto" w:sz="4" w:space="0"/>
              <w:right w:val="single" w:color="auto" w:sz="4" w:space="0"/>
            </w:tcBorders>
            <w:noWrap/>
            <w:vAlign w:val="center"/>
          </w:tcPr>
          <w:p w14:paraId="1D008D6F">
            <w:pPr>
              <w:widowControl/>
              <w:jc w:val="center"/>
              <w:rPr>
                <w:rFonts w:ascii="宋体" w:hAnsi="宋体" w:cs="宋体"/>
                <w:b/>
                <w:kern w:val="0"/>
                <w:sz w:val="24"/>
              </w:rPr>
            </w:pPr>
            <w:r>
              <w:rPr>
                <w:rFonts w:hint="eastAsia" w:ascii="宋体" w:hAnsi="宋体" w:cs="宋体"/>
                <w:b/>
                <w:kern w:val="0"/>
                <w:sz w:val="24"/>
              </w:rPr>
              <w:t>单位</w:t>
            </w:r>
          </w:p>
        </w:tc>
        <w:tc>
          <w:tcPr>
            <w:tcW w:w="567" w:type="pct"/>
            <w:tcBorders>
              <w:top w:val="single" w:color="auto" w:sz="4" w:space="0"/>
              <w:left w:val="single" w:color="auto" w:sz="4" w:space="0"/>
              <w:bottom w:val="single" w:color="auto" w:sz="4" w:space="0"/>
              <w:right w:val="single" w:color="auto" w:sz="4" w:space="0"/>
            </w:tcBorders>
            <w:noWrap/>
            <w:vAlign w:val="center"/>
          </w:tcPr>
          <w:p w14:paraId="6F0D649A">
            <w:pPr>
              <w:widowControl/>
              <w:jc w:val="center"/>
              <w:rPr>
                <w:rFonts w:ascii="宋体" w:hAnsi="宋体" w:cs="宋体"/>
                <w:b/>
                <w:kern w:val="0"/>
                <w:sz w:val="24"/>
              </w:rPr>
            </w:pPr>
            <w:r>
              <w:rPr>
                <w:rFonts w:hint="eastAsia" w:ascii="宋体" w:hAnsi="宋体" w:cs="宋体"/>
                <w:b/>
                <w:kern w:val="0"/>
                <w:sz w:val="24"/>
              </w:rPr>
              <w:t>数量</w:t>
            </w:r>
          </w:p>
        </w:tc>
        <w:tc>
          <w:tcPr>
            <w:tcW w:w="1449" w:type="pct"/>
            <w:tcBorders>
              <w:top w:val="single" w:color="auto" w:sz="4" w:space="0"/>
              <w:left w:val="single" w:color="auto" w:sz="4" w:space="0"/>
              <w:bottom w:val="single" w:color="auto" w:sz="4" w:space="0"/>
              <w:right w:val="single" w:color="auto" w:sz="4" w:space="0"/>
            </w:tcBorders>
            <w:noWrap/>
            <w:vAlign w:val="center"/>
          </w:tcPr>
          <w:p w14:paraId="221B5E41">
            <w:pPr>
              <w:widowControl/>
              <w:jc w:val="center"/>
              <w:rPr>
                <w:rFonts w:ascii="宋体" w:hAnsi="宋体" w:cs="宋体"/>
                <w:b/>
                <w:kern w:val="0"/>
                <w:sz w:val="24"/>
              </w:rPr>
            </w:pPr>
            <w:r>
              <w:rPr>
                <w:rFonts w:hint="eastAsia" w:ascii="宋体" w:hAnsi="宋体" w:cs="宋体"/>
                <w:b/>
                <w:kern w:val="0"/>
                <w:sz w:val="24"/>
              </w:rPr>
              <w:t>是否接受</w:t>
            </w:r>
          </w:p>
          <w:p w14:paraId="0EFBAC00">
            <w:pPr>
              <w:widowControl/>
              <w:jc w:val="center"/>
              <w:rPr>
                <w:rFonts w:ascii="宋体" w:hAnsi="宋体" w:cs="宋体"/>
                <w:b/>
                <w:kern w:val="0"/>
                <w:sz w:val="24"/>
              </w:rPr>
            </w:pPr>
            <w:r>
              <w:rPr>
                <w:rFonts w:hint="eastAsia" w:ascii="宋体" w:hAnsi="宋体" w:cs="宋体"/>
                <w:b/>
                <w:kern w:val="0"/>
                <w:sz w:val="24"/>
              </w:rPr>
              <w:t>进口产品投标</w:t>
            </w:r>
          </w:p>
        </w:tc>
      </w:tr>
      <w:tr w14:paraId="2FC5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352" w:type="pct"/>
            <w:tcBorders>
              <w:top w:val="single" w:color="auto" w:sz="4" w:space="0"/>
              <w:left w:val="single" w:color="auto" w:sz="4" w:space="0"/>
              <w:bottom w:val="single" w:color="auto" w:sz="4" w:space="0"/>
              <w:right w:val="single" w:color="auto" w:sz="4" w:space="0"/>
            </w:tcBorders>
            <w:vAlign w:val="center"/>
          </w:tcPr>
          <w:p w14:paraId="5A4EE8AF">
            <w:pPr>
              <w:widowControl/>
              <w:jc w:val="center"/>
              <w:rPr>
                <w:rFonts w:ascii="宋体" w:hAnsi="宋体"/>
                <w:sz w:val="24"/>
              </w:rPr>
            </w:pPr>
            <w:r>
              <w:rPr>
                <w:rFonts w:hint="eastAsia" w:ascii="宋体" w:hAnsi="宋体"/>
                <w:sz w:val="24"/>
              </w:rPr>
              <w:t>1</w:t>
            </w:r>
          </w:p>
        </w:tc>
        <w:tc>
          <w:tcPr>
            <w:tcW w:w="2105" w:type="pct"/>
            <w:tcBorders>
              <w:top w:val="single" w:color="auto" w:sz="4" w:space="0"/>
              <w:left w:val="single" w:color="auto" w:sz="4" w:space="0"/>
              <w:bottom w:val="single" w:color="auto" w:sz="4" w:space="0"/>
              <w:right w:val="single" w:color="auto" w:sz="4" w:space="0"/>
            </w:tcBorders>
            <w:vAlign w:val="center"/>
          </w:tcPr>
          <w:p w14:paraId="2B64797D">
            <w:pPr>
              <w:widowControl/>
              <w:jc w:val="center"/>
              <w:rPr>
                <w:rFonts w:hint="default" w:ascii="宋体" w:hAnsi="宋体" w:eastAsia="宋体"/>
                <w:sz w:val="24"/>
                <w:lang w:val="en-US" w:eastAsia="zh-CN"/>
              </w:rPr>
            </w:pPr>
            <w:r>
              <w:rPr>
                <w:rFonts w:hint="eastAsia" w:ascii="宋体" w:hAnsi="宋体"/>
                <w:sz w:val="24"/>
                <w:lang w:val="en-US" w:eastAsia="zh-CN"/>
              </w:rPr>
              <w:t>学生公寓标准化管理</w:t>
            </w:r>
          </w:p>
        </w:tc>
        <w:tc>
          <w:tcPr>
            <w:tcW w:w="525" w:type="pct"/>
            <w:tcBorders>
              <w:top w:val="single" w:color="auto" w:sz="4" w:space="0"/>
              <w:left w:val="single" w:color="auto" w:sz="4" w:space="0"/>
              <w:bottom w:val="single" w:color="auto" w:sz="4" w:space="0"/>
              <w:right w:val="single" w:color="auto" w:sz="4" w:space="0"/>
            </w:tcBorders>
            <w:vAlign w:val="center"/>
          </w:tcPr>
          <w:p w14:paraId="0EEA462E">
            <w:pPr>
              <w:widowControl/>
              <w:jc w:val="center"/>
              <w:rPr>
                <w:rFonts w:hint="eastAsia" w:ascii="宋体" w:hAnsi="宋体" w:eastAsia="宋体"/>
                <w:sz w:val="24"/>
                <w:lang w:val="en-US" w:eastAsia="zh-CN"/>
              </w:rPr>
            </w:pPr>
            <w:r>
              <w:rPr>
                <w:rFonts w:hint="eastAsia" w:ascii="宋体" w:hAnsi="宋体"/>
                <w:sz w:val="24"/>
                <w:lang w:val="en-US" w:eastAsia="zh-CN"/>
              </w:rPr>
              <w:t>项</w:t>
            </w:r>
          </w:p>
        </w:tc>
        <w:tc>
          <w:tcPr>
            <w:tcW w:w="567" w:type="pct"/>
            <w:tcBorders>
              <w:top w:val="single" w:color="auto" w:sz="4" w:space="0"/>
              <w:left w:val="single" w:color="auto" w:sz="4" w:space="0"/>
              <w:bottom w:val="single" w:color="auto" w:sz="4" w:space="0"/>
              <w:right w:val="single" w:color="auto" w:sz="4" w:space="0"/>
            </w:tcBorders>
            <w:noWrap/>
            <w:vAlign w:val="center"/>
          </w:tcPr>
          <w:p w14:paraId="08AFC86A">
            <w:pPr>
              <w:widowControl/>
              <w:jc w:val="center"/>
              <w:rPr>
                <w:rFonts w:hint="eastAsia" w:ascii="宋体" w:hAnsi="宋体" w:eastAsia="宋体"/>
                <w:sz w:val="24"/>
                <w:lang w:val="en-US" w:eastAsia="zh-CN"/>
              </w:rPr>
            </w:pPr>
            <w:r>
              <w:rPr>
                <w:rFonts w:hint="eastAsia" w:ascii="宋体" w:hAnsi="宋体"/>
                <w:sz w:val="24"/>
                <w:lang w:val="en-US" w:eastAsia="zh-CN"/>
              </w:rPr>
              <w:t>1</w:t>
            </w:r>
          </w:p>
        </w:tc>
        <w:tc>
          <w:tcPr>
            <w:tcW w:w="1449" w:type="pct"/>
            <w:tcBorders>
              <w:top w:val="single" w:color="auto" w:sz="4" w:space="0"/>
              <w:left w:val="single" w:color="auto" w:sz="4" w:space="0"/>
              <w:bottom w:val="single" w:color="auto" w:sz="4" w:space="0"/>
              <w:right w:val="single" w:color="auto" w:sz="4" w:space="0"/>
            </w:tcBorders>
            <w:noWrap/>
            <w:vAlign w:val="center"/>
          </w:tcPr>
          <w:p w14:paraId="01F1AEA6">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无</w:t>
            </w:r>
          </w:p>
        </w:tc>
      </w:tr>
    </w:tbl>
    <w:p w14:paraId="1A0E53DE">
      <w:pPr>
        <w:spacing w:line="360" w:lineRule="auto"/>
        <w:jc w:val="center"/>
        <w:rPr>
          <w:color w:val="auto"/>
          <w:sz w:val="24"/>
          <w:highlight w:val="none"/>
        </w:rPr>
      </w:pPr>
    </w:p>
    <w:p w14:paraId="4810A120">
      <w:pPr>
        <w:spacing w:line="360" w:lineRule="auto"/>
        <w:ind w:firstLine="480" w:firstLineChars="200"/>
        <w:rPr>
          <w:color w:val="auto"/>
          <w:sz w:val="24"/>
          <w:highlight w:val="none"/>
        </w:rPr>
      </w:pPr>
      <w:r>
        <w:rPr>
          <w:rFonts w:hint="eastAsia"/>
          <w:color w:val="auto"/>
          <w:sz w:val="24"/>
          <w:highlight w:val="none"/>
          <w:lang w:val="en-US" w:eastAsia="zh-CN"/>
        </w:rPr>
        <w:t>5、合同</w:t>
      </w:r>
      <w:r>
        <w:rPr>
          <w:rFonts w:hint="eastAsia"/>
          <w:color w:val="auto"/>
          <w:sz w:val="24"/>
          <w:highlight w:val="none"/>
        </w:rPr>
        <w:t>期：</w:t>
      </w:r>
      <w:r>
        <w:rPr>
          <w:rFonts w:hint="eastAsia" w:ascii="宋体" w:hAnsi="宋体" w:cs="宋体"/>
          <w:bCs/>
          <w:sz w:val="24"/>
        </w:rPr>
        <w:t>202</w:t>
      </w:r>
      <w:r>
        <w:rPr>
          <w:rFonts w:hint="eastAsia" w:ascii="宋体" w:hAnsi="宋体" w:cs="宋体"/>
          <w:bCs/>
          <w:sz w:val="24"/>
          <w:lang w:val="en-US" w:eastAsia="zh-CN"/>
        </w:rPr>
        <w:t>5</w:t>
      </w:r>
      <w:r>
        <w:rPr>
          <w:rFonts w:hint="eastAsia" w:ascii="宋体" w:hAnsi="宋体" w:cs="宋体"/>
          <w:bCs/>
          <w:sz w:val="24"/>
        </w:rPr>
        <w:t>年8月1日起至202</w:t>
      </w:r>
      <w:r>
        <w:rPr>
          <w:rFonts w:hint="eastAsia" w:ascii="宋体" w:hAnsi="宋体" w:cs="宋体"/>
          <w:bCs/>
          <w:sz w:val="24"/>
          <w:lang w:val="en-US" w:eastAsia="zh-CN"/>
        </w:rPr>
        <w:t>6</w:t>
      </w:r>
      <w:r>
        <w:rPr>
          <w:rFonts w:hint="eastAsia" w:ascii="宋体" w:hAnsi="宋体" w:cs="宋体"/>
          <w:bCs/>
          <w:sz w:val="24"/>
        </w:rPr>
        <w:t>年7月31日止</w:t>
      </w:r>
    </w:p>
    <w:p w14:paraId="23BDA7E4">
      <w:pPr>
        <w:spacing w:line="360" w:lineRule="auto"/>
        <w:ind w:firstLine="480" w:firstLineChars="200"/>
        <w:rPr>
          <w:color w:val="auto"/>
          <w:sz w:val="24"/>
          <w:highlight w:val="none"/>
        </w:rPr>
      </w:pPr>
      <w:r>
        <w:rPr>
          <w:rFonts w:hint="eastAsia"/>
          <w:color w:val="auto"/>
          <w:sz w:val="24"/>
          <w:highlight w:val="none"/>
          <w:lang w:val="en-US" w:eastAsia="zh-CN"/>
        </w:rPr>
        <w:t>6、服务</w:t>
      </w:r>
      <w:r>
        <w:rPr>
          <w:rFonts w:hint="eastAsia"/>
          <w:color w:val="auto"/>
          <w:sz w:val="24"/>
          <w:highlight w:val="none"/>
        </w:rPr>
        <w:t>地点：北京劳动保障职业学院</w:t>
      </w:r>
    </w:p>
    <w:p w14:paraId="511F1A9E">
      <w:pPr>
        <w:spacing w:line="360" w:lineRule="auto"/>
        <w:ind w:firstLine="480" w:firstLineChars="200"/>
        <w:rPr>
          <w:color w:val="auto"/>
          <w:sz w:val="24"/>
          <w:highlight w:val="none"/>
        </w:rPr>
      </w:pPr>
      <w:r>
        <w:rPr>
          <w:rFonts w:hint="eastAsia"/>
          <w:color w:val="auto"/>
          <w:sz w:val="24"/>
          <w:highlight w:val="none"/>
          <w:lang w:val="en-US" w:eastAsia="zh-CN"/>
        </w:rPr>
        <w:t>7</w:t>
      </w:r>
      <w:r>
        <w:rPr>
          <w:color w:val="auto"/>
          <w:sz w:val="24"/>
          <w:highlight w:val="none"/>
        </w:rPr>
        <w:t>.</w:t>
      </w:r>
      <w:r>
        <w:rPr>
          <w:rFonts w:hint="eastAsia"/>
          <w:color w:val="auto"/>
          <w:sz w:val="24"/>
          <w:highlight w:val="none"/>
          <w:lang w:val="en-US" w:eastAsia="zh-CN"/>
        </w:rPr>
        <w:t xml:space="preserve"> </w:t>
      </w:r>
      <w:r>
        <w:rPr>
          <w:color w:val="auto"/>
          <w:sz w:val="24"/>
          <w:highlight w:val="none"/>
        </w:rPr>
        <w:t>本项目是否接受联合体投标：</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是  ■否。</w:t>
      </w:r>
    </w:p>
    <w:p w14:paraId="16384F81">
      <w:pPr>
        <w:pStyle w:val="3"/>
        <w:spacing w:before="0" w:line="360" w:lineRule="auto"/>
        <w:jc w:val="left"/>
        <w:rPr>
          <w:rFonts w:ascii="Times New Roman" w:hAnsi="Times New Roman" w:eastAsia="宋体"/>
          <w:color w:val="auto"/>
          <w:sz w:val="24"/>
          <w:szCs w:val="24"/>
          <w:highlight w:val="none"/>
        </w:rPr>
      </w:pPr>
      <w:bookmarkStart w:id="10" w:name="_Toc35393622"/>
      <w:bookmarkStart w:id="11" w:name="_Toc35393791"/>
      <w:bookmarkStart w:id="12" w:name="_Toc28359003"/>
      <w:bookmarkStart w:id="13" w:name="_Toc28359080"/>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66A1234F">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6C100BC6">
      <w:pPr>
        <w:spacing w:line="360" w:lineRule="auto"/>
        <w:ind w:firstLine="480" w:firstLineChars="200"/>
        <w:rPr>
          <w:color w:val="auto"/>
          <w:sz w:val="24"/>
          <w:highlight w:val="none"/>
        </w:rPr>
      </w:pPr>
      <w:bookmarkStart w:id="14" w:name="_Toc28359081"/>
      <w:bookmarkStart w:id="15" w:name="_Toc28359004"/>
      <w:r>
        <w:rPr>
          <w:color w:val="auto"/>
          <w:sz w:val="24"/>
          <w:highlight w:val="none"/>
        </w:rPr>
        <w:t>2.落实政府采购政策需满足的资格要求：</w:t>
      </w:r>
    </w:p>
    <w:p w14:paraId="5DD9DACE">
      <w:pPr>
        <w:spacing w:line="360" w:lineRule="auto"/>
        <w:ind w:firstLine="480" w:firstLineChars="200"/>
        <w:rPr>
          <w:color w:val="auto"/>
          <w:sz w:val="24"/>
          <w:highlight w:val="none"/>
        </w:rPr>
      </w:pPr>
      <w:r>
        <w:rPr>
          <w:color w:val="auto"/>
          <w:sz w:val="24"/>
          <w:highlight w:val="none"/>
        </w:rPr>
        <w:t>2.1 中小企业政策</w:t>
      </w:r>
    </w:p>
    <w:p w14:paraId="3F420BF0">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本项目不专门面向中小企业预留采购份额。</w:t>
      </w:r>
    </w:p>
    <w:p w14:paraId="389AF781">
      <w:pPr>
        <w:spacing w:line="360" w:lineRule="auto"/>
        <w:ind w:firstLine="480" w:firstLineChars="200"/>
        <w:rPr>
          <w:color w:val="auto"/>
          <w:sz w:val="24"/>
          <w:highlight w:val="none"/>
        </w:rPr>
      </w:pPr>
      <w:r>
        <w:rPr>
          <w:rFonts w:hint="eastAsia" w:ascii="宋体" w:hAnsi="宋体" w:eastAsia="宋体" w:cs="宋体"/>
          <w:color w:val="auto"/>
          <w:sz w:val="24"/>
          <w:highlight w:val="none"/>
        </w:rPr>
        <w:t>■</w:t>
      </w:r>
      <w:r>
        <w:rPr>
          <w:color w:val="auto"/>
          <w:sz w:val="24"/>
          <w:highlight w:val="none"/>
        </w:rPr>
        <w:t xml:space="preserve">本项目专门面向  </w:t>
      </w:r>
      <w:r>
        <w:rPr>
          <w:rFonts w:hint="eastAsia" w:ascii="宋体" w:hAnsi="宋体" w:eastAsia="宋体" w:cs="宋体"/>
          <w:color w:val="auto"/>
          <w:sz w:val="24"/>
          <w:highlight w:val="none"/>
        </w:rPr>
        <w:t>■</w:t>
      </w:r>
      <w:r>
        <w:rPr>
          <w:color w:val="auto"/>
          <w:sz w:val="24"/>
          <w:highlight w:val="none"/>
        </w:rPr>
        <w:t xml:space="preserve">中小 </w:t>
      </w:r>
      <w:r>
        <w:rPr>
          <w:rFonts w:hint="eastAsia"/>
          <w:color w:val="auto"/>
          <w:sz w:val="24"/>
          <w:highlight w:val="none"/>
          <w:lang w:eastAsia="zh-CN"/>
        </w:rPr>
        <w:t>□</w:t>
      </w:r>
      <w:r>
        <w:rPr>
          <w:color w:val="auto"/>
          <w:sz w:val="24"/>
          <w:highlight w:val="none"/>
        </w:rPr>
        <w:t>小微企业  采购。即：提供的货物全部由符合政策要求的中小/小微企业制造、服务全部由符合政策要求的中小/小微企业承接。</w:t>
      </w:r>
    </w:p>
    <w:p w14:paraId="0BEF923F">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lang w:val="en-US" w:eastAsia="zh-CN"/>
        </w:rPr>
        <w:t>无</w:t>
      </w:r>
      <w:r>
        <w:rPr>
          <w:color w:val="auto"/>
          <w:sz w:val="24"/>
          <w:highlight w:val="none"/>
        </w:rPr>
        <w:t>。</w:t>
      </w:r>
    </w:p>
    <w:p w14:paraId="0C821C2A">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lang w:val="en-US" w:eastAsia="zh-CN"/>
        </w:rPr>
        <w:t>无</w:t>
      </w:r>
      <w:r>
        <w:rPr>
          <w:color w:val="auto"/>
          <w:sz w:val="24"/>
          <w:highlight w:val="none"/>
        </w:rPr>
        <w:t>。</w:t>
      </w:r>
    </w:p>
    <w:p w14:paraId="2A8BB557">
      <w:pPr>
        <w:spacing w:line="360" w:lineRule="auto"/>
        <w:ind w:firstLine="480" w:firstLineChars="200"/>
        <w:rPr>
          <w:i/>
          <w:iCs/>
          <w:color w:val="auto"/>
          <w:sz w:val="24"/>
          <w:highlight w:val="none"/>
          <w:u w:val="single"/>
        </w:rPr>
      </w:pPr>
      <w:r>
        <w:rPr>
          <w:color w:val="auto"/>
          <w:sz w:val="24"/>
          <w:highlight w:val="none"/>
        </w:rPr>
        <w:t>3.本项目的特定资格要求：</w:t>
      </w:r>
    </w:p>
    <w:p w14:paraId="47BBAC74">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6907CCD3">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宋体" w:hAnsi="宋体" w:eastAsia="宋体" w:cs="宋体"/>
          <w:color w:val="auto"/>
          <w:sz w:val="24"/>
          <w:highlight w:val="none"/>
        </w:rPr>
        <w:t>■</w:t>
      </w:r>
      <w:r>
        <w:rPr>
          <w:color w:val="auto"/>
          <w:sz w:val="24"/>
          <w:highlight w:val="none"/>
        </w:rPr>
        <w:t>否</w:t>
      </w:r>
    </w:p>
    <w:p w14:paraId="1BC98A7D">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是，公益一类事业单位、使用事业编制且由财政拨款保障的群团组织，不得作为承接主体；</w:t>
      </w:r>
    </w:p>
    <w:p w14:paraId="62508889">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eastAsiaTheme="minorEastAsia"/>
          <w:color w:val="auto"/>
          <w:sz w:val="24"/>
          <w:highlight w:val="none"/>
          <w:lang w:val="en-US" w:eastAsia="zh-CN"/>
        </w:rPr>
        <w:t>无</w:t>
      </w:r>
      <w:r>
        <w:rPr>
          <w:color w:val="auto"/>
          <w:sz w:val="24"/>
          <w:highlight w:val="none"/>
        </w:rPr>
        <w:t>。</w:t>
      </w:r>
    </w:p>
    <w:p w14:paraId="3848C1A2">
      <w:pPr>
        <w:spacing w:line="360" w:lineRule="auto"/>
        <w:ind w:firstLine="480" w:firstLineChars="200"/>
        <w:rPr>
          <w:i/>
          <w:iCs/>
          <w:color w:val="auto"/>
          <w:sz w:val="24"/>
          <w:highlight w:val="none"/>
          <w:u w:val="single"/>
        </w:rPr>
      </w:pPr>
    </w:p>
    <w:bookmarkEnd w:id="14"/>
    <w:bookmarkEnd w:id="15"/>
    <w:p w14:paraId="097E9A54">
      <w:pPr>
        <w:pStyle w:val="3"/>
        <w:widowControl/>
        <w:spacing w:before="0" w:line="360" w:lineRule="auto"/>
        <w:jc w:val="left"/>
        <w:rPr>
          <w:rFonts w:ascii="Times New Roman" w:hAnsi="Times New Roman" w:eastAsia="宋体"/>
          <w:color w:val="auto"/>
          <w:sz w:val="24"/>
          <w:szCs w:val="24"/>
          <w:highlight w:val="none"/>
        </w:rPr>
      </w:pPr>
      <w:bookmarkStart w:id="16" w:name="_Toc35393623"/>
      <w:bookmarkStart w:id="17" w:name="_Toc35393792"/>
      <w:r>
        <w:rPr>
          <w:rFonts w:ascii="Times New Roman" w:hAnsi="Times New Roman" w:eastAsia="宋体"/>
          <w:color w:val="auto"/>
          <w:sz w:val="24"/>
          <w:szCs w:val="24"/>
          <w:highlight w:val="none"/>
        </w:rPr>
        <w:t>三、获取招标文件</w:t>
      </w:r>
      <w:bookmarkEnd w:id="16"/>
      <w:bookmarkEnd w:id="17"/>
    </w:p>
    <w:p w14:paraId="7A3A4169">
      <w:pPr>
        <w:adjustRightInd w:val="0"/>
        <w:snapToGrid w:val="0"/>
        <w:spacing w:line="360" w:lineRule="auto"/>
        <w:ind w:firstLine="480" w:firstLineChars="200"/>
        <w:rPr>
          <w:rFonts w:hint="eastAsia" w:eastAsia="宋体"/>
          <w:color w:val="auto"/>
          <w:sz w:val="24"/>
          <w:highlight w:val="none"/>
          <w:lang w:val="en-US" w:eastAsia="zh-CN" w:bidi="ar"/>
        </w:rPr>
      </w:pPr>
      <w:r>
        <w:rPr>
          <w:color w:val="auto"/>
          <w:sz w:val="24"/>
          <w:highlight w:val="none"/>
          <w:lang w:bidi="ar"/>
        </w:rPr>
        <w:t>1.时间：</w:t>
      </w:r>
      <w:r>
        <w:rPr>
          <w:rFonts w:hint="eastAsia" w:ascii="Times New Roman" w:hAnsi="Times New Roman" w:eastAsia="宋体" w:cs="Times New Roman"/>
          <w:color w:val="auto"/>
          <w:sz w:val="24"/>
          <w:u w:val="single"/>
          <w:lang w:val="en-US" w:eastAsia="zh-CN" w:bidi="ar"/>
        </w:rPr>
        <w:t>2025</w:t>
      </w:r>
      <w:r>
        <w:rPr>
          <w:rFonts w:hint="eastAsia" w:ascii="Times New Roman" w:hAnsi="Times New Roman" w:eastAsia="宋体" w:cs="Times New Roman"/>
          <w:color w:val="auto"/>
          <w:sz w:val="24"/>
          <w:u w:val="single"/>
          <w:lang w:bidi="ar"/>
        </w:rPr>
        <w:t>年</w:t>
      </w:r>
      <w:r>
        <w:rPr>
          <w:rFonts w:hint="eastAsia" w:cs="Times New Roman"/>
          <w:color w:val="auto"/>
          <w:sz w:val="24"/>
          <w:u w:val="single"/>
          <w:lang w:val="en-US" w:eastAsia="zh-CN" w:bidi="ar"/>
        </w:rPr>
        <w:t>05</w:t>
      </w:r>
      <w:r>
        <w:rPr>
          <w:rFonts w:hint="eastAsia" w:ascii="Times New Roman" w:hAnsi="Times New Roman" w:eastAsia="宋体" w:cs="Times New Roman"/>
          <w:color w:val="auto"/>
          <w:sz w:val="24"/>
          <w:u w:val="single"/>
          <w:lang w:bidi="ar"/>
        </w:rPr>
        <w:t>月</w:t>
      </w:r>
      <w:r>
        <w:rPr>
          <w:rFonts w:hint="eastAsia" w:cs="Times New Roman"/>
          <w:color w:val="auto"/>
          <w:sz w:val="24"/>
          <w:u w:val="single"/>
          <w:lang w:val="en-US" w:eastAsia="zh-CN" w:bidi="ar"/>
        </w:rPr>
        <w:t>26</w:t>
      </w:r>
      <w:r>
        <w:rPr>
          <w:rFonts w:hint="eastAsia" w:ascii="Times New Roman" w:hAnsi="Times New Roman" w:eastAsia="宋体" w:cs="Times New Roman"/>
          <w:color w:val="auto"/>
          <w:sz w:val="24"/>
          <w:u w:val="single"/>
          <w:lang w:bidi="ar"/>
        </w:rPr>
        <w:t>日至</w:t>
      </w:r>
      <w:r>
        <w:rPr>
          <w:rFonts w:hint="eastAsia" w:ascii="Times New Roman" w:hAnsi="Times New Roman" w:eastAsia="宋体" w:cs="Times New Roman"/>
          <w:color w:val="auto"/>
          <w:sz w:val="24"/>
          <w:u w:val="single"/>
          <w:lang w:val="en-US" w:eastAsia="zh-CN" w:bidi="ar"/>
        </w:rPr>
        <w:t>2025</w:t>
      </w:r>
      <w:r>
        <w:rPr>
          <w:rFonts w:hint="eastAsia" w:ascii="Times New Roman" w:hAnsi="Times New Roman" w:eastAsia="宋体" w:cs="Times New Roman"/>
          <w:color w:val="auto"/>
          <w:sz w:val="24"/>
          <w:u w:val="single"/>
          <w:lang w:bidi="ar"/>
        </w:rPr>
        <w:t>年</w:t>
      </w:r>
      <w:r>
        <w:rPr>
          <w:rFonts w:hint="eastAsia" w:cs="Times New Roman"/>
          <w:color w:val="auto"/>
          <w:sz w:val="24"/>
          <w:u w:val="single"/>
          <w:lang w:val="en-US" w:eastAsia="zh-CN" w:bidi="ar"/>
        </w:rPr>
        <w:t>06</w:t>
      </w:r>
      <w:r>
        <w:rPr>
          <w:rFonts w:hint="eastAsia" w:ascii="Times New Roman" w:hAnsi="Times New Roman" w:eastAsia="宋体" w:cs="Times New Roman"/>
          <w:color w:val="auto"/>
          <w:sz w:val="24"/>
          <w:u w:val="single"/>
          <w:lang w:bidi="ar"/>
        </w:rPr>
        <w:t>月</w:t>
      </w:r>
      <w:r>
        <w:rPr>
          <w:rFonts w:hint="eastAsia" w:cs="Times New Roman"/>
          <w:color w:val="auto"/>
          <w:sz w:val="24"/>
          <w:u w:val="single"/>
          <w:lang w:val="en-US" w:eastAsia="zh-CN" w:bidi="ar"/>
        </w:rPr>
        <w:t>03</w:t>
      </w:r>
      <w:r>
        <w:rPr>
          <w:rFonts w:hint="eastAsia" w:ascii="Times New Roman" w:hAnsi="Times New Roman" w:eastAsia="宋体" w:cs="Times New Roman"/>
          <w:color w:val="auto"/>
          <w:sz w:val="24"/>
          <w:u w:val="single"/>
          <w:lang w:bidi="ar"/>
        </w:rPr>
        <w:t>日</w:t>
      </w:r>
      <w:r>
        <w:rPr>
          <w:color w:val="auto"/>
          <w:sz w:val="24"/>
          <w:highlight w:val="none"/>
          <w:lang w:bidi="ar"/>
        </w:rPr>
        <w:t>，每天上午</w:t>
      </w:r>
      <w:r>
        <w:rPr>
          <w:rFonts w:hint="eastAsia"/>
          <w:color w:val="auto"/>
          <w:sz w:val="24"/>
          <w:highlight w:val="none"/>
          <w:lang w:val="en-US" w:eastAsia="zh-CN" w:bidi="ar"/>
        </w:rPr>
        <w:t>09：00</w:t>
      </w:r>
      <w:r>
        <w:rPr>
          <w:color w:val="auto"/>
          <w:sz w:val="24"/>
          <w:highlight w:val="none"/>
          <w:lang w:bidi="ar"/>
        </w:rPr>
        <w:t>至下午</w:t>
      </w:r>
      <w:r>
        <w:rPr>
          <w:rFonts w:hint="eastAsia"/>
          <w:color w:val="auto"/>
          <w:sz w:val="24"/>
          <w:highlight w:val="none"/>
          <w:lang w:val="en-US" w:eastAsia="zh-CN" w:bidi="ar"/>
        </w:rPr>
        <w:t>17：00</w:t>
      </w:r>
      <w:r>
        <w:rPr>
          <w:color w:val="auto"/>
          <w:sz w:val="24"/>
          <w:highlight w:val="none"/>
          <w:lang w:bidi="ar"/>
        </w:rPr>
        <w:t>（北京时间，法定节假日除外）。</w:t>
      </w:r>
    </w:p>
    <w:p w14:paraId="280BED48">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5FDD8BA8">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6A9F7628">
      <w:pPr>
        <w:tabs>
          <w:tab w:val="left" w:pos="360"/>
        </w:tabs>
        <w:spacing w:line="460" w:lineRule="exact"/>
        <w:ind w:firstLine="420"/>
        <w:rPr>
          <w:color w:val="auto"/>
          <w:sz w:val="24"/>
          <w:highlight w:val="none"/>
        </w:rPr>
      </w:pPr>
      <w:r>
        <w:rPr>
          <w:color w:val="auto"/>
          <w:sz w:val="24"/>
          <w:highlight w:val="none"/>
          <w:lang w:bidi="ar"/>
        </w:rPr>
        <w:t>4</w:t>
      </w:r>
      <w:r>
        <w:rPr>
          <w:rFonts w:ascii="Times New Roman" w:hAnsi="Times New Roman" w:eastAsia="宋体" w:cs="Times New Roman"/>
          <w:color w:val="auto"/>
          <w:sz w:val="24"/>
          <w:highlight w:val="none"/>
          <w:lang w:bidi="ar"/>
        </w:rPr>
        <w:t>.</w:t>
      </w:r>
      <w:r>
        <w:rPr>
          <w:color w:val="auto"/>
          <w:sz w:val="24"/>
          <w:highlight w:val="none"/>
          <w:lang w:bidi="ar"/>
        </w:rPr>
        <w:t>售价：0元。</w:t>
      </w:r>
    </w:p>
    <w:p w14:paraId="71B8D26F">
      <w:pPr>
        <w:tabs>
          <w:tab w:val="left" w:pos="900"/>
          <w:tab w:val="left" w:pos="1980"/>
        </w:tabs>
        <w:snapToGrid w:val="0"/>
        <w:spacing w:line="360" w:lineRule="auto"/>
        <w:ind w:left="840"/>
        <w:rPr>
          <w:color w:val="auto"/>
          <w:sz w:val="24"/>
          <w:highlight w:val="none"/>
        </w:rPr>
      </w:pPr>
    </w:p>
    <w:p w14:paraId="5D459212">
      <w:pPr>
        <w:pStyle w:val="3"/>
        <w:widowControl/>
        <w:spacing w:before="0" w:line="360" w:lineRule="auto"/>
        <w:jc w:val="left"/>
        <w:rPr>
          <w:rFonts w:ascii="Times New Roman" w:hAnsi="Times New Roman" w:eastAsia="宋体"/>
          <w:color w:val="auto"/>
          <w:sz w:val="24"/>
          <w:szCs w:val="24"/>
          <w:highlight w:val="none"/>
        </w:rPr>
      </w:pPr>
      <w:bookmarkStart w:id="18" w:name="_Toc28359082"/>
      <w:bookmarkStart w:id="19" w:name="_Toc28359005"/>
      <w:bookmarkStart w:id="20" w:name="_Toc35393793"/>
      <w:bookmarkStart w:id="21" w:name="_Toc35393624"/>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20C87B12">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ascii="Times New Roman" w:hAnsi="Times New Roman" w:eastAsia="宋体" w:cs="Times New Roman"/>
          <w:color w:val="auto"/>
          <w:sz w:val="24"/>
          <w:u w:val="single"/>
          <w:lang w:val="en-US" w:eastAsia="zh-CN" w:bidi="ar"/>
        </w:rPr>
        <w:t>2025年</w:t>
      </w:r>
      <w:r>
        <w:rPr>
          <w:rFonts w:hint="eastAsia" w:cs="Times New Roman"/>
          <w:color w:val="auto"/>
          <w:sz w:val="24"/>
          <w:u w:val="single"/>
          <w:lang w:val="en-US" w:eastAsia="zh-CN" w:bidi="ar"/>
        </w:rPr>
        <w:t>06</w:t>
      </w:r>
      <w:r>
        <w:rPr>
          <w:rFonts w:hint="eastAsia" w:ascii="Times New Roman" w:hAnsi="Times New Roman" w:eastAsia="宋体" w:cs="Times New Roman"/>
          <w:color w:val="auto"/>
          <w:sz w:val="24"/>
          <w:u w:val="single"/>
          <w:lang w:val="en-US" w:eastAsia="zh-CN" w:bidi="ar"/>
        </w:rPr>
        <w:t>月</w:t>
      </w:r>
      <w:r>
        <w:rPr>
          <w:rFonts w:hint="eastAsia" w:cs="Times New Roman"/>
          <w:color w:val="auto"/>
          <w:sz w:val="24"/>
          <w:u w:val="single"/>
          <w:lang w:val="en-US" w:eastAsia="zh-CN" w:bidi="ar"/>
        </w:rPr>
        <w:t>17</w:t>
      </w:r>
      <w:r>
        <w:rPr>
          <w:rFonts w:hint="eastAsia" w:ascii="Times New Roman" w:hAnsi="Times New Roman" w:eastAsia="宋体" w:cs="Times New Roman"/>
          <w:color w:val="auto"/>
          <w:sz w:val="24"/>
          <w:u w:val="single"/>
          <w:lang w:val="en-US" w:eastAsia="zh-CN" w:bidi="ar"/>
        </w:rPr>
        <w:t>日09点30分</w:t>
      </w:r>
      <w:r>
        <w:rPr>
          <w:bCs/>
          <w:color w:val="auto"/>
          <w:sz w:val="24"/>
          <w:highlight w:val="none"/>
          <w:lang w:bidi="ar"/>
        </w:rPr>
        <w:t>（北京时间）</w:t>
      </w:r>
      <w:r>
        <w:rPr>
          <w:iCs/>
          <w:color w:val="auto"/>
          <w:sz w:val="24"/>
          <w:highlight w:val="none"/>
          <w:lang w:bidi="ar"/>
        </w:rPr>
        <w:t>。</w:t>
      </w:r>
    </w:p>
    <w:p w14:paraId="53200002">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ascii="宋体" w:hAnsi="宋体"/>
          <w:color w:val="auto"/>
          <w:sz w:val="24"/>
          <w:u w:val="single"/>
        </w:rPr>
        <w:t>北京市海淀区四季青常青路和泓四季6号楼</w:t>
      </w:r>
      <w:r>
        <w:rPr>
          <w:rFonts w:hint="eastAsia" w:ascii="宋体" w:hAnsi="宋体"/>
          <w:color w:val="auto"/>
          <w:sz w:val="24"/>
          <w:u w:val="single"/>
          <w:lang w:val="en-US" w:eastAsia="zh-CN"/>
        </w:rPr>
        <w:t>国信招标</w:t>
      </w:r>
    </w:p>
    <w:p w14:paraId="496F11AA">
      <w:pPr>
        <w:spacing w:line="360" w:lineRule="auto"/>
        <w:ind w:firstLine="480" w:firstLineChars="200"/>
        <w:rPr>
          <w:bCs/>
          <w:color w:val="auto"/>
          <w:sz w:val="24"/>
          <w:highlight w:val="none"/>
          <w:u w:val="single"/>
        </w:rPr>
      </w:pPr>
    </w:p>
    <w:p w14:paraId="16AC8B7B">
      <w:pPr>
        <w:pStyle w:val="3"/>
        <w:spacing w:before="0" w:line="360" w:lineRule="auto"/>
        <w:jc w:val="left"/>
        <w:rPr>
          <w:rFonts w:ascii="Times New Roman" w:hAnsi="Times New Roman" w:eastAsia="宋体"/>
          <w:color w:val="auto"/>
          <w:sz w:val="24"/>
          <w:szCs w:val="24"/>
          <w:highlight w:val="none"/>
        </w:rPr>
      </w:pPr>
      <w:bookmarkStart w:id="22" w:name="_Toc28359084"/>
      <w:bookmarkStart w:id="23" w:name="_Toc35393794"/>
      <w:bookmarkStart w:id="24" w:name="_Toc35393625"/>
      <w:bookmarkStart w:id="25" w:name="_Toc28359007"/>
      <w:r>
        <w:rPr>
          <w:rFonts w:ascii="Times New Roman" w:hAnsi="Times New Roman" w:eastAsia="宋体"/>
          <w:color w:val="auto"/>
          <w:sz w:val="24"/>
          <w:szCs w:val="24"/>
          <w:highlight w:val="none"/>
        </w:rPr>
        <w:t>五、公告期限</w:t>
      </w:r>
      <w:bookmarkEnd w:id="22"/>
      <w:bookmarkEnd w:id="23"/>
      <w:bookmarkEnd w:id="24"/>
      <w:bookmarkEnd w:id="25"/>
    </w:p>
    <w:p w14:paraId="48943F3A">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745C6EA4">
      <w:pPr>
        <w:spacing w:line="360" w:lineRule="auto"/>
        <w:ind w:firstLine="480" w:firstLineChars="200"/>
        <w:rPr>
          <w:color w:val="auto"/>
          <w:kern w:val="0"/>
          <w:sz w:val="24"/>
          <w:highlight w:val="none"/>
        </w:rPr>
      </w:pPr>
    </w:p>
    <w:p w14:paraId="21174A96">
      <w:pPr>
        <w:pStyle w:val="3"/>
        <w:spacing w:before="0" w:line="360" w:lineRule="auto"/>
        <w:jc w:val="left"/>
        <w:rPr>
          <w:rFonts w:ascii="Times New Roman" w:hAnsi="Times New Roman" w:eastAsia="宋体"/>
          <w:color w:val="auto"/>
          <w:sz w:val="24"/>
          <w:szCs w:val="24"/>
          <w:highlight w:val="none"/>
        </w:rPr>
      </w:pPr>
      <w:bookmarkStart w:id="26" w:name="_Toc35393626"/>
      <w:bookmarkStart w:id="27" w:name="_Toc35393795"/>
      <w:r>
        <w:rPr>
          <w:rFonts w:ascii="Times New Roman" w:hAnsi="Times New Roman" w:eastAsia="宋体"/>
          <w:color w:val="auto"/>
          <w:sz w:val="24"/>
          <w:szCs w:val="24"/>
          <w:highlight w:val="none"/>
        </w:rPr>
        <w:t>六、其他补充事宜</w:t>
      </w:r>
      <w:bookmarkEnd w:id="26"/>
      <w:bookmarkEnd w:id="27"/>
    </w:p>
    <w:p w14:paraId="2C95DC8D">
      <w:pPr>
        <w:spacing w:line="360" w:lineRule="auto"/>
        <w:ind w:firstLine="480" w:firstLineChars="200"/>
        <w:rPr>
          <w:sz w:val="24"/>
        </w:rPr>
      </w:pPr>
      <w:r>
        <w:rPr>
          <w:sz w:val="24"/>
        </w:rPr>
        <w:t>1.本项目需要落实的政府采购政策：</w:t>
      </w:r>
    </w:p>
    <w:p w14:paraId="38965D29">
      <w:pPr>
        <w:spacing w:line="360" w:lineRule="auto"/>
        <w:ind w:firstLine="480" w:firstLineChars="200"/>
        <w:rPr>
          <w:sz w:val="24"/>
        </w:rPr>
      </w:pPr>
      <w:r>
        <w:rPr>
          <w:rFonts w:hint="eastAsia"/>
          <w:sz w:val="24"/>
        </w:rPr>
        <w:t>1）财政部、工业和信息化部关于印发《政府采购促进中小企业发展管理办法》的通知（财库〔2020〕46号）；</w:t>
      </w:r>
    </w:p>
    <w:p w14:paraId="735A9B3E">
      <w:pPr>
        <w:spacing w:line="360" w:lineRule="auto"/>
        <w:ind w:firstLine="480" w:firstLineChars="200"/>
        <w:rPr>
          <w:sz w:val="24"/>
        </w:rPr>
      </w:pPr>
      <w:r>
        <w:rPr>
          <w:rFonts w:hint="eastAsia"/>
          <w:sz w:val="24"/>
        </w:rPr>
        <w:t>2）《关于进一步加大政府采购支持中小企业力度的通知》（财库〔2022〕19号）；</w:t>
      </w:r>
    </w:p>
    <w:p w14:paraId="12F6AA37">
      <w:pPr>
        <w:spacing w:line="360" w:lineRule="auto"/>
        <w:ind w:firstLine="480" w:firstLineChars="200"/>
        <w:rPr>
          <w:sz w:val="24"/>
        </w:rPr>
      </w:pPr>
      <w:r>
        <w:rPr>
          <w:rFonts w:hint="eastAsia"/>
          <w:sz w:val="24"/>
        </w:rPr>
        <w:t>3）《财政部、司法部关于政府采购支持监狱企业发展有关问题的通知》（财库〔2014〕68号）《三部门联合发布关于促进残疾人就业政府采购政策的通知》（财库〔2017〕141号）；</w:t>
      </w:r>
    </w:p>
    <w:p w14:paraId="6414FD32">
      <w:pPr>
        <w:spacing w:line="360" w:lineRule="auto"/>
        <w:ind w:firstLine="480" w:firstLineChars="200"/>
        <w:rPr>
          <w:sz w:val="24"/>
        </w:rPr>
      </w:pPr>
      <w:r>
        <w:rPr>
          <w:rFonts w:hint="eastAsia"/>
          <w:sz w:val="24"/>
        </w:rPr>
        <w:t>4）《财政部关于在政府采购活动中查询及使用信用记录有关问题的通知》（财库〔2016〕125号）；</w:t>
      </w:r>
    </w:p>
    <w:p w14:paraId="592FB842">
      <w:pPr>
        <w:spacing w:line="360" w:lineRule="auto"/>
        <w:ind w:firstLine="480" w:firstLineChars="200"/>
        <w:rPr>
          <w:sz w:val="24"/>
        </w:rPr>
      </w:pPr>
      <w:r>
        <w:rPr>
          <w:rFonts w:hint="eastAsia"/>
          <w:sz w:val="24"/>
        </w:rPr>
        <w:t>5）《北京市生态环境局关于进一步加强绿色政府采购有关事项的通知》（京财采购〔2018〕2593号）等。</w:t>
      </w:r>
    </w:p>
    <w:p w14:paraId="38B61815">
      <w:pPr>
        <w:spacing w:line="360" w:lineRule="auto"/>
        <w:ind w:firstLine="480" w:firstLineChars="200"/>
        <w:rPr>
          <w:color w:val="auto"/>
          <w:sz w:val="24"/>
          <w:highlight w:val="none"/>
        </w:rPr>
      </w:pPr>
      <w:r>
        <w:rPr>
          <w:rFonts w:hint="eastAsia"/>
          <w:sz w:val="24"/>
        </w:rPr>
        <w:t>6）关于调整优化节能产品、环境标志产品政府采购执行机制的通知（财库〔2019〕9号）</w:t>
      </w:r>
      <w:r>
        <w:rPr>
          <w:color w:val="auto"/>
          <w:sz w:val="24"/>
          <w:highlight w:val="none"/>
        </w:rPr>
        <w:t xml:space="preserve"> </w:t>
      </w:r>
    </w:p>
    <w:p w14:paraId="74835850">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val="en-US" w:eastAsia="zh-CN" w:bidi="ar"/>
        </w:rPr>
        <w:t>2</w:t>
      </w:r>
      <w:r>
        <w:rPr>
          <w:color w:val="auto"/>
          <w:sz w:val="24"/>
          <w:highlight w:val="none"/>
          <w:lang w:bidi="ar"/>
        </w:rPr>
        <w:t>.本项目采用</w:t>
      </w:r>
      <w:r>
        <w:rPr>
          <w:rFonts w:hint="eastAsia"/>
          <w:b/>
          <w:bCs/>
          <w:color w:val="auto"/>
          <w:sz w:val="24"/>
          <w:highlight w:val="none"/>
          <w:lang w:bidi="ar"/>
        </w:rPr>
        <w:t>线上线下相结合采购方式（请按文件要求现场递交纸质文件进行投标）</w:t>
      </w:r>
      <w:r>
        <w:rPr>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7BAF7397">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1C353B0C">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2D3D2927">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0F1E92AA">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.1办理CA数字证书或电子营业执照</w:t>
      </w:r>
    </w:p>
    <w:p w14:paraId="6D01C925">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7FCFAE72">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.2注册</w:t>
      </w:r>
    </w:p>
    <w:p w14:paraId="51AF1C64">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5A2743AD">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.3驱动、客户端下载</w:t>
      </w:r>
    </w:p>
    <w:p w14:paraId="00D5CD81">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30940AE7">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38B4FE57">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.4 获取电子招标文件</w:t>
      </w:r>
    </w:p>
    <w:p w14:paraId="61C9961B">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5D2E31CA">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5691D9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default" w:eastAsia="宋体"/>
          <w:color w:val="auto"/>
          <w:highlight w:val="none"/>
          <w:lang w:val="en-US" w:eastAsia="zh-CN"/>
        </w:rPr>
      </w:pPr>
      <w:r>
        <w:rPr>
          <w:rFonts w:hint="eastAsia"/>
          <w:color w:val="auto"/>
          <w:highlight w:val="none"/>
          <w:lang w:val="en-US" w:eastAsia="zh-CN"/>
        </w:rPr>
        <w:t>3</w:t>
      </w:r>
      <w:r>
        <w:rPr>
          <w:rFonts w:hint="eastAsia" w:eastAsia="宋体"/>
          <w:color w:val="auto"/>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B79A06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color w:val="auto"/>
          <w:highlight w:val="none"/>
        </w:rPr>
      </w:pPr>
      <w:r>
        <w:rPr>
          <w:rFonts w:hint="eastAsia"/>
          <w:color w:val="auto"/>
          <w:highlight w:val="none"/>
          <w:lang w:val="en-US" w:eastAsia="zh-CN"/>
        </w:rPr>
        <w:t>4</w:t>
      </w:r>
      <w:r>
        <w:rPr>
          <w:rFonts w:hint="eastAsia"/>
          <w:color w:val="auto"/>
          <w:highlight w:val="none"/>
        </w:rPr>
        <w:t>.公告发布媒体：中国政府采购网（http://www.ccgp.gov.cn）、北京市政府采购网 （http://www.ccgp-beijing.gov.cn）。</w:t>
      </w:r>
    </w:p>
    <w:p w14:paraId="07ED6A99">
      <w:pPr>
        <w:spacing w:line="360" w:lineRule="auto"/>
        <w:ind w:firstLine="480" w:firstLineChars="200"/>
        <w:rPr>
          <w:color w:val="auto"/>
          <w:sz w:val="24"/>
          <w:highlight w:val="none"/>
        </w:rPr>
      </w:pPr>
    </w:p>
    <w:p w14:paraId="34C152BA">
      <w:pPr>
        <w:pStyle w:val="3"/>
        <w:spacing w:before="0" w:line="360" w:lineRule="auto"/>
        <w:jc w:val="left"/>
        <w:rPr>
          <w:rFonts w:ascii="Times New Roman" w:hAnsi="Times New Roman" w:eastAsia="宋体"/>
          <w:color w:val="auto"/>
          <w:sz w:val="24"/>
          <w:szCs w:val="24"/>
          <w:highlight w:val="none"/>
        </w:rPr>
      </w:pPr>
      <w:bookmarkStart w:id="28" w:name="_Toc35393796"/>
      <w:bookmarkStart w:id="29" w:name="_Toc35393627"/>
      <w:bookmarkStart w:id="30" w:name="_Toc28359008"/>
      <w:bookmarkStart w:id="31" w:name="_Toc28359085"/>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74C73E2C">
      <w:pPr>
        <w:spacing w:line="360" w:lineRule="auto"/>
        <w:ind w:left="1080" w:leftChars="371" w:hanging="301" w:hangingChars="125"/>
        <w:jc w:val="left"/>
        <w:rPr>
          <w:b/>
          <w:color w:val="auto"/>
          <w:sz w:val="24"/>
          <w:highlight w:val="none"/>
        </w:rPr>
      </w:pPr>
      <w:r>
        <w:rPr>
          <w:b/>
          <w:color w:val="auto"/>
          <w:sz w:val="24"/>
          <w:highlight w:val="none"/>
        </w:rPr>
        <w:t>1.采购人信息</w:t>
      </w:r>
    </w:p>
    <w:p w14:paraId="1B37D6D2">
      <w:pPr>
        <w:spacing w:line="360" w:lineRule="auto"/>
        <w:ind w:left="1079" w:leftChars="371" w:hanging="300" w:hangingChars="125"/>
        <w:jc w:val="left"/>
        <w:rPr>
          <w:rFonts w:hint="eastAsia" w:eastAsia="宋体"/>
          <w:b w:val="0"/>
          <w:bCs/>
          <w:color w:val="auto"/>
          <w:sz w:val="24"/>
          <w:highlight w:val="none"/>
          <w:lang w:eastAsia="zh-CN"/>
        </w:rPr>
      </w:pPr>
      <w:bookmarkStart w:id="32" w:name="_Toc28359086"/>
      <w:bookmarkStart w:id="33" w:name="_Toc28359009"/>
      <w:r>
        <w:rPr>
          <w:rFonts w:hint="eastAsia" w:eastAsia="宋体"/>
          <w:b w:val="0"/>
          <w:bCs/>
          <w:color w:val="auto"/>
          <w:sz w:val="24"/>
          <w:highlight w:val="none"/>
          <w:lang w:eastAsia="zh-CN"/>
        </w:rPr>
        <w:t>名    称：</w:t>
      </w:r>
      <w:r>
        <w:rPr>
          <w:rFonts w:hint="eastAsia"/>
          <w:b w:val="0"/>
          <w:bCs/>
          <w:color w:val="auto"/>
          <w:sz w:val="24"/>
          <w:highlight w:val="none"/>
          <w:lang w:eastAsia="zh-CN"/>
        </w:rPr>
        <w:t>北京劳动保障职业学院</w:t>
      </w:r>
    </w:p>
    <w:p w14:paraId="59E3EC7E">
      <w:pPr>
        <w:spacing w:line="360" w:lineRule="auto"/>
        <w:ind w:left="1079" w:leftChars="371" w:hanging="300" w:hangingChars="125"/>
        <w:jc w:val="left"/>
        <w:rPr>
          <w:rFonts w:hint="eastAsia" w:eastAsia="宋体"/>
          <w:b w:val="0"/>
          <w:bCs/>
          <w:color w:val="auto"/>
          <w:sz w:val="24"/>
          <w:highlight w:val="none"/>
          <w:lang w:eastAsia="zh-CN"/>
        </w:rPr>
      </w:pPr>
      <w:r>
        <w:rPr>
          <w:rFonts w:hint="eastAsia" w:eastAsia="宋体"/>
          <w:b w:val="0"/>
          <w:bCs/>
          <w:color w:val="auto"/>
          <w:sz w:val="24"/>
          <w:highlight w:val="none"/>
          <w:lang w:eastAsia="zh-CN"/>
        </w:rPr>
        <w:t>地    址：北京市朝阳区惠新东街5号</w:t>
      </w:r>
    </w:p>
    <w:p w14:paraId="40E992E4">
      <w:pPr>
        <w:spacing w:line="360" w:lineRule="auto"/>
        <w:ind w:left="1079" w:leftChars="371" w:hanging="300" w:hangingChars="125"/>
        <w:jc w:val="left"/>
        <w:rPr>
          <w:rFonts w:hint="default" w:eastAsia="宋体"/>
          <w:b w:val="0"/>
          <w:bCs/>
          <w:color w:val="auto"/>
          <w:sz w:val="24"/>
          <w:highlight w:val="none"/>
          <w:lang w:val="en-US" w:eastAsia="zh-CN"/>
        </w:rPr>
      </w:pPr>
      <w:r>
        <w:rPr>
          <w:rFonts w:hint="eastAsia" w:eastAsia="宋体"/>
          <w:b w:val="0"/>
          <w:bCs/>
          <w:color w:val="auto"/>
          <w:sz w:val="24"/>
          <w:highlight w:val="none"/>
          <w:lang w:eastAsia="zh-CN"/>
        </w:rPr>
        <w:t>联系方式：</w:t>
      </w:r>
      <w:r>
        <w:rPr>
          <w:rFonts w:hint="eastAsia"/>
          <w:b w:val="0"/>
          <w:bCs/>
          <w:color w:val="auto"/>
          <w:sz w:val="24"/>
          <w:highlight w:val="none"/>
          <w:lang w:val="en-US" w:eastAsia="zh-CN"/>
        </w:rPr>
        <w:t>白</w:t>
      </w:r>
      <w:r>
        <w:rPr>
          <w:rFonts w:hint="eastAsia" w:eastAsia="宋体"/>
          <w:b w:val="0"/>
          <w:bCs/>
          <w:color w:val="auto"/>
          <w:sz w:val="24"/>
          <w:highlight w:val="none"/>
          <w:lang w:eastAsia="zh-CN"/>
        </w:rPr>
        <w:t xml:space="preserve">老师 </w:t>
      </w:r>
      <w:r>
        <w:rPr>
          <w:rFonts w:hint="eastAsia"/>
          <w:b w:val="0"/>
          <w:bCs/>
          <w:color w:val="auto"/>
          <w:sz w:val="24"/>
          <w:highlight w:val="none"/>
          <w:lang w:val="en-US" w:eastAsia="zh-CN"/>
        </w:rPr>
        <w:t>19910735003</w:t>
      </w:r>
    </w:p>
    <w:p w14:paraId="2FC50F6E">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32"/>
      <w:bookmarkEnd w:id="33"/>
    </w:p>
    <w:p w14:paraId="3924C452">
      <w:pPr>
        <w:spacing w:line="360" w:lineRule="auto"/>
        <w:ind w:left="1076" w:leftChars="371" w:hanging="297" w:hangingChars="124"/>
        <w:jc w:val="left"/>
        <w:rPr>
          <w:rFonts w:hint="eastAsia" w:ascii="宋体" w:hAnsi="宋体" w:eastAsia="宋体" w:cs="宋体"/>
          <w:color w:val="auto"/>
          <w:sz w:val="24"/>
          <w:highlight w:val="none"/>
          <w:u w:val="none"/>
          <w:lang w:eastAsia="zh-CN"/>
        </w:rPr>
      </w:pPr>
      <w:bookmarkStart w:id="34" w:name="_Toc28359087"/>
      <w:bookmarkStart w:id="35" w:name="_Toc28359010"/>
      <w:r>
        <w:rPr>
          <w:rFonts w:hint="eastAsia" w:ascii="宋体" w:hAnsi="宋体" w:eastAsia="宋体" w:cs="宋体"/>
          <w:color w:val="auto"/>
          <w:sz w:val="24"/>
          <w:highlight w:val="none"/>
          <w:u w:val="none"/>
        </w:rPr>
        <w:t>名    称：</w:t>
      </w:r>
      <w:r>
        <w:rPr>
          <w:rFonts w:hint="eastAsia" w:ascii="宋体" w:hAnsi="宋体" w:eastAsia="宋体" w:cs="宋体"/>
          <w:color w:val="auto"/>
          <w:sz w:val="24"/>
          <w:szCs w:val="24"/>
          <w:highlight w:val="none"/>
          <w:u w:val="none"/>
          <w:lang w:eastAsia="zh-CN"/>
        </w:rPr>
        <w:t>国信招标集团股份有限公司</w:t>
      </w:r>
    </w:p>
    <w:p w14:paraId="4ED38F60">
      <w:pPr>
        <w:spacing w:line="360" w:lineRule="auto"/>
        <w:ind w:left="1076" w:leftChars="371" w:hanging="297" w:hangingChars="124"/>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址：北京市海淀区四季青</w:t>
      </w:r>
      <w:r>
        <w:rPr>
          <w:rFonts w:hint="eastAsia" w:ascii="宋体" w:hAnsi="宋体" w:cs="宋体"/>
          <w:color w:val="auto"/>
          <w:sz w:val="24"/>
          <w:highlight w:val="none"/>
          <w:lang w:eastAsia="zh-CN"/>
        </w:rPr>
        <w:t>常青路</w:t>
      </w:r>
      <w:r>
        <w:rPr>
          <w:rFonts w:hint="eastAsia" w:ascii="宋体" w:hAnsi="宋体" w:eastAsia="宋体" w:cs="宋体"/>
          <w:color w:val="auto"/>
          <w:sz w:val="24"/>
          <w:highlight w:val="none"/>
        </w:rPr>
        <w:t>和泓四季6号楼</w:t>
      </w:r>
    </w:p>
    <w:p w14:paraId="4A4B9234">
      <w:pPr>
        <w:spacing w:line="360" w:lineRule="auto"/>
        <w:ind w:left="1079" w:leftChars="371" w:hanging="300" w:hangingChars="125"/>
        <w:jc w:val="left"/>
        <w:rPr>
          <w:rFonts w:hint="default" w:eastAsia="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color w:val="auto"/>
          <w:sz w:val="24"/>
          <w:highlight w:val="none"/>
          <w:lang w:val="en-US" w:eastAsia="zh-CN"/>
        </w:rPr>
        <w:t>赵文彪、李辉、龚蕾</w:t>
      </w:r>
      <w:r>
        <w:rPr>
          <w:rFonts w:hint="eastAsia" w:ascii="宋体" w:hAnsi="宋体" w:cs="宋体"/>
          <w:color w:val="auto"/>
          <w:sz w:val="24"/>
          <w:highlight w:val="none"/>
          <w:lang w:val="en-US" w:eastAsia="zh-CN"/>
        </w:rPr>
        <w:t>18610694148</w:t>
      </w:r>
    </w:p>
    <w:p w14:paraId="49719E75">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4"/>
      <w:bookmarkEnd w:id="35"/>
    </w:p>
    <w:p w14:paraId="48B4AA88">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default" w:eastAsia="宋体"/>
          <w:color w:val="auto"/>
          <w:sz w:val="24"/>
          <w:highlight w:val="none"/>
          <w:lang w:val="en-US" w:eastAsia="zh-CN"/>
        </w:rPr>
      </w:pPr>
      <w:r>
        <w:rPr>
          <w:rFonts w:hint="eastAsia"/>
          <w:color w:val="auto"/>
          <w:sz w:val="24"/>
          <w:highlight w:val="none"/>
        </w:rPr>
        <w:t>项目联系人：</w:t>
      </w:r>
      <w:r>
        <w:rPr>
          <w:rFonts w:hint="eastAsia"/>
          <w:color w:val="auto"/>
          <w:sz w:val="24"/>
          <w:highlight w:val="none"/>
          <w:lang w:val="en-US" w:eastAsia="zh-CN"/>
        </w:rPr>
        <w:t>赵文彪、李辉、龚蕾</w:t>
      </w:r>
    </w:p>
    <w:p w14:paraId="6FF1C044">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color w:val="auto"/>
          <w:sz w:val="24"/>
          <w:highlight w:val="none"/>
        </w:rPr>
      </w:pPr>
      <w:r>
        <w:rPr>
          <w:rFonts w:hint="eastAsia"/>
          <w:color w:val="auto"/>
          <w:sz w:val="24"/>
          <w:highlight w:val="none"/>
        </w:rPr>
        <w:t>电      话：</w:t>
      </w:r>
      <w:r>
        <w:rPr>
          <w:rFonts w:hint="eastAsia" w:ascii="宋体" w:hAnsi="宋体" w:cs="宋体"/>
          <w:color w:val="auto"/>
          <w:sz w:val="24"/>
          <w:highlight w:val="none"/>
          <w:lang w:val="en-US" w:eastAsia="zh-CN"/>
        </w:rPr>
        <w:t>18610694148</w:t>
      </w:r>
    </w:p>
    <w:p w14:paraId="789830BF">
      <w:pPr>
        <w:spacing w:line="360" w:lineRule="auto"/>
        <w:ind w:firstLine="5880" w:firstLineChars="2450"/>
        <w:jc w:val="right"/>
        <w:rPr>
          <w:color w:val="auto"/>
          <w:sz w:val="24"/>
          <w:highlight w:val="none"/>
        </w:rPr>
      </w:pPr>
    </w:p>
    <w:p w14:paraId="79755570">
      <w:pPr>
        <w:spacing w:line="360" w:lineRule="auto"/>
        <w:jc w:val="center"/>
        <w:outlineLvl w:val="0"/>
        <w:rPr>
          <w:b/>
          <w:color w:val="auto"/>
          <w:sz w:val="32"/>
          <w:szCs w:val="32"/>
          <w:highlight w:val="none"/>
        </w:rPr>
      </w:pPr>
      <w:r>
        <w:rPr>
          <w:color w:val="auto"/>
          <w:sz w:val="24"/>
          <w:highlight w:val="none"/>
        </w:rPr>
        <w:br w:type="page"/>
      </w:r>
      <w:bookmarkStart w:id="36" w:name="_Toc264969275"/>
      <w:bookmarkStart w:id="37" w:name="_Toc353873938"/>
      <w:bookmarkStart w:id="38" w:name="_Toc127161488"/>
      <w:bookmarkStart w:id="39" w:name="_Toc150774783"/>
      <w:bookmarkStart w:id="40" w:name="_Toc512937850"/>
      <w:bookmarkStart w:id="41" w:name="_Toc226965856"/>
      <w:bookmarkStart w:id="42" w:name="_Toc353825548"/>
      <w:bookmarkStart w:id="43" w:name="_Toc195842950"/>
      <w:bookmarkStart w:id="44" w:name="_Toc127151777"/>
      <w:bookmarkStart w:id="45" w:name="_Toc265228423"/>
      <w:bookmarkStart w:id="46" w:name="_Toc305158854"/>
      <w:bookmarkStart w:id="47" w:name="_Toc99301420"/>
      <w:bookmarkStart w:id="48" w:name="_Toc305158928"/>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6B1E5532">
      <w:pPr>
        <w:pStyle w:val="3"/>
        <w:tabs>
          <w:tab w:val="center" w:pos="4592"/>
          <w:tab w:val="left" w:pos="7860"/>
        </w:tabs>
        <w:spacing w:before="0" w:line="360" w:lineRule="auto"/>
        <w:rPr>
          <w:rFonts w:ascii="Times New Roman" w:hAnsi="Times New Roman" w:eastAsia="宋体"/>
          <w:color w:val="auto"/>
          <w:sz w:val="28"/>
          <w:highlight w:val="none"/>
        </w:rPr>
      </w:pPr>
      <w:bookmarkStart w:id="49" w:name="_Toc142311021"/>
      <w:bookmarkStart w:id="50" w:name="_Toc150774619"/>
      <w:bookmarkStart w:id="51" w:name="_Toc150774724"/>
      <w:bookmarkStart w:id="52" w:name="_Toc150509270"/>
      <w:bookmarkStart w:id="53" w:name="_Toc164351613"/>
      <w:bookmarkStart w:id="54" w:name="_Toc151190146"/>
      <w:bookmarkStart w:id="55" w:name="_Toc195842884"/>
      <w:bookmarkStart w:id="56" w:name="_Toc127151720"/>
      <w:bookmarkStart w:id="57" w:name="_Toc151193761"/>
      <w:bookmarkStart w:id="58" w:name="_Toc151193833"/>
      <w:bookmarkStart w:id="59" w:name="_Toc520356144"/>
      <w:bookmarkStart w:id="60" w:name="_Toc127151519"/>
      <w:bookmarkStart w:id="61" w:name="_Toc164229360"/>
      <w:bookmarkStart w:id="62" w:name="_Toc150480757"/>
      <w:bookmarkStart w:id="63" w:name="_Toc226965709"/>
      <w:bookmarkStart w:id="64" w:name="_Toc164608788"/>
      <w:bookmarkStart w:id="65" w:name="_Toc226965792"/>
      <w:bookmarkStart w:id="66" w:name="_Toc164608633"/>
      <w:bookmarkStart w:id="67" w:name="_Toc151193617"/>
      <w:bookmarkStart w:id="68" w:name="_Toc127161433"/>
      <w:bookmarkStart w:id="69" w:name="_Toc164229214"/>
      <w:bookmarkStart w:id="70" w:name="_Toc151193689"/>
      <w:bookmarkStart w:id="71" w:name="_Toc151193907"/>
      <w:bookmarkStart w:id="72" w:name="_Toc226309763"/>
      <w:bookmarkStart w:id="73" w:name="_Toc149720812"/>
      <w:bookmarkStart w:id="74" w:name="_Toc226337215"/>
      <w:r>
        <w:rPr>
          <w:rFonts w:ascii="Times New Roman" w:hAnsi="Times New Roman" w:eastAsia="宋体"/>
          <w:color w:val="auto"/>
          <w:sz w:val="28"/>
          <w:highlight w:val="none"/>
        </w:rPr>
        <w:t>投标人须知资料表</w:t>
      </w:r>
    </w:p>
    <w:p w14:paraId="511240CC">
      <w:pPr>
        <w:jc w:val="center"/>
        <w:rPr>
          <w:b/>
          <w:color w:val="auto"/>
          <w:sz w:val="28"/>
          <w:szCs w:val="28"/>
          <w:highlight w:val="none"/>
        </w:rPr>
      </w:pPr>
    </w:p>
    <w:p w14:paraId="791D4BAC">
      <w:pPr>
        <w:spacing w:line="360" w:lineRule="auto"/>
        <w:ind w:firstLine="480"/>
        <w:rPr>
          <w:color w:val="auto"/>
          <w:sz w:val="24"/>
          <w:highlight w:val="none"/>
        </w:rPr>
      </w:pPr>
      <w:r>
        <w:rPr>
          <w:color w:val="auto"/>
          <w:sz w:val="24"/>
          <w:highlight w:val="none"/>
        </w:rPr>
        <w:t>本表是对投标人须知的具体补充和修改，如有矛盾，均以本资料表为准。标记“</w:t>
      </w:r>
      <w:r>
        <w:rPr>
          <w:b/>
          <w:color w:val="auto"/>
          <w:sz w:val="24"/>
          <w:highlight w:val="none"/>
        </w:rPr>
        <w:t>■</w:t>
      </w:r>
      <w:r>
        <w:rPr>
          <w:color w:val="auto"/>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BB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AD60469">
            <w:pPr>
              <w:spacing w:line="360" w:lineRule="auto"/>
              <w:jc w:val="center"/>
              <w:rPr>
                <w:b/>
                <w:bCs/>
                <w:color w:val="auto"/>
                <w:sz w:val="24"/>
                <w:highlight w:val="none"/>
              </w:rPr>
            </w:pPr>
            <w:r>
              <w:rPr>
                <w:b/>
                <w:color w:val="auto"/>
                <w:sz w:val="24"/>
                <w:highlight w:val="none"/>
              </w:rPr>
              <w:t>条款号</w:t>
            </w:r>
          </w:p>
        </w:tc>
        <w:tc>
          <w:tcPr>
            <w:tcW w:w="1701" w:type="dxa"/>
            <w:vAlign w:val="center"/>
          </w:tcPr>
          <w:p w14:paraId="1CF3D261">
            <w:pPr>
              <w:spacing w:line="360" w:lineRule="auto"/>
              <w:jc w:val="center"/>
              <w:rPr>
                <w:b/>
                <w:bCs/>
                <w:color w:val="auto"/>
                <w:sz w:val="24"/>
                <w:highlight w:val="none"/>
              </w:rPr>
            </w:pPr>
            <w:r>
              <w:rPr>
                <w:b/>
                <w:bCs/>
                <w:color w:val="auto"/>
                <w:sz w:val="24"/>
                <w:highlight w:val="none"/>
              </w:rPr>
              <w:t>条目</w:t>
            </w:r>
          </w:p>
        </w:tc>
        <w:tc>
          <w:tcPr>
            <w:tcW w:w="7540" w:type="dxa"/>
            <w:vAlign w:val="center"/>
          </w:tcPr>
          <w:p w14:paraId="4AA83917">
            <w:pPr>
              <w:spacing w:line="360" w:lineRule="auto"/>
              <w:jc w:val="center"/>
              <w:rPr>
                <w:b/>
                <w:bCs/>
                <w:color w:val="auto"/>
                <w:sz w:val="24"/>
                <w:highlight w:val="none"/>
              </w:rPr>
            </w:pPr>
            <w:r>
              <w:rPr>
                <w:b/>
                <w:bCs/>
                <w:color w:val="auto"/>
                <w:sz w:val="24"/>
                <w:highlight w:val="none"/>
              </w:rPr>
              <w:t>内容</w:t>
            </w:r>
          </w:p>
        </w:tc>
      </w:tr>
      <w:tr w14:paraId="7CD8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64B518">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70526CA1">
            <w:pPr>
              <w:spacing w:line="360" w:lineRule="auto"/>
              <w:jc w:val="center"/>
              <w:rPr>
                <w:color w:val="auto"/>
                <w:sz w:val="24"/>
                <w:highlight w:val="none"/>
              </w:rPr>
            </w:pPr>
            <w:r>
              <w:rPr>
                <w:color w:val="auto"/>
                <w:sz w:val="24"/>
                <w:highlight w:val="none"/>
              </w:rPr>
              <w:t>项目属性</w:t>
            </w:r>
          </w:p>
        </w:tc>
        <w:tc>
          <w:tcPr>
            <w:tcW w:w="7540" w:type="dxa"/>
            <w:vAlign w:val="center"/>
          </w:tcPr>
          <w:p w14:paraId="302316CF">
            <w:pPr>
              <w:spacing w:line="360" w:lineRule="auto"/>
              <w:jc w:val="left"/>
              <w:rPr>
                <w:color w:val="auto"/>
                <w:sz w:val="24"/>
                <w:highlight w:val="none"/>
              </w:rPr>
            </w:pPr>
            <w:r>
              <w:rPr>
                <w:color w:val="auto"/>
                <w:sz w:val="24"/>
                <w:highlight w:val="none"/>
              </w:rPr>
              <w:t>项目属性：</w:t>
            </w:r>
          </w:p>
          <w:p w14:paraId="0C7755D7">
            <w:pPr>
              <w:spacing w:line="360" w:lineRule="auto"/>
              <w:jc w:val="left"/>
              <w:rPr>
                <w:rFonts w:hint="eastAsia"/>
                <w:color w:val="auto"/>
                <w:sz w:val="24"/>
                <w:highlight w:val="none"/>
                <w:lang w:eastAsia="zh-CN"/>
              </w:rPr>
            </w:pPr>
            <w:r>
              <w:rPr>
                <w:rFonts w:hint="eastAsia" w:ascii="宋体" w:hAnsi="宋体" w:eastAsia="宋体" w:cs="宋体"/>
                <w:color w:val="auto"/>
                <w:sz w:val="24"/>
                <w:highlight w:val="none"/>
              </w:rPr>
              <w:t>■</w:t>
            </w:r>
            <w:r>
              <w:rPr>
                <w:color w:val="auto"/>
                <w:sz w:val="24"/>
                <w:highlight w:val="none"/>
              </w:rPr>
              <w:t>服务</w:t>
            </w:r>
          </w:p>
          <w:p w14:paraId="62C28970">
            <w:pPr>
              <w:spacing w:line="360" w:lineRule="auto"/>
              <w:jc w:val="left"/>
              <w:rPr>
                <w:color w:val="auto"/>
                <w:sz w:val="24"/>
                <w:highlight w:val="none"/>
              </w:rPr>
            </w:pPr>
            <w:r>
              <w:rPr>
                <w:rFonts w:hint="eastAsia"/>
                <w:color w:val="auto"/>
                <w:sz w:val="24"/>
                <w:highlight w:val="none"/>
                <w:lang w:eastAsia="zh-CN"/>
              </w:rPr>
              <w:t>□</w:t>
            </w:r>
            <w:r>
              <w:rPr>
                <w:color w:val="auto"/>
                <w:sz w:val="24"/>
                <w:highlight w:val="none"/>
              </w:rPr>
              <w:t>货物</w:t>
            </w:r>
          </w:p>
        </w:tc>
      </w:tr>
      <w:tr w14:paraId="58E0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62DAD0">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4CC39A6E">
            <w:pPr>
              <w:spacing w:line="360" w:lineRule="auto"/>
              <w:jc w:val="center"/>
              <w:rPr>
                <w:color w:val="auto"/>
                <w:sz w:val="24"/>
                <w:highlight w:val="none"/>
              </w:rPr>
            </w:pPr>
            <w:r>
              <w:rPr>
                <w:color w:val="auto"/>
                <w:sz w:val="24"/>
                <w:highlight w:val="none"/>
              </w:rPr>
              <w:t>科研仪器设备</w:t>
            </w:r>
          </w:p>
        </w:tc>
        <w:tc>
          <w:tcPr>
            <w:tcW w:w="7540" w:type="dxa"/>
            <w:vAlign w:val="center"/>
          </w:tcPr>
          <w:p w14:paraId="1EF2A984">
            <w:pPr>
              <w:spacing w:line="360" w:lineRule="auto"/>
              <w:jc w:val="left"/>
              <w:rPr>
                <w:color w:val="auto"/>
                <w:sz w:val="24"/>
                <w:highlight w:val="none"/>
              </w:rPr>
            </w:pPr>
            <w:r>
              <w:rPr>
                <w:color w:val="auto"/>
                <w:sz w:val="24"/>
                <w:highlight w:val="none"/>
              </w:rPr>
              <w:t>是否属于科研仪器设备采购项目：</w:t>
            </w:r>
          </w:p>
          <w:p w14:paraId="2ADDF81C">
            <w:pPr>
              <w:spacing w:line="360" w:lineRule="auto"/>
              <w:jc w:val="left"/>
              <w:rPr>
                <w:color w:val="auto"/>
                <w:sz w:val="24"/>
                <w:highlight w:val="none"/>
              </w:rPr>
            </w:pPr>
            <w:r>
              <w:rPr>
                <w:color w:val="auto"/>
                <w:sz w:val="24"/>
                <w:highlight w:val="none"/>
              </w:rPr>
              <w:t>□是</w:t>
            </w:r>
          </w:p>
          <w:p w14:paraId="77B3945A">
            <w:pPr>
              <w:spacing w:line="360" w:lineRule="auto"/>
              <w:jc w:val="left"/>
              <w:rPr>
                <w:color w:val="auto"/>
                <w:sz w:val="24"/>
                <w:highlight w:val="none"/>
              </w:rPr>
            </w:pPr>
            <w:r>
              <w:rPr>
                <w:rFonts w:hint="eastAsia" w:ascii="宋体" w:hAnsi="宋体" w:eastAsia="宋体" w:cs="宋体"/>
                <w:color w:val="auto"/>
                <w:sz w:val="24"/>
                <w:highlight w:val="none"/>
              </w:rPr>
              <w:t>■</w:t>
            </w:r>
            <w:r>
              <w:rPr>
                <w:color w:val="auto"/>
                <w:sz w:val="24"/>
                <w:highlight w:val="none"/>
              </w:rPr>
              <w:t>否</w:t>
            </w:r>
          </w:p>
        </w:tc>
      </w:tr>
      <w:tr w14:paraId="68A2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F97756">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108B1FB0">
            <w:pPr>
              <w:spacing w:line="360" w:lineRule="auto"/>
              <w:jc w:val="center"/>
              <w:rPr>
                <w:color w:val="auto"/>
                <w:sz w:val="24"/>
                <w:highlight w:val="none"/>
              </w:rPr>
            </w:pPr>
            <w:r>
              <w:rPr>
                <w:color w:val="auto"/>
                <w:sz w:val="24"/>
                <w:highlight w:val="none"/>
              </w:rPr>
              <w:t>核心产品</w:t>
            </w:r>
          </w:p>
        </w:tc>
        <w:tc>
          <w:tcPr>
            <w:tcW w:w="7540" w:type="dxa"/>
            <w:vAlign w:val="center"/>
          </w:tcPr>
          <w:p w14:paraId="3E8528E1">
            <w:pPr>
              <w:pStyle w:val="24"/>
              <w:adjustRightInd w:val="0"/>
              <w:snapToGrid w:val="0"/>
              <w:spacing w:line="360" w:lineRule="auto"/>
              <w:rPr>
                <w:rFonts w:hint="default" w:ascii="Times New Roman" w:hAnsi="Times New Roman"/>
                <w:color w:val="auto"/>
                <w:sz w:val="24"/>
                <w:szCs w:val="24"/>
                <w:highlight w:val="none"/>
              </w:rPr>
            </w:pPr>
            <w:r>
              <w:rPr>
                <w:rFonts w:hint="eastAsia" w:ascii="宋体" w:hAnsi="宋体" w:eastAsia="宋体" w:cs="宋体"/>
                <w:color w:val="auto"/>
                <w:sz w:val="24"/>
                <w:highlight w:val="none"/>
              </w:rPr>
              <w:t>■</w:t>
            </w:r>
            <w:r>
              <w:rPr>
                <w:rFonts w:hint="default" w:ascii="Times New Roman" w:hAnsi="Times New Roman"/>
                <w:color w:val="auto"/>
                <w:sz w:val="24"/>
                <w:szCs w:val="24"/>
                <w:highlight w:val="none"/>
              </w:rPr>
              <w:t>关于核心产品本项目__包不适用。</w:t>
            </w:r>
          </w:p>
          <w:p w14:paraId="3E28FD8C">
            <w:pPr>
              <w:pStyle w:val="24"/>
              <w:adjustRightInd w:val="0"/>
              <w:snapToGrid w:val="0"/>
              <w:spacing w:line="360" w:lineRule="auto"/>
              <w:rPr>
                <w:rFonts w:hint="default" w:ascii="Times New Roman" w:hAnsi="Times New Roman"/>
                <w:color w:val="auto"/>
                <w:sz w:val="24"/>
                <w:szCs w:val="24"/>
                <w:highlight w:val="none"/>
              </w:rPr>
            </w:pPr>
            <w:r>
              <w:rPr>
                <w:rFonts w:hint="eastAsia" w:ascii="Times New Roman" w:hAnsi="Times New Roman"/>
                <w:color w:val="auto"/>
                <w:sz w:val="24"/>
                <w:szCs w:val="24"/>
                <w:highlight w:val="none"/>
                <w:lang w:eastAsia="zh-CN"/>
              </w:rPr>
              <w:t>□</w:t>
            </w:r>
            <w:r>
              <w:rPr>
                <w:rFonts w:hint="default" w:ascii="Times New Roman" w:hAnsi="Times New Roman"/>
                <w:color w:val="auto"/>
                <w:sz w:val="24"/>
                <w:szCs w:val="24"/>
                <w:highlight w:val="none"/>
              </w:rPr>
              <w:t>本项目__包为单一产品采购项目。</w:t>
            </w:r>
          </w:p>
          <w:p w14:paraId="1F400526">
            <w:pPr>
              <w:spacing w:line="360" w:lineRule="auto"/>
              <w:jc w:val="left"/>
              <w:rPr>
                <w:color w:val="auto"/>
                <w:sz w:val="24"/>
                <w:highlight w:val="none"/>
              </w:rPr>
            </w:pPr>
            <w:r>
              <w:rPr>
                <w:rFonts w:hint="eastAsia" w:ascii="Times New Roman" w:hAnsi="Times New Roman"/>
                <w:color w:val="auto"/>
                <w:sz w:val="24"/>
                <w:szCs w:val="24"/>
                <w:highlight w:val="none"/>
                <w:lang w:eastAsia="zh-CN"/>
              </w:rPr>
              <w:t>□</w:t>
            </w:r>
            <w:r>
              <w:rPr>
                <w:color w:val="auto"/>
                <w:sz w:val="24"/>
                <w:highlight w:val="none"/>
              </w:rPr>
              <w:t>本项目__包为非单一产品采购项目，核心产品为：</w:t>
            </w:r>
            <w:r>
              <w:rPr>
                <w:rFonts w:hint="eastAsia"/>
                <w:color w:val="auto"/>
                <w:sz w:val="24"/>
                <w:highlight w:val="none"/>
                <w:u w:val="single"/>
                <w:lang w:val="en-US" w:eastAsia="zh-CN"/>
              </w:rPr>
              <w:t xml:space="preserve">   </w:t>
            </w:r>
            <w:r>
              <w:rPr>
                <w:color w:val="auto"/>
                <w:sz w:val="24"/>
                <w:highlight w:val="none"/>
              </w:rPr>
              <w:t>。</w:t>
            </w:r>
          </w:p>
          <w:p w14:paraId="2A48DEEF">
            <w:pPr>
              <w:spacing w:line="360" w:lineRule="auto"/>
              <w:ind w:firstLine="480" w:firstLineChars="200"/>
              <w:jc w:val="left"/>
              <w:rPr>
                <w:rFonts w:hint="eastAsia" w:ascii="宋体" w:hAnsi="宋体" w:eastAsia="宋体" w:cs="宋体"/>
                <w:color w:val="auto"/>
                <w:kern w:val="0"/>
                <w:sz w:val="24"/>
                <w:highlight w:val="none"/>
                <w:u w:val="none"/>
                <w:lang w:val="en-US" w:eastAsia="zh-CN"/>
              </w:rPr>
            </w:pPr>
            <w:r>
              <w:rPr>
                <w:rFonts w:hint="eastAsia" w:ascii="宋体" w:hAnsi="宋体" w:eastAsia="宋体" w:cs="宋体"/>
                <w:color w:val="auto"/>
                <w:kern w:val="0"/>
                <w:sz w:val="24"/>
                <w:highlight w:val="none"/>
                <w:u w:val="none"/>
                <w:lang w:val="en-US" w:eastAsia="zh-CN"/>
              </w:rPr>
              <w:t>不同</w:t>
            </w:r>
            <w:r>
              <w:rPr>
                <w:rFonts w:hint="eastAsia" w:ascii="宋体" w:hAnsi="宋体" w:cs="宋体"/>
                <w:color w:val="auto"/>
                <w:kern w:val="0"/>
                <w:sz w:val="24"/>
                <w:highlight w:val="none"/>
                <w:u w:val="none"/>
                <w:lang w:val="en-US" w:eastAsia="zh-CN"/>
              </w:rPr>
              <w:t>投标人</w:t>
            </w:r>
            <w:r>
              <w:rPr>
                <w:rFonts w:hint="eastAsia" w:ascii="宋体" w:hAnsi="宋体" w:eastAsia="宋体" w:cs="宋体"/>
                <w:color w:val="auto"/>
                <w:kern w:val="0"/>
                <w:sz w:val="24"/>
                <w:highlight w:val="none"/>
                <w:u w:val="none"/>
                <w:lang w:val="en-US" w:eastAsia="zh-CN"/>
              </w:rPr>
              <w:t>参加同一合同（包）项下投标的，提供相同品牌产品且通过资格审查、符合性审查，按一家</w:t>
            </w:r>
            <w:r>
              <w:rPr>
                <w:rFonts w:hint="eastAsia" w:ascii="宋体" w:hAnsi="宋体" w:cs="宋体"/>
                <w:color w:val="auto"/>
                <w:kern w:val="0"/>
                <w:sz w:val="24"/>
                <w:highlight w:val="none"/>
                <w:u w:val="none"/>
                <w:lang w:val="en-US" w:eastAsia="zh-CN"/>
              </w:rPr>
              <w:t>投标人</w:t>
            </w:r>
            <w:r>
              <w:rPr>
                <w:rFonts w:hint="eastAsia" w:ascii="宋体" w:hAnsi="宋体" w:eastAsia="宋体" w:cs="宋体"/>
                <w:color w:val="auto"/>
                <w:kern w:val="0"/>
                <w:sz w:val="24"/>
                <w:highlight w:val="none"/>
                <w:u w:val="none"/>
                <w:lang w:val="en-US" w:eastAsia="zh-CN"/>
              </w:rPr>
              <w:t>计算，评审后得分最高的同品牌投标人获得中标人推荐资格；评审得分相同的，按第四章 第4.1条的规定执行，其他同品牌</w:t>
            </w:r>
            <w:r>
              <w:rPr>
                <w:rFonts w:hint="eastAsia" w:ascii="宋体" w:hAnsi="宋体" w:cs="宋体"/>
                <w:color w:val="auto"/>
                <w:kern w:val="0"/>
                <w:sz w:val="24"/>
                <w:highlight w:val="none"/>
                <w:u w:val="none"/>
                <w:lang w:val="en-US" w:eastAsia="zh-CN"/>
              </w:rPr>
              <w:t>投标人</w:t>
            </w:r>
            <w:r>
              <w:rPr>
                <w:rFonts w:hint="eastAsia" w:ascii="宋体" w:hAnsi="宋体" w:eastAsia="宋体" w:cs="宋体"/>
                <w:color w:val="auto"/>
                <w:kern w:val="0"/>
                <w:sz w:val="24"/>
                <w:highlight w:val="none"/>
                <w:u w:val="none"/>
                <w:lang w:val="en-US" w:eastAsia="zh-CN"/>
              </w:rPr>
              <w:t>不作为中标候选人。</w:t>
            </w:r>
          </w:p>
        </w:tc>
      </w:tr>
      <w:tr w14:paraId="200A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587913A">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3B4612FC">
            <w:pPr>
              <w:spacing w:line="360" w:lineRule="auto"/>
              <w:jc w:val="center"/>
              <w:rPr>
                <w:color w:val="auto"/>
                <w:sz w:val="24"/>
                <w:highlight w:val="none"/>
              </w:rPr>
            </w:pPr>
            <w:r>
              <w:rPr>
                <w:color w:val="auto"/>
                <w:sz w:val="24"/>
                <w:highlight w:val="none"/>
              </w:rPr>
              <w:t>现场考察</w:t>
            </w:r>
          </w:p>
        </w:tc>
        <w:tc>
          <w:tcPr>
            <w:tcW w:w="7540" w:type="dxa"/>
            <w:vAlign w:val="center"/>
          </w:tcPr>
          <w:p w14:paraId="6E3459CE">
            <w:pPr>
              <w:spacing w:line="360" w:lineRule="auto"/>
              <w:jc w:val="left"/>
              <w:rPr>
                <w:color w:val="auto"/>
                <w:sz w:val="24"/>
                <w:highlight w:val="none"/>
              </w:rPr>
            </w:pPr>
            <w:r>
              <w:rPr>
                <w:rFonts w:hint="eastAsia" w:ascii="宋体" w:hAnsi="宋体" w:eastAsia="宋体" w:cs="宋体"/>
                <w:color w:val="auto"/>
                <w:sz w:val="24"/>
                <w:highlight w:val="none"/>
              </w:rPr>
              <w:t>■</w:t>
            </w:r>
            <w:r>
              <w:rPr>
                <w:color w:val="auto"/>
                <w:sz w:val="24"/>
                <w:highlight w:val="none"/>
              </w:rPr>
              <w:t>不组织</w:t>
            </w:r>
          </w:p>
          <w:p w14:paraId="0EBD05F5">
            <w:pPr>
              <w:spacing w:line="360" w:lineRule="auto"/>
              <w:jc w:val="left"/>
              <w:rPr>
                <w:bCs/>
                <w:color w:val="auto"/>
                <w:sz w:val="24"/>
                <w:highlight w:val="none"/>
              </w:rPr>
            </w:pPr>
            <w:r>
              <w:rPr>
                <w:color w:val="auto"/>
                <w:sz w:val="24"/>
                <w:highlight w:val="none"/>
              </w:rPr>
              <w:t>□组织，考察时间：__年_月_日_</w:t>
            </w:r>
            <w:r>
              <w:rPr>
                <w:bCs/>
                <w:color w:val="auto"/>
                <w:sz w:val="24"/>
                <w:highlight w:val="none"/>
              </w:rPr>
              <w:t>点</w:t>
            </w:r>
            <w:r>
              <w:rPr>
                <w:color w:val="auto"/>
                <w:sz w:val="24"/>
                <w:highlight w:val="none"/>
              </w:rPr>
              <w:t>_</w:t>
            </w:r>
            <w:r>
              <w:rPr>
                <w:bCs/>
                <w:color w:val="auto"/>
                <w:sz w:val="24"/>
                <w:highlight w:val="none"/>
              </w:rPr>
              <w:t>分</w:t>
            </w:r>
          </w:p>
          <w:p w14:paraId="271439B3">
            <w:pPr>
              <w:pStyle w:val="24"/>
              <w:adjustRightInd w:val="0"/>
              <w:snapToGrid w:val="0"/>
              <w:spacing w:line="360" w:lineRule="auto"/>
              <w:rPr>
                <w:rFonts w:hint="default" w:ascii="Times New Roman" w:hAnsi="Times New Roman"/>
                <w:color w:val="auto"/>
                <w:sz w:val="24"/>
                <w:szCs w:val="24"/>
                <w:highlight w:val="none"/>
              </w:rPr>
            </w:pPr>
            <w:r>
              <w:rPr>
                <w:rFonts w:hint="default" w:ascii="Times New Roman" w:hAnsi="Times New Roman"/>
                <w:color w:val="auto"/>
                <w:sz w:val="24"/>
                <w:highlight w:val="none"/>
              </w:rPr>
              <w:t>考察地点：____________。</w:t>
            </w:r>
          </w:p>
        </w:tc>
      </w:tr>
      <w:tr w14:paraId="3348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A039AC0">
            <w:pPr>
              <w:pStyle w:val="24"/>
              <w:adjustRightInd w:val="0"/>
              <w:snapToGrid w:val="0"/>
              <w:spacing w:line="360" w:lineRule="auto"/>
              <w:jc w:val="center"/>
              <w:rPr>
                <w:rFonts w:hint="default" w:ascii="Times New Roman" w:hAnsi="Times New Roman"/>
                <w:color w:val="auto"/>
                <w:sz w:val="24"/>
                <w:szCs w:val="24"/>
                <w:highlight w:val="none"/>
              </w:rPr>
            </w:pPr>
          </w:p>
        </w:tc>
        <w:tc>
          <w:tcPr>
            <w:tcW w:w="1701" w:type="dxa"/>
            <w:vAlign w:val="center"/>
          </w:tcPr>
          <w:p w14:paraId="013660BC">
            <w:pPr>
              <w:spacing w:line="360" w:lineRule="auto"/>
              <w:jc w:val="center"/>
              <w:rPr>
                <w:color w:val="auto"/>
                <w:sz w:val="24"/>
                <w:highlight w:val="none"/>
              </w:rPr>
            </w:pPr>
            <w:r>
              <w:rPr>
                <w:color w:val="auto"/>
                <w:sz w:val="24"/>
                <w:highlight w:val="none"/>
              </w:rPr>
              <w:t>开标前答疑会</w:t>
            </w:r>
          </w:p>
        </w:tc>
        <w:tc>
          <w:tcPr>
            <w:tcW w:w="7540" w:type="dxa"/>
            <w:vAlign w:val="center"/>
          </w:tcPr>
          <w:p w14:paraId="1DBBD5D5">
            <w:pPr>
              <w:spacing w:line="360" w:lineRule="auto"/>
              <w:jc w:val="left"/>
              <w:rPr>
                <w:color w:val="auto"/>
                <w:sz w:val="24"/>
                <w:highlight w:val="none"/>
              </w:rPr>
            </w:pPr>
            <w:r>
              <w:rPr>
                <w:rFonts w:hint="eastAsia" w:ascii="宋体" w:hAnsi="宋体" w:eastAsia="宋体" w:cs="宋体"/>
                <w:color w:val="auto"/>
                <w:sz w:val="24"/>
                <w:highlight w:val="none"/>
              </w:rPr>
              <w:t>■</w:t>
            </w:r>
            <w:r>
              <w:rPr>
                <w:color w:val="auto"/>
                <w:sz w:val="24"/>
                <w:highlight w:val="none"/>
              </w:rPr>
              <w:t>不召开</w:t>
            </w:r>
          </w:p>
          <w:p w14:paraId="62829A56">
            <w:pPr>
              <w:spacing w:line="360" w:lineRule="auto"/>
              <w:jc w:val="left"/>
              <w:rPr>
                <w:color w:val="auto"/>
                <w:sz w:val="24"/>
                <w:highlight w:val="none"/>
              </w:rPr>
            </w:pPr>
            <w:r>
              <w:rPr>
                <w:color w:val="auto"/>
                <w:sz w:val="24"/>
                <w:highlight w:val="none"/>
              </w:rPr>
              <w:t>□召开，召开时间：__年_月_日_</w:t>
            </w:r>
            <w:r>
              <w:rPr>
                <w:bCs/>
                <w:color w:val="auto"/>
                <w:sz w:val="24"/>
                <w:highlight w:val="none"/>
              </w:rPr>
              <w:t>点</w:t>
            </w:r>
            <w:r>
              <w:rPr>
                <w:color w:val="auto"/>
                <w:sz w:val="24"/>
                <w:highlight w:val="none"/>
              </w:rPr>
              <w:t>_</w:t>
            </w:r>
            <w:r>
              <w:rPr>
                <w:bCs/>
                <w:color w:val="auto"/>
                <w:sz w:val="24"/>
                <w:highlight w:val="none"/>
              </w:rPr>
              <w:t>分</w:t>
            </w:r>
          </w:p>
          <w:p w14:paraId="54CA86E3">
            <w:pPr>
              <w:spacing w:line="360" w:lineRule="auto"/>
              <w:jc w:val="left"/>
              <w:rPr>
                <w:color w:val="auto"/>
                <w:sz w:val="24"/>
                <w:highlight w:val="none"/>
              </w:rPr>
            </w:pPr>
            <w:r>
              <w:rPr>
                <w:color w:val="auto"/>
                <w:sz w:val="24"/>
                <w:highlight w:val="none"/>
              </w:rPr>
              <w:t>召开地点：____________。</w:t>
            </w:r>
          </w:p>
        </w:tc>
      </w:tr>
      <w:tr w14:paraId="2D46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1D133E">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53B31397">
            <w:pPr>
              <w:spacing w:line="360" w:lineRule="auto"/>
              <w:jc w:val="center"/>
              <w:rPr>
                <w:color w:val="auto"/>
                <w:sz w:val="24"/>
                <w:highlight w:val="none"/>
              </w:rPr>
            </w:pPr>
            <w:r>
              <w:rPr>
                <w:color w:val="auto"/>
                <w:sz w:val="24"/>
                <w:highlight w:val="none"/>
              </w:rPr>
              <w:t>样品</w:t>
            </w:r>
          </w:p>
        </w:tc>
        <w:tc>
          <w:tcPr>
            <w:tcW w:w="7540" w:type="dxa"/>
            <w:vAlign w:val="center"/>
          </w:tcPr>
          <w:p w14:paraId="30CE39BA">
            <w:pPr>
              <w:spacing w:line="360" w:lineRule="auto"/>
              <w:jc w:val="left"/>
              <w:rPr>
                <w:color w:val="auto"/>
                <w:sz w:val="24"/>
                <w:highlight w:val="none"/>
              </w:rPr>
            </w:pPr>
            <w:r>
              <w:rPr>
                <w:color w:val="auto"/>
                <w:sz w:val="24"/>
                <w:highlight w:val="none"/>
              </w:rPr>
              <w:t>投标样品递交：</w:t>
            </w:r>
          </w:p>
          <w:p w14:paraId="1791D981">
            <w:pPr>
              <w:spacing w:line="360" w:lineRule="auto"/>
              <w:jc w:val="left"/>
              <w:rPr>
                <w:color w:val="auto"/>
                <w:sz w:val="24"/>
                <w:highlight w:val="none"/>
              </w:rPr>
            </w:pPr>
            <w:r>
              <w:rPr>
                <w:rFonts w:hint="eastAsia" w:ascii="宋体" w:hAnsi="宋体" w:eastAsia="宋体" w:cs="宋体"/>
                <w:color w:val="auto"/>
                <w:sz w:val="24"/>
                <w:highlight w:val="none"/>
              </w:rPr>
              <w:t>■</w:t>
            </w:r>
            <w:r>
              <w:rPr>
                <w:color w:val="auto"/>
                <w:sz w:val="24"/>
                <w:highlight w:val="none"/>
              </w:rPr>
              <w:t>不需要</w:t>
            </w:r>
          </w:p>
          <w:p w14:paraId="4A3AD535">
            <w:pPr>
              <w:spacing w:line="360" w:lineRule="auto"/>
              <w:jc w:val="left"/>
              <w:rPr>
                <w:color w:val="auto"/>
                <w:sz w:val="24"/>
                <w:highlight w:val="none"/>
              </w:rPr>
            </w:pPr>
            <w:r>
              <w:rPr>
                <w:rFonts w:hint="eastAsia"/>
                <w:color w:val="auto"/>
                <w:sz w:val="24"/>
                <w:highlight w:val="none"/>
                <w:lang w:eastAsia="zh-CN"/>
              </w:rPr>
              <w:t>□</w:t>
            </w:r>
            <w:r>
              <w:rPr>
                <w:color w:val="auto"/>
                <w:sz w:val="24"/>
                <w:highlight w:val="none"/>
              </w:rPr>
              <w:t>需要，具体要求如下：</w:t>
            </w:r>
          </w:p>
          <w:p w14:paraId="7199AD8A">
            <w:pPr>
              <w:spacing w:line="360" w:lineRule="auto"/>
              <w:jc w:val="left"/>
              <w:rPr>
                <w:color w:val="auto"/>
                <w:sz w:val="24"/>
                <w:highlight w:val="none"/>
                <w:u w:val="single"/>
              </w:rPr>
            </w:pPr>
            <w:r>
              <w:rPr>
                <w:color w:val="auto"/>
                <w:sz w:val="24"/>
                <w:highlight w:val="none"/>
              </w:rPr>
              <w:t>（1）样品制作的标准和要求：_________；</w:t>
            </w:r>
          </w:p>
          <w:p w14:paraId="663EA15A">
            <w:pPr>
              <w:spacing w:line="360" w:lineRule="auto"/>
              <w:jc w:val="left"/>
              <w:rPr>
                <w:color w:val="auto"/>
                <w:sz w:val="24"/>
                <w:highlight w:val="none"/>
              </w:rPr>
            </w:pPr>
            <w:r>
              <w:rPr>
                <w:color w:val="auto"/>
                <w:sz w:val="24"/>
                <w:highlight w:val="none"/>
              </w:rPr>
              <w:t>（2）是否需要随样品提交相关检测报告：</w:t>
            </w:r>
          </w:p>
          <w:p w14:paraId="4BFD390E">
            <w:pPr>
              <w:spacing w:line="360" w:lineRule="auto"/>
              <w:ind w:firstLine="600" w:firstLineChars="250"/>
              <w:jc w:val="left"/>
              <w:rPr>
                <w:color w:val="auto"/>
                <w:sz w:val="24"/>
                <w:highlight w:val="none"/>
              </w:rPr>
            </w:pPr>
            <w:r>
              <w:rPr>
                <w:rFonts w:hint="eastAsia"/>
                <w:color w:val="auto"/>
                <w:sz w:val="24"/>
                <w:highlight w:val="none"/>
                <w:lang w:eastAsia="zh-CN"/>
              </w:rPr>
              <w:t>□</w:t>
            </w:r>
            <w:r>
              <w:rPr>
                <w:color w:val="auto"/>
                <w:sz w:val="24"/>
                <w:highlight w:val="none"/>
              </w:rPr>
              <w:t>不需要</w:t>
            </w:r>
          </w:p>
          <w:p w14:paraId="7FA11275">
            <w:pPr>
              <w:spacing w:line="360" w:lineRule="auto"/>
              <w:ind w:firstLine="600" w:firstLineChars="250"/>
              <w:jc w:val="left"/>
              <w:rPr>
                <w:color w:val="auto"/>
                <w:sz w:val="24"/>
                <w:highlight w:val="none"/>
              </w:rPr>
            </w:pPr>
            <w:r>
              <w:rPr>
                <w:rFonts w:hint="eastAsia"/>
                <w:color w:val="auto"/>
                <w:sz w:val="24"/>
                <w:highlight w:val="none"/>
                <w:lang w:eastAsia="zh-CN"/>
              </w:rPr>
              <w:t>□</w:t>
            </w:r>
            <w:r>
              <w:rPr>
                <w:color w:val="auto"/>
                <w:sz w:val="24"/>
                <w:highlight w:val="none"/>
              </w:rPr>
              <w:t>需要</w:t>
            </w:r>
          </w:p>
          <w:p w14:paraId="74335D6A">
            <w:pPr>
              <w:spacing w:line="360" w:lineRule="auto"/>
              <w:jc w:val="left"/>
              <w:rPr>
                <w:color w:val="auto"/>
                <w:sz w:val="24"/>
                <w:highlight w:val="none"/>
              </w:rPr>
            </w:pPr>
            <w:r>
              <w:rPr>
                <w:color w:val="auto"/>
                <w:sz w:val="24"/>
                <w:highlight w:val="none"/>
              </w:rPr>
              <w:t>（3）样品递交要求：_________；</w:t>
            </w:r>
          </w:p>
          <w:p w14:paraId="3DE561DD">
            <w:pPr>
              <w:spacing w:line="360" w:lineRule="auto"/>
              <w:jc w:val="left"/>
              <w:rPr>
                <w:color w:val="auto"/>
                <w:sz w:val="24"/>
                <w:highlight w:val="none"/>
              </w:rPr>
            </w:pPr>
            <w:r>
              <w:rPr>
                <w:color w:val="auto"/>
                <w:sz w:val="24"/>
                <w:highlight w:val="none"/>
              </w:rPr>
              <w:t>（4）未中标人样品退还：_________；</w:t>
            </w:r>
          </w:p>
          <w:p w14:paraId="74E4F20F">
            <w:pPr>
              <w:spacing w:line="360" w:lineRule="auto"/>
              <w:jc w:val="left"/>
              <w:rPr>
                <w:color w:val="auto"/>
                <w:sz w:val="24"/>
                <w:highlight w:val="none"/>
                <w:u w:val="single"/>
              </w:rPr>
            </w:pPr>
            <w:r>
              <w:rPr>
                <w:color w:val="auto"/>
                <w:sz w:val="24"/>
                <w:highlight w:val="none"/>
              </w:rPr>
              <w:t>（5）中标人样品保管、封存及退还：_________；</w:t>
            </w:r>
          </w:p>
          <w:p w14:paraId="16BD102B">
            <w:pPr>
              <w:spacing w:line="360" w:lineRule="auto"/>
              <w:jc w:val="left"/>
              <w:rPr>
                <w:color w:val="auto"/>
                <w:sz w:val="24"/>
                <w:highlight w:val="none"/>
              </w:rPr>
            </w:pPr>
            <w:r>
              <w:rPr>
                <w:color w:val="auto"/>
                <w:sz w:val="24"/>
                <w:highlight w:val="none"/>
              </w:rPr>
              <w:t>（6）其他要求（如有）：_________。</w:t>
            </w:r>
          </w:p>
        </w:tc>
      </w:tr>
      <w:tr w14:paraId="2EE0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vAlign w:val="center"/>
          </w:tcPr>
          <w:p w14:paraId="515F959A">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vAlign w:val="center"/>
          </w:tcPr>
          <w:p w14:paraId="66FA667F">
            <w:pPr>
              <w:spacing w:line="360" w:lineRule="auto"/>
              <w:jc w:val="center"/>
              <w:rPr>
                <w:color w:val="auto"/>
                <w:sz w:val="24"/>
                <w:highlight w:val="none"/>
              </w:rPr>
            </w:pPr>
            <w:r>
              <w:rPr>
                <w:color w:val="auto"/>
                <w:sz w:val="24"/>
                <w:highlight w:val="none"/>
              </w:rPr>
              <w:t>标的所属行业</w:t>
            </w:r>
          </w:p>
        </w:tc>
        <w:tc>
          <w:tcPr>
            <w:tcW w:w="7540" w:type="dxa"/>
            <w:vAlign w:val="center"/>
          </w:tcPr>
          <w:p w14:paraId="6FADAF68">
            <w:pPr>
              <w:spacing w:line="360" w:lineRule="auto"/>
              <w:jc w:val="left"/>
              <w:rPr>
                <w:color w:val="auto"/>
                <w:sz w:val="24"/>
                <w:highlight w:val="none"/>
              </w:rPr>
            </w:pPr>
            <w:r>
              <w:rPr>
                <w:color w:val="auto"/>
                <w:sz w:val="24"/>
                <w:highlight w:val="none"/>
              </w:rPr>
              <w:t>本项目采购标的对应的中小企业划分标准所属行业：</w:t>
            </w:r>
          </w:p>
          <w:tbl>
            <w:tblPr>
              <w:tblStyle w:val="43"/>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3F7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3D147C8">
                  <w:pPr>
                    <w:spacing w:line="360" w:lineRule="auto"/>
                    <w:jc w:val="center"/>
                    <w:rPr>
                      <w:rFonts w:eastAsiaTheme="minorEastAsia"/>
                      <w:bCs/>
                      <w:color w:val="auto"/>
                      <w:sz w:val="24"/>
                      <w:highlight w:val="none"/>
                    </w:rPr>
                  </w:pPr>
                  <w:r>
                    <w:rPr>
                      <w:rFonts w:hint="eastAsia" w:ascii="宋体" w:hAnsi="宋体" w:eastAsia="宋体" w:cs="宋体"/>
                      <w:color w:val="auto"/>
                      <w:spacing w:val="-2"/>
                      <w:sz w:val="24"/>
                      <w:szCs w:val="24"/>
                      <w:highlight w:val="none"/>
                      <w:lang w:val="en-US" w:eastAsia="zh-CN"/>
                    </w:rPr>
                    <w:t>序号</w:t>
                  </w:r>
                </w:p>
              </w:tc>
              <w:tc>
                <w:tcPr>
                  <w:tcW w:w="2800" w:type="dxa"/>
                  <w:tcBorders>
                    <w:top w:val="single" w:color="auto" w:sz="4" w:space="0"/>
                    <w:left w:val="single" w:color="auto" w:sz="4" w:space="0"/>
                    <w:bottom w:val="single" w:color="auto" w:sz="4" w:space="0"/>
                    <w:right w:val="single" w:color="auto" w:sz="4" w:space="0"/>
                  </w:tcBorders>
                  <w:vAlign w:val="center"/>
                </w:tcPr>
                <w:p w14:paraId="65A4F784">
                  <w:pPr>
                    <w:spacing w:line="360" w:lineRule="auto"/>
                    <w:jc w:val="center"/>
                    <w:rPr>
                      <w:rFonts w:eastAsiaTheme="minorEastAsia"/>
                      <w:bCs/>
                      <w:color w:val="auto"/>
                      <w:sz w:val="24"/>
                      <w:highlight w:val="none"/>
                    </w:rPr>
                  </w:pPr>
                  <w:r>
                    <w:rPr>
                      <w:rFonts w:eastAsiaTheme="minorEastAsia"/>
                      <w:bCs/>
                      <w:color w:val="auto"/>
                      <w:sz w:val="24"/>
                      <w:highlight w:val="none"/>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718AD858">
                  <w:pPr>
                    <w:spacing w:line="360" w:lineRule="auto"/>
                    <w:jc w:val="center"/>
                    <w:rPr>
                      <w:rFonts w:eastAsiaTheme="minorEastAsia"/>
                      <w:color w:val="auto"/>
                      <w:sz w:val="24"/>
                      <w:highlight w:val="none"/>
                    </w:rPr>
                  </w:pPr>
                  <w:r>
                    <w:rPr>
                      <w:rFonts w:eastAsiaTheme="minorEastAsia"/>
                      <w:color w:val="auto"/>
                      <w:sz w:val="24"/>
                      <w:highlight w:val="none"/>
                    </w:rPr>
                    <w:t>中小企业划分标准所属行业</w:t>
                  </w:r>
                </w:p>
              </w:tc>
            </w:tr>
            <w:tr w14:paraId="3500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E0DC47A">
                  <w:pPr>
                    <w:numPr>
                      <w:ilvl w:val="0"/>
                      <w:numId w:val="9"/>
                    </w:numPr>
                    <w:spacing w:line="360" w:lineRule="auto"/>
                    <w:ind w:left="425" w:leftChars="0" w:hanging="425" w:firstLineChars="0"/>
                    <w:jc w:val="center"/>
                    <w:rPr>
                      <w:rFonts w:hint="eastAsia" w:eastAsiaTheme="minorEastAsia"/>
                      <w:bCs/>
                      <w:color w:val="auto"/>
                      <w:sz w:val="24"/>
                      <w:highlight w:val="none"/>
                      <w:lang w:val="en-US" w:eastAsia="zh-CN"/>
                    </w:rPr>
                  </w:pPr>
                </w:p>
              </w:tc>
              <w:tc>
                <w:tcPr>
                  <w:tcW w:w="2800" w:type="dxa"/>
                  <w:tcBorders>
                    <w:top w:val="single" w:color="auto" w:sz="4" w:space="0"/>
                    <w:left w:val="single" w:color="auto" w:sz="4" w:space="0"/>
                    <w:bottom w:val="single" w:color="auto" w:sz="4" w:space="0"/>
                    <w:right w:val="single" w:color="auto" w:sz="4" w:space="0"/>
                  </w:tcBorders>
                  <w:vAlign w:val="center"/>
                </w:tcPr>
                <w:p w14:paraId="5B6D9F7A">
                  <w:pPr>
                    <w:spacing w:line="360" w:lineRule="auto"/>
                    <w:jc w:val="center"/>
                    <w:rPr>
                      <w:rFonts w:hint="default" w:eastAsiaTheme="minorEastAsia"/>
                      <w:color w:val="auto"/>
                      <w:kern w:val="0"/>
                      <w:sz w:val="24"/>
                      <w:highlight w:val="none"/>
                      <w:lang w:val="en-US" w:eastAsia="zh-CN"/>
                    </w:rPr>
                  </w:pPr>
                  <w:r>
                    <w:rPr>
                      <w:rFonts w:hint="eastAsia" w:ascii="宋体" w:hAnsi="宋体" w:eastAsiaTheme="minorEastAsia"/>
                      <w:sz w:val="24"/>
                      <w:lang w:val="en-US" w:eastAsia="zh-CN"/>
                    </w:rPr>
                    <w:t>学生公寓标准化管理</w:t>
                  </w:r>
                </w:p>
              </w:tc>
              <w:tc>
                <w:tcPr>
                  <w:tcW w:w="3239" w:type="dxa"/>
                  <w:tcBorders>
                    <w:top w:val="single" w:color="auto" w:sz="4" w:space="0"/>
                    <w:left w:val="single" w:color="auto" w:sz="4" w:space="0"/>
                    <w:bottom w:val="single" w:color="auto" w:sz="4" w:space="0"/>
                    <w:right w:val="single" w:color="auto" w:sz="4" w:space="0"/>
                  </w:tcBorders>
                  <w:vAlign w:val="center"/>
                </w:tcPr>
                <w:p w14:paraId="516D57E2">
                  <w:pPr>
                    <w:spacing w:line="360" w:lineRule="auto"/>
                    <w:jc w:val="center"/>
                    <w:rPr>
                      <w:rFonts w:hint="default" w:eastAsiaTheme="minorEastAsia"/>
                      <w:color w:val="auto"/>
                      <w:kern w:val="0"/>
                      <w:sz w:val="24"/>
                      <w:highlight w:val="none"/>
                      <w:lang w:val="en-US" w:eastAsia="zh-CN"/>
                    </w:rPr>
                  </w:pPr>
                  <w:r>
                    <w:rPr>
                      <w:rFonts w:hint="eastAsia" w:eastAsiaTheme="minorEastAsia"/>
                      <w:color w:val="auto"/>
                      <w:kern w:val="0"/>
                      <w:sz w:val="24"/>
                      <w:highlight w:val="none"/>
                      <w:lang w:val="en-US" w:eastAsia="zh-CN"/>
                    </w:rPr>
                    <w:t>物业管理</w:t>
                  </w:r>
                </w:p>
              </w:tc>
            </w:tr>
          </w:tbl>
          <w:p w14:paraId="55B319A2">
            <w:pPr>
              <w:spacing w:line="360" w:lineRule="auto"/>
              <w:jc w:val="left"/>
              <w:rPr>
                <w:color w:val="auto"/>
                <w:sz w:val="24"/>
                <w:highlight w:val="none"/>
              </w:rPr>
            </w:pPr>
          </w:p>
        </w:tc>
      </w:tr>
      <w:tr w14:paraId="0327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FD2B7DC">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highlight w:val="none"/>
              </w:rPr>
              <w:br w:type="page"/>
            </w:r>
            <w:r>
              <w:rPr>
                <w:rFonts w:hint="default" w:ascii="Times New Roman" w:hAnsi="Times New Roman"/>
                <w:color w:val="auto"/>
                <w:sz w:val="24"/>
                <w:szCs w:val="24"/>
                <w:highlight w:val="none"/>
              </w:rPr>
              <w:t>11.2</w:t>
            </w:r>
          </w:p>
        </w:tc>
        <w:tc>
          <w:tcPr>
            <w:tcW w:w="1701" w:type="dxa"/>
            <w:vAlign w:val="center"/>
          </w:tcPr>
          <w:p w14:paraId="7EFAB8CF">
            <w:pPr>
              <w:spacing w:line="360" w:lineRule="auto"/>
              <w:jc w:val="center"/>
              <w:rPr>
                <w:color w:val="auto"/>
                <w:sz w:val="24"/>
                <w:highlight w:val="none"/>
              </w:rPr>
            </w:pPr>
            <w:r>
              <w:rPr>
                <w:color w:val="auto"/>
                <w:sz w:val="24"/>
                <w:highlight w:val="none"/>
              </w:rPr>
              <w:t>投标报价</w:t>
            </w:r>
          </w:p>
        </w:tc>
        <w:tc>
          <w:tcPr>
            <w:tcW w:w="7540" w:type="dxa"/>
            <w:vAlign w:val="center"/>
          </w:tcPr>
          <w:p w14:paraId="744B9E90">
            <w:pPr>
              <w:spacing w:line="360" w:lineRule="auto"/>
              <w:jc w:val="left"/>
              <w:rPr>
                <w:color w:val="auto"/>
                <w:sz w:val="24"/>
                <w:highlight w:val="none"/>
              </w:rPr>
            </w:pPr>
            <w:r>
              <w:rPr>
                <w:color w:val="auto"/>
                <w:sz w:val="24"/>
                <w:highlight w:val="none"/>
              </w:rPr>
              <w:t>投标报价的特殊规定：</w:t>
            </w:r>
          </w:p>
          <w:p w14:paraId="1474FB23">
            <w:pPr>
              <w:spacing w:line="360" w:lineRule="auto"/>
              <w:jc w:val="left"/>
              <w:rPr>
                <w:color w:val="auto"/>
                <w:sz w:val="24"/>
                <w:highlight w:val="none"/>
              </w:rPr>
            </w:pPr>
            <w:r>
              <w:rPr>
                <w:rFonts w:hint="eastAsia" w:ascii="宋体" w:hAnsi="宋体" w:eastAsia="宋体" w:cs="宋体"/>
                <w:color w:val="auto"/>
                <w:sz w:val="24"/>
                <w:highlight w:val="none"/>
              </w:rPr>
              <w:t>■</w:t>
            </w:r>
            <w:r>
              <w:rPr>
                <w:color w:val="auto"/>
                <w:sz w:val="24"/>
                <w:highlight w:val="none"/>
              </w:rPr>
              <w:t>无</w:t>
            </w:r>
          </w:p>
          <w:p w14:paraId="311714EC">
            <w:pPr>
              <w:spacing w:line="360" w:lineRule="auto"/>
              <w:jc w:val="left"/>
              <w:rPr>
                <w:color w:val="auto"/>
                <w:sz w:val="24"/>
                <w:highlight w:val="none"/>
              </w:rPr>
            </w:pPr>
            <w:r>
              <w:rPr>
                <w:color w:val="auto"/>
                <w:sz w:val="24"/>
                <w:highlight w:val="none"/>
              </w:rPr>
              <w:t>□有，具体情形：_____。</w:t>
            </w:r>
          </w:p>
        </w:tc>
      </w:tr>
      <w:tr w14:paraId="1E3E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017DEF6">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11E8AB3A">
            <w:pPr>
              <w:spacing w:line="360" w:lineRule="auto"/>
              <w:jc w:val="center"/>
              <w:rPr>
                <w:color w:val="auto"/>
                <w:sz w:val="24"/>
                <w:highlight w:val="none"/>
              </w:rPr>
            </w:pPr>
            <w:r>
              <w:rPr>
                <w:color w:val="auto"/>
                <w:sz w:val="24"/>
                <w:highlight w:val="none"/>
              </w:rPr>
              <w:t>投标保证金</w:t>
            </w:r>
          </w:p>
        </w:tc>
        <w:tc>
          <w:tcPr>
            <w:tcW w:w="7540" w:type="dxa"/>
            <w:vAlign w:val="center"/>
          </w:tcPr>
          <w:p w14:paraId="3AD0B450">
            <w:pPr>
              <w:pStyle w:val="24"/>
              <w:adjustRightInd w:val="0"/>
              <w:snapToGrid w:val="0"/>
              <w:spacing w:line="360" w:lineRule="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投标保证金金额：</w:t>
            </w:r>
            <w:r>
              <w:rPr>
                <w:rFonts w:hint="eastAsia" w:ascii="Times New Roman" w:hAnsi="Times New Roman" w:cs="Times New Roman"/>
                <w:b/>
                <w:bCs/>
                <w:color w:val="auto"/>
                <w:sz w:val="24"/>
                <w:szCs w:val="24"/>
                <w:u w:val="single"/>
                <w:lang w:val="en-US" w:eastAsia="zh-CN"/>
              </w:rPr>
              <w:t>50</w:t>
            </w:r>
            <w:r>
              <w:rPr>
                <w:rFonts w:hint="eastAsia" w:ascii="Times New Roman" w:hAnsi="Times New Roman" w:eastAsia="宋体" w:cs="Times New Roman"/>
                <w:b/>
                <w:bCs/>
                <w:color w:val="auto"/>
                <w:sz w:val="24"/>
                <w:szCs w:val="24"/>
                <w:u w:val="single"/>
                <w:lang w:val="en-US" w:eastAsia="zh-CN"/>
              </w:rPr>
              <w:t>000元</w:t>
            </w:r>
            <w:r>
              <w:rPr>
                <w:rFonts w:hint="eastAsia" w:ascii="Times New Roman" w:hAnsi="Times New Roman" w:cs="Times New Roman"/>
                <w:b/>
                <w:bCs/>
                <w:color w:val="auto"/>
                <w:sz w:val="24"/>
                <w:szCs w:val="24"/>
                <w:u w:val="single"/>
                <w:lang w:val="en-US" w:eastAsia="zh-CN"/>
              </w:rPr>
              <w:t>（</w:t>
            </w:r>
            <w:r>
              <w:rPr>
                <w:rFonts w:hint="eastAsia" w:ascii="Times New Roman" w:hAnsi="Times New Roman" w:eastAsia="宋体" w:cs="Times New Roman"/>
                <w:b/>
                <w:bCs/>
                <w:color w:val="auto"/>
                <w:sz w:val="24"/>
                <w:szCs w:val="24"/>
                <w:u w:val="single"/>
                <w:lang w:val="en-US" w:eastAsia="zh-CN"/>
              </w:rPr>
              <w:t>人民币</w:t>
            </w:r>
            <w:r>
              <w:rPr>
                <w:rFonts w:hint="eastAsia" w:ascii="Times New Roman" w:hAnsi="Times New Roman" w:cs="Times New Roman"/>
                <w:b/>
                <w:bCs/>
                <w:color w:val="auto"/>
                <w:sz w:val="24"/>
                <w:szCs w:val="24"/>
                <w:u w:val="single"/>
                <w:lang w:val="en-US" w:eastAsia="zh-CN"/>
              </w:rPr>
              <w:t>大写：伍</w:t>
            </w:r>
            <w:r>
              <w:rPr>
                <w:rFonts w:hint="eastAsia" w:ascii="Times New Roman" w:hAnsi="Times New Roman" w:eastAsia="宋体" w:cs="Times New Roman"/>
                <w:b/>
                <w:bCs/>
                <w:color w:val="auto"/>
                <w:sz w:val="24"/>
                <w:szCs w:val="24"/>
                <w:u w:val="single"/>
                <w:lang w:val="en-US" w:eastAsia="zh-CN"/>
              </w:rPr>
              <w:t>万元整</w:t>
            </w:r>
            <w:r>
              <w:rPr>
                <w:rFonts w:hint="eastAsia" w:ascii="Times New Roman" w:hAnsi="Times New Roman" w:cs="Times New Roman"/>
                <w:b/>
                <w:bCs/>
                <w:color w:val="auto"/>
                <w:sz w:val="24"/>
                <w:szCs w:val="24"/>
                <w:u w:val="single"/>
                <w:lang w:val="en-US" w:eastAsia="zh-CN"/>
              </w:rPr>
              <w:t>）。</w:t>
            </w:r>
          </w:p>
          <w:p w14:paraId="45BF7F6A">
            <w:pPr>
              <w:spacing w:before="36" w:line="360" w:lineRule="auto"/>
              <w:ind w:left="117"/>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递交时间：同</w:t>
            </w:r>
            <w:r>
              <w:rPr>
                <w:rFonts w:hint="eastAsia" w:ascii="宋体" w:hAnsi="宋体" w:eastAsia="宋体" w:cs="宋体"/>
                <w:color w:val="auto"/>
                <w:spacing w:val="-10"/>
                <w:sz w:val="24"/>
                <w:szCs w:val="24"/>
                <w:highlight w:val="none"/>
                <w:lang w:eastAsia="zh-CN"/>
              </w:rPr>
              <w:t>投标</w:t>
            </w:r>
            <w:r>
              <w:rPr>
                <w:rFonts w:hint="eastAsia" w:ascii="宋体" w:hAnsi="宋体" w:eastAsia="宋体" w:cs="宋体"/>
                <w:color w:val="auto"/>
                <w:spacing w:val="-10"/>
                <w:sz w:val="24"/>
                <w:szCs w:val="24"/>
                <w:highlight w:val="none"/>
              </w:rPr>
              <w:t>文件递交截止时间，逾期未到账视为未提交保证金。</w:t>
            </w:r>
          </w:p>
          <w:p w14:paraId="14EE12A2">
            <w:pPr>
              <w:spacing w:before="36" w:line="360" w:lineRule="auto"/>
              <w:ind w:left="117"/>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递交地点：同</w:t>
            </w:r>
            <w:r>
              <w:rPr>
                <w:rFonts w:hint="eastAsia" w:ascii="宋体" w:hAnsi="宋体" w:eastAsia="宋体" w:cs="宋体"/>
                <w:color w:val="auto"/>
                <w:spacing w:val="-10"/>
                <w:sz w:val="24"/>
                <w:szCs w:val="24"/>
                <w:highlight w:val="none"/>
                <w:lang w:eastAsia="zh-CN"/>
              </w:rPr>
              <w:t>投标</w:t>
            </w:r>
            <w:r>
              <w:rPr>
                <w:rFonts w:hint="eastAsia" w:ascii="宋体" w:hAnsi="宋体" w:eastAsia="宋体" w:cs="宋体"/>
                <w:color w:val="auto"/>
                <w:spacing w:val="-10"/>
                <w:sz w:val="24"/>
                <w:szCs w:val="24"/>
                <w:highlight w:val="none"/>
              </w:rPr>
              <w:t>文件。</w:t>
            </w:r>
          </w:p>
          <w:p w14:paraId="24ED5B0D">
            <w:pPr>
              <w:spacing w:before="36" w:line="360" w:lineRule="auto"/>
              <w:ind w:left="117"/>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投标</w:t>
            </w:r>
            <w:r>
              <w:rPr>
                <w:rFonts w:hint="eastAsia" w:ascii="宋体" w:hAnsi="宋体" w:eastAsia="宋体" w:cs="宋体"/>
                <w:color w:val="auto"/>
                <w:spacing w:val="-10"/>
                <w:sz w:val="24"/>
                <w:szCs w:val="24"/>
                <w:highlight w:val="none"/>
              </w:rPr>
              <w:t>保证金方式：支票、汇票、本票或者金融机构、担保机构出具的保函等非现金形式。</w:t>
            </w:r>
          </w:p>
          <w:p w14:paraId="5F374EEC">
            <w:pPr>
              <w:pStyle w:val="12"/>
              <w:spacing w:line="360" w:lineRule="auto"/>
              <w:ind w:firstLine="0"/>
              <w:rPr>
                <w:rFonts w:hint="eastAsia" w:eastAsia="宋体"/>
                <w:b/>
                <w:bCs/>
                <w:color w:val="auto"/>
                <w:highlight w:val="none"/>
                <w:lang w:eastAsia="zh-CN"/>
              </w:rPr>
            </w:pPr>
            <w:r>
              <w:rPr>
                <w:rFonts w:hint="eastAsia"/>
                <w:b/>
                <w:bCs/>
                <w:color w:val="auto"/>
                <w:highlight w:val="none"/>
              </w:rPr>
              <w:t>请</w:t>
            </w:r>
            <w:r>
              <w:rPr>
                <w:rFonts w:hint="eastAsia" w:eastAsia="宋体"/>
                <w:b/>
                <w:bCs/>
                <w:color w:val="auto"/>
                <w:highlight w:val="none"/>
                <w:lang w:val="en-US" w:eastAsia="zh-CN"/>
              </w:rPr>
              <w:t>投标人</w:t>
            </w:r>
            <w:r>
              <w:rPr>
                <w:rFonts w:hint="eastAsia"/>
                <w:b/>
                <w:bCs/>
                <w:color w:val="auto"/>
                <w:highlight w:val="none"/>
              </w:rPr>
              <w:t>在汇款时务必注明所投标项目的</w:t>
            </w:r>
            <w:r>
              <w:rPr>
                <w:rFonts w:hint="eastAsia" w:eastAsia="宋体"/>
                <w:b/>
                <w:bCs/>
                <w:color w:val="auto"/>
                <w:highlight w:val="none"/>
                <w:lang w:val="en-US" w:eastAsia="zh-CN"/>
              </w:rPr>
              <w:t>项目代理编号</w:t>
            </w:r>
            <w:r>
              <w:rPr>
                <w:rFonts w:hint="eastAsia"/>
                <w:b/>
                <w:bCs/>
                <w:color w:val="auto"/>
                <w:highlight w:val="none"/>
              </w:rPr>
              <w:t>，否则，因款项用途不明导致投标无效等后果由</w:t>
            </w:r>
            <w:r>
              <w:rPr>
                <w:rFonts w:hint="eastAsia" w:eastAsia="宋体"/>
                <w:b/>
                <w:bCs/>
                <w:color w:val="auto"/>
                <w:highlight w:val="none"/>
                <w:lang w:val="en-US" w:eastAsia="zh-CN"/>
              </w:rPr>
              <w:t>投标人</w:t>
            </w:r>
            <w:r>
              <w:rPr>
                <w:rFonts w:hint="eastAsia"/>
                <w:b/>
                <w:bCs/>
                <w:color w:val="auto"/>
                <w:highlight w:val="none"/>
              </w:rPr>
              <w:t>自行承担</w:t>
            </w:r>
            <w:r>
              <w:rPr>
                <w:rFonts w:hint="eastAsia" w:eastAsia="宋体"/>
                <w:b/>
                <w:bCs/>
                <w:color w:val="auto"/>
                <w:highlight w:val="none"/>
                <w:lang w:eastAsia="zh-CN"/>
              </w:rPr>
              <w:t>。</w:t>
            </w:r>
          </w:p>
          <w:p w14:paraId="6A39C6D6">
            <w:pPr>
              <w:pStyle w:val="12"/>
              <w:spacing w:line="360" w:lineRule="auto"/>
              <w:ind w:left="0" w:firstLine="0"/>
              <w:rPr>
                <w:rFonts w:hint="eastAsia" w:ascii="宋体" w:hAnsi="宋体" w:eastAsia="宋体" w:cs="宋体"/>
                <w:b/>
                <w:bCs/>
                <w:color w:val="auto"/>
                <w:spacing w:val="-10"/>
                <w:sz w:val="24"/>
                <w:szCs w:val="24"/>
                <w:highlight w:val="none"/>
              </w:rPr>
            </w:pPr>
            <w:r>
              <w:rPr>
                <w:rFonts w:hint="eastAsia" w:eastAsia="宋体"/>
                <w:b/>
                <w:bCs/>
                <w:color w:val="auto"/>
                <w:highlight w:val="none"/>
                <w:lang w:eastAsia="zh-CN"/>
              </w:rPr>
              <w:t>请各</w:t>
            </w:r>
            <w:r>
              <w:rPr>
                <w:rFonts w:hint="eastAsia" w:eastAsia="宋体"/>
                <w:b/>
                <w:bCs/>
                <w:color w:val="auto"/>
                <w:highlight w:val="none"/>
                <w:lang w:val="en-US" w:eastAsia="zh-CN"/>
              </w:rPr>
              <w:t>投标人</w:t>
            </w:r>
            <w:r>
              <w:rPr>
                <w:rFonts w:hint="eastAsia" w:eastAsia="宋体"/>
                <w:b/>
                <w:bCs/>
                <w:color w:val="auto"/>
                <w:highlight w:val="none"/>
                <w:lang w:eastAsia="zh-CN"/>
              </w:rPr>
              <w:t>在</w:t>
            </w:r>
            <w:r>
              <w:rPr>
                <w:rFonts w:hint="eastAsia" w:eastAsia="宋体"/>
                <w:b/>
                <w:bCs/>
                <w:color w:val="auto"/>
                <w:highlight w:val="none"/>
                <w:lang w:val="en-US" w:eastAsia="zh-CN"/>
              </w:rPr>
              <w:t>递交文件</w:t>
            </w:r>
            <w:r>
              <w:rPr>
                <w:rFonts w:hint="eastAsia" w:eastAsia="宋体"/>
                <w:b/>
                <w:bCs/>
                <w:color w:val="auto"/>
                <w:highlight w:val="none"/>
                <w:lang w:eastAsia="zh-CN"/>
              </w:rPr>
              <w:t>截止时间前3日，按</w:t>
            </w:r>
            <w:r>
              <w:rPr>
                <w:rFonts w:hint="eastAsia" w:eastAsia="宋体"/>
                <w:b/>
                <w:bCs/>
                <w:color w:val="auto"/>
                <w:highlight w:val="none"/>
                <w:lang w:val="en-US" w:eastAsia="zh-CN"/>
              </w:rPr>
              <w:t>招标</w:t>
            </w:r>
            <w:r>
              <w:rPr>
                <w:rFonts w:hint="eastAsia" w:eastAsia="宋体"/>
                <w:b/>
                <w:bCs/>
                <w:color w:val="auto"/>
                <w:highlight w:val="none"/>
                <w:lang w:eastAsia="zh-CN"/>
              </w:rPr>
              <w:t>文件的要求向招标代理机构递交</w:t>
            </w:r>
            <w:r>
              <w:rPr>
                <w:rFonts w:hint="eastAsia" w:eastAsia="宋体"/>
                <w:b/>
                <w:bCs/>
                <w:color w:val="auto"/>
                <w:highlight w:val="none"/>
                <w:lang w:val="en-US" w:eastAsia="zh-CN"/>
              </w:rPr>
              <w:t>投标</w:t>
            </w:r>
            <w:r>
              <w:rPr>
                <w:rFonts w:hint="eastAsia" w:eastAsia="宋体"/>
                <w:b/>
                <w:bCs/>
                <w:color w:val="auto"/>
                <w:highlight w:val="none"/>
                <w:lang w:eastAsia="zh-CN"/>
              </w:rPr>
              <w:t>保证金，</w:t>
            </w:r>
            <w:r>
              <w:rPr>
                <w:rFonts w:hint="eastAsia" w:eastAsia="宋体"/>
                <w:b/>
                <w:bCs/>
                <w:color w:val="auto"/>
                <w:highlight w:val="none"/>
                <w:lang w:val="en-US" w:eastAsia="zh-CN"/>
              </w:rPr>
              <w:t>递交文件</w:t>
            </w:r>
            <w:r>
              <w:rPr>
                <w:rFonts w:hint="eastAsia" w:eastAsia="宋体"/>
                <w:b/>
                <w:bCs/>
                <w:color w:val="auto"/>
                <w:highlight w:val="none"/>
                <w:lang w:eastAsia="zh-CN"/>
              </w:rPr>
              <w:t>截止时间之后递交的</w:t>
            </w:r>
            <w:r>
              <w:rPr>
                <w:rFonts w:hint="eastAsia" w:eastAsia="宋体"/>
                <w:b/>
                <w:bCs/>
                <w:color w:val="auto"/>
                <w:highlight w:val="none"/>
                <w:lang w:val="en-US" w:eastAsia="zh-CN"/>
              </w:rPr>
              <w:t>投标</w:t>
            </w:r>
            <w:r>
              <w:rPr>
                <w:rFonts w:hint="eastAsia" w:eastAsia="宋体"/>
                <w:b/>
                <w:bCs/>
                <w:color w:val="auto"/>
                <w:highlight w:val="none"/>
                <w:lang w:eastAsia="zh-CN"/>
              </w:rPr>
              <w:t>保证金将被拒绝。</w:t>
            </w:r>
          </w:p>
          <w:p w14:paraId="5150E206">
            <w:pPr>
              <w:spacing w:before="36" w:line="360" w:lineRule="auto"/>
              <w:ind w:left="117"/>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投标</w:t>
            </w:r>
            <w:r>
              <w:rPr>
                <w:rFonts w:hint="eastAsia" w:ascii="宋体" w:hAnsi="宋体" w:eastAsia="宋体" w:cs="宋体"/>
                <w:color w:val="auto"/>
                <w:spacing w:val="-10"/>
                <w:sz w:val="24"/>
                <w:szCs w:val="24"/>
                <w:highlight w:val="none"/>
              </w:rPr>
              <w:t>保证金收受人信息：</w:t>
            </w:r>
          </w:p>
          <w:p w14:paraId="43208B0F">
            <w:pPr>
              <w:spacing w:line="360" w:lineRule="auto"/>
              <w:rPr>
                <w:rFonts w:hint="eastAsia" w:ascii="宋体" w:hAnsi="宋体" w:eastAsia="宋体" w:cs="Times New Roman"/>
                <w:b/>
                <w:color w:val="auto"/>
                <w:sz w:val="24"/>
                <w:highlight w:val="none"/>
                <w:u w:val="single"/>
                <w:lang w:val="en-US" w:eastAsia="zh-CN"/>
              </w:rPr>
            </w:pPr>
            <w:r>
              <w:rPr>
                <w:rFonts w:hint="eastAsia" w:ascii="宋体" w:hAnsi="宋体" w:eastAsia="宋体" w:cs="Times New Roman"/>
                <w:b/>
                <w:color w:val="auto"/>
                <w:sz w:val="24"/>
                <w:highlight w:val="none"/>
              </w:rPr>
              <w:t>开户行名称：国信招标集团股份有限公司北京第二分公司</w:t>
            </w:r>
            <w:r>
              <w:rPr>
                <w:rFonts w:hint="eastAsia" w:ascii="宋体" w:hAnsi="宋体" w:cs="Times New Roman"/>
                <w:b/>
                <w:color w:val="auto"/>
                <w:sz w:val="24"/>
                <w:highlight w:val="none"/>
                <w:lang w:val="en-US" w:eastAsia="zh-CN"/>
              </w:rPr>
              <w:t xml:space="preserve"> </w:t>
            </w:r>
          </w:p>
          <w:p w14:paraId="58E55C1B">
            <w:pPr>
              <w:spacing w:line="360" w:lineRule="auto"/>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开户行：招商银行北京分行西直门支行</w:t>
            </w:r>
            <w:r>
              <w:rPr>
                <w:rFonts w:hint="eastAsia" w:ascii="宋体" w:hAnsi="宋体" w:cs="Times New Roman"/>
                <w:b/>
                <w:color w:val="auto"/>
                <w:sz w:val="24"/>
                <w:highlight w:val="none"/>
                <w:lang w:val="en-US" w:eastAsia="zh-CN"/>
              </w:rPr>
              <w:t xml:space="preserve"> </w:t>
            </w:r>
          </w:p>
          <w:p w14:paraId="7369FBF4">
            <w:pPr>
              <w:spacing w:line="360" w:lineRule="auto"/>
              <w:rPr>
                <w:rFonts w:hint="default" w:ascii="宋体" w:hAnsi="宋体" w:eastAsia="宋体" w:cs="Times New Roman"/>
                <w:b/>
                <w:color w:val="auto"/>
                <w:sz w:val="24"/>
                <w:highlight w:val="none"/>
                <w:u w:val="single"/>
                <w:lang w:val="en-US" w:eastAsia="zh-CN"/>
              </w:rPr>
            </w:pPr>
            <w:r>
              <w:rPr>
                <w:rFonts w:hint="eastAsia" w:ascii="宋体" w:hAnsi="宋体" w:eastAsia="宋体" w:cs="Times New Roman"/>
                <w:b/>
                <w:color w:val="auto"/>
                <w:sz w:val="24"/>
                <w:highlight w:val="none"/>
              </w:rPr>
              <w:t>账号</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lang w:val="en-US" w:eastAsia="zh-CN"/>
              </w:rPr>
              <w:t>虚拟账号</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w:t>
            </w:r>
            <w:r>
              <w:rPr>
                <w:rFonts w:hint="eastAsia" w:ascii="宋体" w:hAnsi="宋体" w:eastAsia="宋体" w:cs="宋体"/>
                <w:b/>
                <w:bCs/>
                <w:color w:val="auto"/>
                <w:spacing w:val="-10"/>
                <w:sz w:val="24"/>
                <w:szCs w:val="24"/>
                <w:highlight w:val="none"/>
                <w:u w:val="single"/>
              </w:rPr>
              <w:t>1109483075106012500007721</w:t>
            </w:r>
            <w:r>
              <w:rPr>
                <w:rFonts w:hint="eastAsia" w:ascii="宋体" w:hAnsi="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 xml:space="preserve"> </w:t>
            </w:r>
          </w:p>
          <w:p w14:paraId="211A1ABE">
            <w:pPr>
              <w:spacing w:line="360" w:lineRule="auto"/>
              <w:jc w:val="left"/>
              <w:rPr>
                <w:color w:val="auto"/>
                <w:sz w:val="24"/>
                <w:highlight w:val="none"/>
              </w:rPr>
            </w:pPr>
            <w:r>
              <w:rPr>
                <w:rFonts w:hint="eastAsia" w:ascii="宋体" w:hAnsi="宋体" w:eastAsia="宋体" w:cs="Times New Roman"/>
                <w:b/>
                <w:color w:val="auto"/>
                <w:sz w:val="24"/>
                <w:highlight w:val="none"/>
                <w:shd w:val="clear"/>
              </w:rPr>
              <w:t>在</w:t>
            </w:r>
            <w:r>
              <w:rPr>
                <w:rFonts w:hint="eastAsia" w:ascii="宋体" w:hAnsi="宋体" w:eastAsia="宋体" w:cs="Times New Roman"/>
                <w:b/>
                <w:color w:val="auto"/>
                <w:sz w:val="24"/>
                <w:highlight w:val="none"/>
                <w:shd w:val="clear"/>
                <w:lang w:val="en-US" w:eastAsia="zh-CN"/>
              </w:rPr>
              <w:t>用途</w:t>
            </w:r>
            <w:r>
              <w:rPr>
                <w:rFonts w:hint="eastAsia" w:ascii="宋体" w:hAnsi="宋体" w:eastAsia="宋体" w:cs="Times New Roman"/>
                <w:b/>
                <w:color w:val="auto"/>
                <w:sz w:val="24"/>
                <w:highlight w:val="none"/>
                <w:shd w:val="clear"/>
              </w:rPr>
              <w:t>中</w:t>
            </w:r>
            <w:r>
              <w:rPr>
                <w:rFonts w:hint="eastAsia" w:ascii="宋体" w:hAnsi="宋体" w:eastAsia="宋体" w:cs="Times New Roman"/>
                <w:b/>
                <w:color w:val="auto"/>
                <w:sz w:val="24"/>
                <w:highlight w:val="none"/>
                <w:shd w:val="clear"/>
                <w:lang w:val="en-US" w:eastAsia="zh-CN"/>
              </w:rPr>
              <w:t>注明“</w:t>
            </w:r>
            <w:r>
              <w:rPr>
                <w:rFonts w:hint="eastAsia" w:ascii="宋体" w:hAnsi="宋体" w:eastAsia="宋体" w:cs="Times New Roman"/>
                <w:b/>
                <w:bCs w:val="0"/>
                <w:color w:val="auto"/>
                <w:sz w:val="24"/>
                <w:highlight w:val="none"/>
                <w:u w:val="single"/>
                <w:shd w:val="clear"/>
                <w:lang w:val="en-US" w:eastAsia="zh-CN"/>
              </w:rPr>
              <w:t>GXTC-C-251290069保证金</w:t>
            </w:r>
            <w:r>
              <w:rPr>
                <w:rFonts w:hint="eastAsia" w:ascii="宋体" w:hAnsi="宋体" w:eastAsia="宋体" w:cs="Times New Roman"/>
                <w:b/>
                <w:color w:val="auto"/>
                <w:sz w:val="24"/>
                <w:highlight w:val="none"/>
                <w:shd w:val="clear"/>
                <w:lang w:val="en-US" w:eastAsia="zh-CN"/>
              </w:rPr>
              <w:t>”。</w:t>
            </w:r>
          </w:p>
        </w:tc>
      </w:tr>
      <w:tr w14:paraId="2705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522810">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12.7.2</w:t>
            </w:r>
          </w:p>
        </w:tc>
        <w:tc>
          <w:tcPr>
            <w:tcW w:w="1701" w:type="dxa"/>
            <w:vMerge w:val="continue"/>
            <w:vAlign w:val="center"/>
          </w:tcPr>
          <w:p w14:paraId="34D0C890">
            <w:pPr>
              <w:spacing w:line="360" w:lineRule="auto"/>
              <w:jc w:val="center"/>
              <w:rPr>
                <w:color w:val="auto"/>
                <w:sz w:val="24"/>
                <w:highlight w:val="none"/>
              </w:rPr>
            </w:pPr>
          </w:p>
        </w:tc>
        <w:tc>
          <w:tcPr>
            <w:tcW w:w="7540" w:type="dxa"/>
            <w:vAlign w:val="center"/>
          </w:tcPr>
          <w:p w14:paraId="0EE893E1">
            <w:pPr>
              <w:spacing w:line="360" w:lineRule="auto"/>
              <w:jc w:val="left"/>
              <w:rPr>
                <w:color w:val="auto"/>
                <w:sz w:val="24"/>
                <w:highlight w:val="none"/>
              </w:rPr>
            </w:pPr>
            <w:r>
              <w:rPr>
                <w:color w:val="auto"/>
                <w:sz w:val="24"/>
                <w:highlight w:val="none"/>
              </w:rPr>
              <w:t>投标保证金可以不予退还的其他情形：</w:t>
            </w:r>
          </w:p>
          <w:p w14:paraId="27A4FBB6">
            <w:pPr>
              <w:spacing w:line="360" w:lineRule="auto"/>
              <w:jc w:val="left"/>
              <w:rPr>
                <w:color w:val="auto"/>
                <w:sz w:val="24"/>
                <w:highlight w:val="none"/>
              </w:rPr>
            </w:pPr>
            <w:r>
              <w:rPr>
                <w:color w:val="auto"/>
                <w:sz w:val="24"/>
                <w:highlight w:val="none"/>
              </w:rPr>
              <w:t>□无</w:t>
            </w:r>
          </w:p>
          <w:p w14:paraId="5DFCF304">
            <w:pPr>
              <w:spacing w:before="37" w:line="360" w:lineRule="auto"/>
              <w:rPr>
                <w:rFonts w:hint="default" w:ascii="Times New Roman" w:hAnsi="Times New Roman"/>
                <w:color w:val="auto"/>
                <w:sz w:val="24"/>
                <w:highlight w:val="none"/>
              </w:rPr>
            </w:pPr>
            <w:r>
              <w:rPr>
                <w:rFonts w:hint="eastAsia" w:ascii="宋体" w:hAnsi="宋体" w:eastAsia="宋体" w:cs="宋体"/>
                <w:color w:val="auto"/>
                <w:sz w:val="24"/>
                <w:highlight w:val="none"/>
              </w:rPr>
              <w:t>■有</w:t>
            </w:r>
            <w:r>
              <w:rPr>
                <w:rFonts w:hint="default" w:ascii="Times New Roman" w:hAnsi="Times New Roman"/>
                <w:color w:val="auto"/>
                <w:sz w:val="24"/>
                <w:highlight w:val="none"/>
              </w:rPr>
              <w:t>，具体情形：</w:t>
            </w:r>
          </w:p>
          <w:p w14:paraId="7641A036">
            <w:pPr>
              <w:spacing w:before="37" w:line="360" w:lineRule="auto"/>
              <w:ind w:left="117"/>
              <w:rPr>
                <w:rFonts w:hint="default" w:ascii="宋体" w:hAnsi="宋体" w:eastAsia="宋体" w:cs="宋体"/>
                <w:color w:val="auto"/>
                <w:spacing w:val="-6"/>
                <w:sz w:val="24"/>
                <w:szCs w:val="24"/>
                <w:highlight w:val="none"/>
              </w:rPr>
            </w:pPr>
            <w:r>
              <w:rPr>
                <w:rFonts w:hint="default" w:ascii="宋体" w:hAnsi="宋体" w:eastAsia="宋体" w:cs="宋体"/>
                <w:color w:val="auto"/>
                <w:spacing w:val="-6"/>
                <w:sz w:val="24"/>
                <w:szCs w:val="24"/>
                <w:highlight w:val="none"/>
              </w:rPr>
              <w:t>（1）在投标有效期内，供应商擅自撤销投标的；</w:t>
            </w:r>
          </w:p>
          <w:p w14:paraId="21E8B4C7">
            <w:pPr>
              <w:spacing w:before="37" w:line="360" w:lineRule="auto"/>
              <w:ind w:left="117"/>
              <w:rPr>
                <w:rFonts w:hint="default" w:ascii="宋体" w:hAnsi="宋体" w:eastAsia="宋体" w:cs="宋体"/>
                <w:color w:val="auto"/>
                <w:spacing w:val="-6"/>
                <w:sz w:val="24"/>
                <w:szCs w:val="24"/>
                <w:highlight w:val="none"/>
              </w:rPr>
            </w:pPr>
            <w:r>
              <w:rPr>
                <w:rFonts w:hint="default"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2</w:t>
            </w:r>
            <w:r>
              <w:rPr>
                <w:rFonts w:hint="default"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投标人</w:t>
            </w:r>
            <w:r>
              <w:rPr>
                <w:rFonts w:hint="default" w:ascii="宋体" w:hAnsi="宋体" w:eastAsia="宋体" w:cs="宋体"/>
                <w:color w:val="auto"/>
                <w:spacing w:val="-6"/>
                <w:sz w:val="24"/>
                <w:szCs w:val="24"/>
                <w:highlight w:val="none"/>
              </w:rPr>
              <w:t>未按规定与采购人签订合同的；</w:t>
            </w:r>
          </w:p>
          <w:p w14:paraId="5B685869">
            <w:pPr>
              <w:spacing w:before="37" w:line="360" w:lineRule="auto"/>
              <w:ind w:left="117"/>
              <w:rPr>
                <w:rFonts w:hint="default" w:ascii="宋体" w:hAnsi="宋体" w:eastAsia="宋体" w:cs="宋体"/>
                <w:color w:val="auto"/>
                <w:spacing w:val="-6"/>
                <w:sz w:val="24"/>
                <w:szCs w:val="24"/>
                <w:highlight w:val="none"/>
              </w:rPr>
            </w:pPr>
            <w:r>
              <w:rPr>
                <w:rFonts w:hint="default"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default"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投标人</w:t>
            </w:r>
            <w:r>
              <w:rPr>
                <w:rFonts w:hint="default" w:ascii="宋体" w:hAnsi="宋体" w:eastAsia="宋体" w:cs="宋体"/>
                <w:color w:val="auto"/>
                <w:spacing w:val="-6"/>
                <w:sz w:val="24"/>
                <w:szCs w:val="24"/>
                <w:highlight w:val="none"/>
              </w:rPr>
              <w:t>未按规定</w:t>
            </w:r>
            <w:r>
              <w:rPr>
                <w:rFonts w:hint="eastAsia" w:ascii="宋体" w:hAnsi="宋体" w:eastAsia="宋体" w:cs="宋体"/>
                <w:color w:val="auto"/>
                <w:spacing w:val="-6"/>
                <w:sz w:val="24"/>
                <w:szCs w:val="24"/>
                <w:highlight w:val="none"/>
                <w:lang w:eastAsia="zh-CN"/>
              </w:rPr>
              <w:t>提交</w:t>
            </w:r>
            <w:r>
              <w:rPr>
                <w:rFonts w:hint="default" w:ascii="宋体" w:hAnsi="宋体" w:eastAsia="宋体" w:cs="宋体"/>
                <w:color w:val="auto"/>
                <w:spacing w:val="-6"/>
                <w:sz w:val="24"/>
                <w:szCs w:val="24"/>
                <w:highlight w:val="none"/>
              </w:rPr>
              <w:t>履约保证金的；</w:t>
            </w:r>
          </w:p>
          <w:p w14:paraId="333E3B2D">
            <w:pPr>
              <w:pStyle w:val="24"/>
              <w:adjustRightInd w:val="0"/>
              <w:snapToGrid w:val="0"/>
              <w:spacing w:line="360" w:lineRule="auto"/>
              <w:ind w:firstLine="0" w:firstLineChars="0"/>
              <w:rPr>
                <w:rFonts w:hint="default" w:ascii="宋体" w:hAnsi="宋体" w:eastAsia="宋体" w:cs="宋体"/>
                <w:color w:val="auto"/>
                <w:spacing w:val="-6"/>
                <w:sz w:val="24"/>
                <w:szCs w:val="24"/>
                <w:highlight w:val="none"/>
              </w:rPr>
              <w:pPrChange w:id="0" w:author="沉浸" w:date="2025-04-09T16:12:10Z">
                <w:pPr>
                  <w:pStyle w:val="24"/>
                  <w:adjustRightInd w:val="0"/>
                  <w:snapToGrid w:val="0"/>
                  <w:spacing w:line="360" w:lineRule="auto"/>
                </w:pPr>
              </w:pPrChange>
            </w:pPr>
            <w:r>
              <w:rPr>
                <w:rFonts w:hint="default"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default"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投标人</w:t>
            </w:r>
            <w:r>
              <w:rPr>
                <w:rFonts w:hint="default" w:ascii="宋体" w:hAnsi="宋体" w:eastAsia="宋体" w:cs="宋体"/>
                <w:color w:val="auto"/>
                <w:spacing w:val="-6"/>
                <w:sz w:val="24"/>
                <w:szCs w:val="24"/>
                <w:highlight w:val="none"/>
              </w:rPr>
              <w:t>擅自放弃</w:t>
            </w:r>
            <w:r>
              <w:rPr>
                <w:rFonts w:hint="eastAsia" w:ascii="宋体" w:hAnsi="宋体" w:eastAsia="宋体" w:cs="宋体"/>
                <w:color w:val="auto"/>
                <w:spacing w:val="-6"/>
                <w:sz w:val="24"/>
                <w:szCs w:val="24"/>
                <w:highlight w:val="none"/>
                <w:lang w:eastAsia="zh-CN"/>
              </w:rPr>
              <w:t>中标</w:t>
            </w:r>
            <w:r>
              <w:rPr>
                <w:rFonts w:hint="default" w:ascii="宋体" w:hAnsi="宋体" w:eastAsia="宋体" w:cs="宋体"/>
                <w:color w:val="auto"/>
                <w:spacing w:val="-6"/>
                <w:sz w:val="24"/>
                <w:szCs w:val="24"/>
                <w:highlight w:val="none"/>
              </w:rPr>
              <w:t>的。</w:t>
            </w:r>
          </w:p>
          <w:p w14:paraId="0FC4D498">
            <w:pPr>
              <w:spacing w:before="37" w:line="360" w:lineRule="auto"/>
              <w:ind w:left="117"/>
              <w:rPr>
                <w:rFonts w:hint="default" w:eastAsia="宋体"/>
                <w:lang w:val="en-US" w:eastAsia="zh-CN"/>
              </w:rPr>
            </w:pPr>
            <w:r>
              <w:rPr>
                <w:rFonts w:hint="default" w:ascii="宋体" w:hAnsi="宋体" w:cs="宋体"/>
                <w:color w:val="auto"/>
                <w:spacing w:val="-6"/>
                <w:sz w:val="24"/>
                <w:szCs w:val="24"/>
                <w:highlight w:val="none"/>
                <w:lang w:eastAsia="zh-CN"/>
                <w:rPrChange w:id="1" w:author="沉浸" w:date="2025-04-09T16:12:06Z">
                  <w:rPr>
                    <w:rFonts w:hint="eastAsia" w:ascii="宋体" w:hAnsi="宋体" w:cs="宋体"/>
                    <w:color w:val="auto"/>
                    <w:spacing w:val="-6"/>
                    <w:sz w:val="24"/>
                    <w:szCs w:val="24"/>
                    <w:highlight w:val="none"/>
                    <w:lang w:eastAsia="zh-CN"/>
                  </w:rPr>
                </w:rPrChange>
              </w:rPr>
              <w:t>（</w:t>
            </w:r>
            <w:r>
              <w:rPr>
                <w:rFonts w:hint="default" w:ascii="宋体" w:hAnsi="宋体" w:cs="宋体"/>
                <w:color w:val="auto"/>
                <w:spacing w:val="-6"/>
                <w:sz w:val="24"/>
                <w:szCs w:val="24"/>
                <w:highlight w:val="none"/>
                <w:lang w:val="en-US" w:eastAsia="zh-CN"/>
                <w:rPrChange w:id="2" w:author="沉浸" w:date="2025-04-09T16:12:06Z">
                  <w:rPr>
                    <w:rFonts w:hint="eastAsia" w:ascii="宋体" w:hAnsi="宋体" w:cs="宋体"/>
                    <w:color w:val="auto"/>
                    <w:spacing w:val="-6"/>
                    <w:sz w:val="24"/>
                    <w:szCs w:val="24"/>
                    <w:highlight w:val="none"/>
                    <w:lang w:val="en-US" w:eastAsia="zh-CN"/>
                  </w:rPr>
                </w:rPrChange>
              </w:rPr>
              <w:t>5）投标过程中存在违法违规行为：如投标人提供虚假资料、串通投标、行贿评委或招标人工作人员等，这种行为严重违反了招标投标的相关规定，招标人有权扣除其投标保证金，并依法追究其法律责任。</w:t>
            </w:r>
          </w:p>
        </w:tc>
      </w:tr>
      <w:tr w14:paraId="653D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F777C9">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2077B784">
            <w:pPr>
              <w:spacing w:line="360" w:lineRule="auto"/>
              <w:jc w:val="center"/>
              <w:rPr>
                <w:color w:val="auto"/>
                <w:sz w:val="24"/>
                <w:highlight w:val="none"/>
              </w:rPr>
            </w:pPr>
            <w:r>
              <w:rPr>
                <w:color w:val="auto"/>
                <w:sz w:val="24"/>
                <w:highlight w:val="none"/>
              </w:rPr>
              <w:t>投标有效期</w:t>
            </w:r>
          </w:p>
        </w:tc>
        <w:tc>
          <w:tcPr>
            <w:tcW w:w="7540" w:type="dxa"/>
            <w:vAlign w:val="center"/>
          </w:tcPr>
          <w:p w14:paraId="3585256B">
            <w:pPr>
              <w:spacing w:line="360" w:lineRule="auto"/>
              <w:jc w:val="left"/>
              <w:rPr>
                <w:color w:val="auto"/>
                <w:sz w:val="24"/>
                <w:highlight w:val="none"/>
              </w:rPr>
            </w:pPr>
            <w:r>
              <w:rPr>
                <w:color w:val="auto"/>
                <w:sz w:val="24"/>
                <w:highlight w:val="none"/>
              </w:rPr>
              <w:t>自提交投标文件的截止之日起算</w:t>
            </w:r>
            <w:r>
              <w:rPr>
                <w:rFonts w:hint="eastAsia" w:ascii="Times New Roman" w:hAnsi="Times New Roman" w:eastAsia="宋体" w:cs="Times New Roman"/>
                <w:color w:val="auto"/>
                <w:sz w:val="24"/>
                <w:highlight w:val="none"/>
                <w:u w:val="single"/>
                <w:lang w:val="en-US" w:eastAsia="zh-CN"/>
              </w:rPr>
              <w:t xml:space="preserve"> </w:t>
            </w:r>
            <w:r>
              <w:rPr>
                <w:rFonts w:ascii="Times New Roman" w:hAnsi="Times New Roman" w:eastAsia="宋体" w:cs="Times New Roman"/>
                <w:color w:val="auto"/>
                <w:sz w:val="24"/>
                <w:highlight w:val="none"/>
                <w:u w:val="single"/>
              </w:rPr>
              <w:t xml:space="preserve"> 90</w:t>
            </w:r>
            <w:r>
              <w:rPr>
                <w:rFonts w:hint="eastAsia" w:ascii="Times New Roman" w:hAnsi="Times New Roman" w:eastAsia="宋体" w:cs="Times New Roman"/>
                <w:color w:val="auto"/>
                <w:sz w:val="24"/>
                <w:highlight w:val="none"/>
                <w:u w:val="single"/>
                <w:lang w:val="en-US" w:eastAsia="zh-CN"/>
              </w:rPr>
              <w:t xml:space="preserve"> </w:t>
            </w:r>
            <w:r>
              <w:rPr>
                <w:color w:val="auto"/>
                <w:sz w:val="24"/>
                <w:highlight w:val="none"/>
              </w:rPr>
              <w:t>日历天。</w:t>
            </w:r>
          </w:p>
        </w:tc>
      </w:tr>
      <w:tr w14:paraId="13E8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234D7">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56908FC7">
            <w:pPr>
              <w:spacing w:line="360" w:lineRule="auto"/>
              <w:jc w:val="center"/>
              <w:rPr>
                <w:color w:val="auto"/>
                <w:sz w:val="24"/>
                <w:highlight w:val="none"/>
              </w:rPr>
            </w:pPr>
            <w:r>
              <w:rPr>
                <w:color w:val="auto"/>
                <w:sz w:val="24"/>
                <w:highlight w:val="none"/>
              </w:rPr>
              <w:t>确定中标人</w:t>
            </w:r>
          </w:p>
        </w:tc>
        <w:tc>
          <w:tcPr>
            <w:tcW w:w="7540" w:type="dxa"/>
            <w:vAlign w:val="center"/>
          </w:tcPr>
          <w:p w14:paraId="6AB8DE19">
            <w:pPr>
              <w:pStyle w:val="24"/>
              <w:adjustRightInd w:val="0"/>
              <w:snapToGrid w:val="0"/>
              <w:spacing w:line="360" w:lineRule="auto"/>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27E8B4C9">
            <w:pPr>
              <w:pStyle w:val="24"/>
              <w:shd w:val="clear"/>
              <w:adjustRightInd w:val="0"/>
              <w:snapToGrid w:val="0"/>
              <w:spacing w:line="360" w:lineRule="auto"/>
              <w:rPr>
                <w:rFonts w:hint="default" w:ascii="Times New Roman" w:hAnsi="Times New Roman"/>
                <w:color w:val="auto"/>
                <w:sz w:val="24"/>
                <w:highlight w:val="none"/>
              </w:rPr>
            </w:pPr>
            <w:r>
              <w:rPr>
                <w:rFonts w:hint="eastAsia" w:ascii="宋体" w:hAnsi="宋体" w:eastAsia="宋体" w:cs="宋体"/>
                <w:color w:val="auto"/>
                <w:sz w:val="24"/>
                <w:highlight w:val="none"/>
              </w:rPr>
              <w:t>■</w:t>
            </w:r>
            <w:r>
              <w:rPr>
                <w:rFonts w:hint="default" w:ascii="Times New Roman" w:hAnsi="Times New Roman"/>
                <w:color w:val="auto"/>
                <w:sz w:val="24"/>
                <w:highlight w:val="none"/>
              </w:rPr>
              <w:t>否</w:t>
            </w:r>
          </w:p>
          <w:p w14:paraId="0C7E9F94">
            <w:pPr>
              <w:pStyle w:val="24"/>
              <w:adjustRightInd w:val="0"/>
              <w:snapToGrid w:val="0"/>
              <w:spacing w:line="360" w:lineRule="auto"/>
              <w:rPr>
                <w:rFonts w:hint="default" w:ascii="Times New Roman" w:hAnsi="Times New Roman"/>
                <w:color w:val="auto"/>
                <w:sz w:val="24"/>
                <w:highlight w:val="none"/>
              </w:rPr>
            </w:pPr>
            <w:r>
              <w:rPr>
                <w:rFonts w:hint="default" w:ascii="Times New Roman" w:hAnsi="Times New Roman"/>
                <w:color w:val="auto"/>
                <w:sz w:val="24"/>
                <w:highlight w:val="none"/>
              </w:rPr>
              <w:t>□是</w:t>
            </w:r>
          </w:p>
          <w:p w14:paraId="76A5C336">
            <w:pPr>
              <w:pStyle w:val="24"/>
              <w:adjustRightInd w:val="0"/>
              <w:snapToGrid w:val="0"/>
              <w:spacing w:line="360" w:lineRule="auto"/>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5B479864">
            <w:pPr>
              <w:pStyle w:val="24"/>
              <w:adjustRightInd w:val="0"/>
              <w:snapToGrid w:val="0"/>
              <w:spacing w:line="360" w:lineRule="auto"/>
              <w:rPr>
                <w:rFonts w:hint="default" w:ascii="Times New Roman" w:hAnsi="Times New Roman"/>
                <w:color w:val="auto"/>
                <w:sz w:val="24"/>
                <w:highlight w:val="none"/>
              </w:rPr>
            </w:pPr>
            <w:r>
              <w:rPr>
                <w:rFonts w:hint="eastAsia" w:ascii="宋体" w:hAnsi="宋体" w:eastAsia="宋体" w:cs="宋体"/>
                <w:color w:val="auto"/>
                <w:sz w:val="24"/>
                <w:highlight w:val="none"/>
              </w:rPr>
              <w:t>■</w:t>
            </w:r>
            <w:r>
              <w:rPr>
                <w:rFonts w:cs="宋体" w:asciiTheme="minorEastAsia" w:hAnsiTheme="minorEastAsia" w:eastAsiaTheme="minorEastAsia"/>
                <w:sz w:val="24"/>
                <w:szCs w:val="24"/>
              </w:rPr>
              <w:t>得分且投标报价均相同的，以技术部分得分高者为中标人；得分、投标报价且技术部分均相同的，则由评标委员会随机抽取。</w:t>
            </w:r>
          </w:p>
          <w:p w14:paraId="23C14251">
            <w:pPr>
              <w:spacing w:line="360" w:lineRule="auto"/>
              <w:jc w:val="left"/>
              <w:rPr>
                <w:color w:val="auto"/>
                <w:sz w:val="24"/>
                <w:highlight w:val="none"/>
                <w:u w:val="single"/>
              </w:rPr>
            </w:pPr>
            <w:r>
              <w:rPr>
                <w:color w:val="auto"/>
                <w:sz w:val="24"/>
                <w:highlight w:val="none"/>
              </w:rPr>
              <w:t>□随机抽取</w:t>
            </w:r>
          </w:p>
        </w:tc>
      </w:tr>
      <w:tr w14:paraId="5561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3E21E2">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1A0AFF59">
            <w:pPr>
              <w:spacing w:line="360" w:lineRule="auto"/>
              <w:jc w:val="center"/>
              <w:rPr>
                <w:color w:val="auto"/>
                <w:sz w:val="24"/>
                <w:highlight w:val="none"/>
              </w:rPr>
            </w:pPr>
            <w:r>
              <w:rPr>
                <w:color w:val="auto"/>
                <w:sz w:val="24"/>
                <w:highlight w:val="none"/>
              </w:rPr>
              <w:t>分包</w:t>
            </w:r>
          </w:p>
        </w:tc>
        <w:tc>
          <w:tcPr>
            <w:tcW w:w="7540" w:type="dxa"/>
            <w:vAlign w:val="center"/>
          </w:tcPr>
          <w:p w14:paraId="2C5CBB4B">
            <w:pPr>
              <w:spacing w:line="360" w:lineRule="auto"/>
              <w:jc w:val="left"/>
              <w:rPr>
                <w:color w:val="auto"/>
                <w:sz w:val="24"/>
                <w:highlight w:val="none"/>
              </w:rPr>
            </w:pPr>
            <w:r>
              <w:rPr>
                <w:color w:val="auto"/>
                <w:sz w:val="24"/>
                <w:highlight w:val="none"/>
              </w:rPr>
              <w:t xml:space="preserve">本项目的非主体、非关键性工作是否允许分包： </w:t>
            </w:r>
          </w:p>
          <w:p w14:paraId="486F51C9">
            <w:pPr>
              <w:spacing w:line="360" w:lineRule="auto"/>
              <w:jc w:val="left"/>
              <w:rPr>
                <w:color w:val="auto"/>
                <w:sz w:val="24"/>
                <w:highlight w:val="none"/>
              </w:rPr>
            </w:pPr>
            <w:r>
              <w:rPr>
                <w:rFonts w:hint="eastAsia" w:ascii="宋体" w:hAnsi="宋体" w:eastAsia="宋体" w:cs="宋体"/>
                <w:color w:val="auto"/>
                <w:sz w:val="24"/>
                <w:highlight w:val="none"/>
              </w:rPr>
              <w:t>■</w:t>
            </w:r>
            <w:r>
              <w:rPr>
                <w:color w:val="auto"/>
                <w:sz w:val="24"/>
                <w:highlight w:val="none"/>
              </w:rPr>
              <w:t>不允许</w:t>
            </w:r>
          </w:p>
          <w:p w14:paraId="5C39514B">
            <w:pPr>
              <w:spacing w:line="360" w:lineRule="auto"/>
              <w:jc w:val="left"/>
              <w:rPr>
                <w:color w:val="auto"/>
                <w:sz w:val="24"/>
                <w:highlight w:val="none"/>
              </w:rPr>
            </w:pPr>
            <w:r>
              <w:rPr>
                <w:color w:val="auto"/>
                <w:sz w:val="24"/>
                <w:highlight w:val="none"/>
              </w:rPr>
              <w:t>□允许，具体要求：</w:t>
            </w:r>
          </w:p>
          <w:p w14:paraId="395F598F">
            <w:pPr>
              <w:spacing w:line="360" w:lineRule="auto"/>
              <w:jc w:val="left"/>
              <w:rPr>
                <w:color w:val="auto"/>
                <w:sz w:val="24"/>
                <w:highlight w:val="none"/>
              </w:rPr>
            </w:pPr>
            <w:r>
              <w:rPr>
                <w:color w:val="auto"/>
                <w:sz w:val="24"/>
                <w:highlight w:val="none"/>
              </w:rPr>
              <w:t>（1）可以分包履行的具体内容：_____；</w:t>
            </w:r>
          </w:p>
          <w:p w14:paraId="377EDD8C">
            <w:pPr>
              <w:spacing w:line="360" w:lineRule="auto"/>
              <w:jc w:val="left"/>
              <w:rPr>
                <w:color w:val="auto"/>
                <w:sz w:val="24"/>
                <w:highlight w:val="none"/>
              </w:rPr>
            </w:pPr>
            <w:r>
              <w:rPr>
                <w:color w:val="auto"/>
                <w:sz w:val="24"/>
                <w:highlight w:val="none"/>
              </w:rPr>
              <w:t>（2）允许分包的金额或者比例：_____；</w:t>
            </w:r>
          </w:p>
          <w:p w14:paraId="39B0B948">
            <w:pPr>
              <w:spacing w:line="360" w:lineRule="auto"/>
              <w:jc w:val="left"/>
              <w:rPr>
                <w:color w:val="auto"/>
                <w:sz w:val="24"/>
                <w:highlight w:val="none"/>
                <w:u w:val="single"/>
              </w:rPr>
            </w:pPr>
            <w:r>
              <w:rPr>
                <w:color w:val="auto"/>
                <w:sz w:val="24"/>
                <w:highlight w:val="none"/>
              </w:rPr>
              <w:t>（3）其他要求：_____。</w:t>
            </w:r>
          </w:p>
        </w:tc>
      </w:tr>
      <w:tr w14:paraId="7883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3E21367B">
            <w:pPr>
              <w:pStyle w:val="24"/>
              <w:adjustRightInd w:val="0"/>
              <w:snapToGrid w:val="0"/>
              <w:jc w:val="center"/>
              <w:rPr>
                <w:rFonts w:hint="default" w:ascii="Times New Roman" w:hAnsi="Times New Roman" w:eastAsia="宋体" w:cs="Times New Roman"/>
                <w:kern w:val="2"/>
                <w:sz w:val="24"/>
                <w:szCs w:val="24"/>
                <w:lang w:val="en-US" w:eastAsia="zh-CN" w:bidi="ar-SA"/>
              </w:rPr>
            </w:pPr>
            <w:r>
              <w:rPr>
                <w:rFonts w:cs="宋体" w:asciiTheme="minorEastAsia" w:hAnsiTheme="minorEastAsia" w:eastAsiaTheme="minorEastAsia"/>
                <w:sz w:val="24"/>
                <w:szCs w:val="24"/>
              </w:rPr>
              <w:t>25.6</w:t>
            </w:r>
          </w:p>
        </w:tc>
        <w:tc>
          <w:tcPr>
            <w:tcW w:w="1701" w:type="dxa"/>
            <w:shd w:val="clear" w:color="auto" w:fill="auto"/>
            <w:vAlign w:val="center"/>
          </w:tcPr>
          <w:p w14:paraId="0EB45B25">
            <w:pPr>
              <w:jc w:val="center"/>
              <w:rPr>
                <w:rFonts w:ascii="Times New Roman" w:hAnsi="Times New Roman" w:eastAsia="宋体" w:cs="Times New Roman"/>
                <w:kern w:val="2"/>
                <w:sz w:val="24"/>
                <w:szCs w:val="24"/>
                <w:lang w:val="en-US" w:eastAsia="zh-CN" w:bidi="ar-SA"/>
              </w:rPr>
            </w:pPr>
            <w:r>
              <w:rPr>
                <w:rFonts w:hint="eastAsia" w:cs="宋体" w:asciiTheme="minorEastAsia" w:hAnsiTheme="minorEastAsia" w:eastAsiaTheme="minorEastAsia"/>
                <w:sz w:val="24"/>
              </w:rPr>
              <w:t>政采贷</w:t>
            </w:r>
          </w:p>
        </w:tc>
        <w:tc>
          <w:tcPr>
            <w:tcW w:w="7540" w:type="dxa"/>
            <w:shd w:val="clear" w:color="auto" w:fill="auto"/>
            <w:vAlign w:val="center"/>
          </w:tcPr>
          <w:p w14:paraId="2539C970">
            <w:pPr>
              <w:jc w:val="left"/>
              <w:rPr>
                <w:rFonts w:ascii="Times New Roman" w:hAnsi="Times New Roman" w:eastAsia="宋体" w:cs="Times New Roman"/>
                <w:kern w:val="2"/>
                <w:sz w:val="24"/>
                <w:szCs w:val="24"/>
                <w:lang w:val="en-US" w:eastAsia="zh-CN" w:bidi="ar-SA"/>
              </w:rPr>
            </w:pPr>
            <w:r>
              <w:rPr>
                <w:rFonts w:hint="eastAsia" w:cs="宋体"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E9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C686F7">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5E28EC30">
            <w:pPr>
              <w:spacing w:line="360" w:lineRule="auto"/>
              <w:jc w:val="center"/>
              <w:rPr>
                <w:color w:val="auto"/>
                <w:sz w:val="24"/>
                <w:highlight w:val="none"/>
              </w:rPr>
            </w:pPr>
            <w:r>
              <w:rPr>
                <w:color w:val="auto"/>
                <w:sz w:val="24"/>
                <w:highlight w:val="none"/>
              </w:rPr>
              <w:t>询问</w:t>
            </w:r>
          </w:p>
        </w:tc>
        <w:tc>
          <w:tcPr>
            <w:tcW w:w="7540" w:type="dxa"/>
            <w:vAlign w:val="center"/>
          </w:tcPr>
          <w:p w14:paraId="1B6A3B73">
            <w:pPr>
              <w:spacing w:line="360" w:lineRule="auto"/>
              <w:jc w:val="left"/>
              <w:rPr>
                <w:color w:val="auto"/>
                <w:sz w:val="24"/>
                <w:highlight w:val="none"/>
              </w:rPr>
            </w:pPr>
            <w:r>
              <w:rPr>
                <w:color w:val="auto"/>
                <w:sz w:val="24"/>
                <w:highlight w:val="none"/>
              </w:rPr>
              <w:t>询问送达形式：</w:t>
            </w:r>
            <w:r>
              <w:rPr>
                <w:rFonts w:hint="eastAsia"/>
                <w:color w:val="auto"/>
                <w:sz w:val="24"/>
                <w:highlight w:val="none"/>
                <w:u w:val="single"/>
                <w:lang w:eastAsia="zh-CN"/>
              </w:rPr>
              <w:t>可通过邮件形式或书面形式（询问函须盖投标人公章），送达采购人或采购代理机构</w:t>
            </w:r>
            <w:r>
              <w:rPr>
                <w:rFonts w:hint="eastAsia" w:eastAsia="宋体"/>
                <w:color w:val="auto"/>
                <w:sz w:val="24"/>
                <w:highlight w:val="none"/>
              </w:rPr>
              <w:t>。</w:t>
            </w:r>
          </w:p>
        </w:tc>
      </w:tr>
      <w:tr w14:paraId="41AC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86427A">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7D571BA4">
            <w:pPr>
              <w:spacing w:line="360" w:lineRule="auto"/>
              <w:jc w:val="center"/>
              <w:rPr>
                <w:color w:val="auto"/>
                <w:sz w:val="24"/>
                <w:highlight w:val="none"/>
              </w:rPr>
            </w:pPr>
            <w:r>
              <w:rPr>
                <w:color w:val="auto"/>
                <w:sz w:val="24"/>
                <w:highlight w:val="none"/>
              </w:rPr>
              <w:t>联系方式</w:t>
            </w:r>
          </w:p>
        </w:tc>
        <w:tc>
          <w:tcPr>
            <w:tcW w:w="7540" w:type="dxa"/>
            <w:vAlign w:val="center"/>
          </w:tcPr>
          <w:p w14:paraId="0C966258">
            <w:pPr>
              <w:spacing w:line="360" w:lineRule="auto"/>
              <w:jc w:val="left"/>
              <w:rPr>
                <w:color w:val="auto"/>
                <w:sz w:val="24"/>
                <w:highlight w:val="none"/>
              </w:rPr>
            </w:pPr>
            <w:r>
              <w:rPr>
                <w:color w:val="auto"/>
                <w:sz w:val="24"/>
                <w:highlight w:val="none"/>
              </w:rPr>
              <w:t>接收询问和质疑的联系方式</w:t>
            </w:r>
          </w:p>
          <w:p w14:paraId="3698DB60">
            <w:pPr>
              <w:spacing w:line="360" w:lineRule="auto"/>
              <w:jc w:val="left"/>
              <w:rPr>
                <w:rFonts w:hint="eastAsia" w:ascii="宋体" w:hAnsi="宋体" w:eastAsia="宋体" w:cs="宋体"/>
                <w:b w:val="0"/>
                <w:bCs w:val="0"/>
                <w:color w:val="auto"/>
                <w:sz w:val="24"/>
                <w:highlight w:val="none"/>
              </w:rPr>
            </w:pPr>
            <w:r>
              <w:rPr>
                <w:color w:val="auto"/>
                <w:sz w:val="24"/>
                <w:highlight w:val="none"/>
              </w:rPr>
              <w:t>联系部门：</w:t>
            </w:r>
            <w:r>
              <w:rPr>
                <w:rFonts w:hint="eastAsia" w:ascii="宋体" w:hAnsi="宋体" w:eastAsia="宋体" w:cs="宋体"/>
                <w:b w:val="0"/>
                <w:bCs w:val="0"/>
                <w:color w:val="auto"/>
                <w:spacing w:val="-6"/>
                <w:sz w:val="24"/>
                <w:szCs w:val="24"/>
                <w:highlight w:val="none"/>
                <w:u w:val="single"/>
                <w:lang w:eastAsia="zh-CN"/>
              </w:rPr>
              <w:t>国信招标集团股份有限公司</w:t>
            </w:r>
            <w:r>
              <w:rPr>
                <w:rFonts w:hint="eastAsia" w:ascii="宋体" w:hAnsi="宋体" w:eastAsia="宋体" w:cs="宋体"/>
                <w:b w:val="0"/>
                <w:bCs w:val="0"/>
                <w:color w:val="auto"/>
                <w:sz w:val="24"/>
                <w:highlight w:val="none"/>
              </w:rPr>
              <w:t>；</w:t>
            </w:r>
          </w:p>
          <w:p w14:paraId="23E92C63">
            <w:pPr>
              <w:spacing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联系电话：</w:t>
            </w:r>
            <w:r>
              <w:rPr>
                <w:rFonts w:hint="eastAsia" w:ascii="宋体" w:hAnsi="宋体" w:cs="宋体"/>
                <w:sz w:val="24"/>
                <w:u w:val="single"/>
                <w:lang w:val="en-US" w:eastAsia="zh-CN"/>
              </w:rPr>
              <w:t>13611104418</w:t>
            </w:r>
            <w:r>
              <w:rPr>
                <w:rFonts w:hint="eastAsia" w:ascii="宋体" w:hAnsi="宋体" w:eastAsia="宋体" w:cs="宋体"/>
                <w:b w:val="0"/>
                <w:bCs w:val="0"/>
                <w:color w:val="auto"/>
                <w:sz w:val="24"/>
                <w:highlight w:val="none"/>
                <w:u w:val="single"/>
              </w:rPr>
              <w:t>；</w:t>
            </w:r>
          </w:p>
          <w:p w14:paraId="19D446DC">
            <w:pPr>
              <w:spacing w:line="360" w:lineRule="auto"/>
              <w:jc w:val="left"/>
              <w:rPr>
                <w:color w:val="auto"/>
                <w:sz w:val="24"/>
                <w:highlight w:val="none"/>
              </w:rPr>
            </w:pPr>
            <w:r>
              <w:rPr>
                <w:color w:val="auto"/>
                <w:sz w:val="24"/>
                <w:highlight w:val="none"/>
              </w:rPr>
              <w:t>通讯地址：</w:t>
            </w:r>
            <w:r>
              <w:rPr>
                <w:rFonts w:hint="eastAsia"/>
                <w:color w:val="auto"/>
                <w:sz w:val="24"/>
                <w:highlight w:val="none"/>
                <w:u w:val="single"/>
              </w:rPr>
              <w:t>北京市海淀区四季青</w:t>
            </w:r>
            <w:r>
              <w:rPr>
                <w:rFonts w:hint="eastAsia"/>
                <w:color w:val="auto"/>
                <w:sz w:val="24"/>
                <w:highlight w:val="none"/>
                <w:u w:val="single"/>
                <w:lang w:eastAsia="zh-CN"/>
              </w:rPr>
              <w:t>常青路</w:t>
            </w:r>
            <w:r>
              <w:rPr>
                <w:rFonts w:hint="eastAsia"/>
                <w:color w:val="auto"/>
                <w:sz w:val="24"/>
                <w:highlight w:val="none"/>
                <w:u w:val="single"/>
              </w:rPr>
              <w:t>和泓四季6号楼。</w:t>
            </w:r>
          </w:p>
        </w:tc>
      </w:tr>
      <w:tr w14:paraId="14EA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733708">
            <w:pPr>
              <w:pStyle w:val="24"/>
              <w:adjustRightInd w:val="0"/>
              <w:snapToGrid w:val="0"/>
              <w:spacing w:line="360" w:lineRule="auto"/>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A5CD82C">
            <w:pPr>
              <w:spacing w:line="360" w:lineRule="auto"/>
              <w:jc w:val="center"/>
              <w:rPr>
                <w:color w:val="auto"/>
                <w:sz w:val="24"/>
                <w:highlight w:val="none"/>
              </w:rPr>
            </w:pPr>
            <w:r>
              <w:rPr>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C8F4F65">
            <w:pPr>
              <w:spacing w:line="360" w:lineRule="auto"/>
              <w:jc w:val="left"/>
              <w:rPr>
                <w:color w:val="auto"/>
                <w:sz w:val="24"/>
                <w:highlight w:val="none"/>
              </w:rPr>
            </w:pPr>
            <w:r>
              <w:rPr>
                <w:color w:val="auto"/>
                <w:sz w:val="24"/>
                <w:highlight w:val="none"/>
              </w:rPr>
              <w:t>收费对象：</w:t>
            </w:r>
          </w:p>
          <w:p w14:paraId="22E5219B">
            <w:pPr>
              <w:spacing w:line="360" w:lineRule="auto"/>
              <w:jc w:val="left"/>
              <w:rPr>
                <w:color w:val="auto"/>
                <w:sz w:val="24"/>
                <w:highlight w:val="none"/>
              </w:rPr>
            </w:pPr>
            <w:r>
              <w:rPr>
                <w:rFonts w:hint="eastAsia"/>
                <w:color w:val="auto"/>
                <w:sz w:val="24"/>
                <w:highlight w:val="none"/>
                <w:lang w:eastAsia="zh-CN"/>
              </w:rPr>
              <w:t>□</w:t>
            </w:r>
            <w:r>
              <w:rPr>
                <w:color w:val="auto"/>
                <w:sz w:val="24"/>
                <w:highlight w:val="none"/>
              </w:rPr>
              <w:t>采购人</w:t>
            </w:r>
          </w:p>
          <w:p w14:paraId="4EC7943F">
            <w:pPr>
              <w:spacing w:line="360" w:lineRule="auto"/>
              <w:jc w:val="left"/>
              <w:rPr>
                <w:color w:val="auto"/>
                <w:sz w:val="24"/>
                <w:highlight w:val="none"/>
              </w:rPr>
            </w:pPr>
            <w:r>
              <w:rPr>
                <w:rFonts w:hint="eastAsia" w:ascii="宋体" w:hAnsi="宋体" w:eastAsia="宋体" w:cs="宋体"/>
                <w:color w:val="auto"/>
                <w:sz w:val="24"/>
                <w:highlight w:val="none"/>
              </w:rPr>
              <w:t>■</w:t>
            </w:r>
            <w:r>
              <w:rPr>
                <w:color w:val="auto"/>
                <w:sz w:val="24"/>
                <w:highlight w:val="none"/>
              </w:rPr>
              <w:t>中标人</w:t>
            </w:r>
          </w:p>
          <w:p w14:paraId="0CC6BA1D">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color w:val="auto"/>
                <w:sz w:val="24"/>
                <w:highlight w:val="none"/>
                <w:lang w:eastAsia="zh-CN"/>
              </w:rPr>
              <w:t>参考</w:t>
            </w:r>
            <w:r>
              <w:rPr>
                <w:rFonts w:hint="eastAsia" w:ascii="宋体" w:hAnsi="宋体" w:eastAsia="宋体" w:cs="宋体"/>
                <w:color w:val="auto"/>
                <w:sz w:val="24"/>
                <w:highlight w:val="none"/>
              </w:rPr>
              <w:t>原计价格[2002]1980号文、发改办价格[2003]857号文及发改价格[2011]534号文有关规定；</w:t>
            </w:r>
          </w:p>
          <w:p w14:paraId="2E459343">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缴纳时间：</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在领取</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通知书时一次向采购代理机构交纳所有</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服务费。</w:t>
            </w:r>
          </w:p>
          <w:p w14:paraId="1ABCA5B3">
            <w:pPr>
              <w:spacing w:line="360" w:lineRule="auto"/>
              <w:ind w:firstLine="240" w:firstLineChars="1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说明：</w:t>
            </w:r>
          </w:p>
          <w:p w14:paraId="36246666">
            <w:pPr>
              <w:spacing w:line="360" w:lineRule="auto"/>
              <w:ind w:firstLine="240" w:firstLineChars="1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（1）以中标金额作为收费的计算基数。</w:t>
            </w:r>
          </w:p>
          <w:p w14:paraId="6F0847A1">
            <w:pPr>
              <w:spacing w:line="360" w:lineRule="auto"/>
              <w:ind w:firstLine="240" w:firstLineChars="1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）中标服务费币种与中标签订合同的币种相同或采购代理机构同意的币种。</w:t>
            </w:r>
          </w:p>
          <w:p w14:paraId="7DC1D5EC">
            <w:pPr>
              <w:spacing w:line="360" w:lineRule="auto"/>
              <w:ind w:firstLine="240" w:firstLineChars="1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）服务费的交纳方式：在投标文件中，投标人向采购代理机构递交服务费承诺书。一次向采购代理机构交纳所有中标服务费。</w:t>
            </w:r>
          </w:p>
          <w:p w14:paraId="77203CD9">
            <w:pPr>
              <w:spacing w:line="360" w:lineRule="auto"/>
              <w:ind w:firstLine="240" w:firstLineChars="1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）此项费用不应单独开列，无论投标人是否填报，都视为此费用已经包含在投标报价总价中。</w:t>
            </w:r>
          </w:p>
          <w:p w14:paraId="19EBDD23">
            <w:pPr>
              <w:spacing w:line="360" w:lineRule="auto"/>
              <w:ind w:firstLine="240" w:firstLineChars="1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中标服务费账户</w:t>
            </w:r>
          </w:p>
          <w:p w14:paraId="5A9FA983">
            <w:pPr>
              <w:spacing w:line="360" w:lineRule="auto"/>
              <w:rPr>
                <w:rFonts w:hint="eastAsia" w:ascii="宋体" w:hAnsi="宋体" w:eastAsia="宋体" w:cs="Times New Roman"/>
                <w:b/>
                <w:color w:val="auto"/>
                <w:sz w:val="24"/>
                <w:highlight w:val="none"/>
                <w:u w:val="single"/>
                <w:lang w:val="en-US" w:eastAsia="zh-CN"/>
              </w:rPr>
            </w:pPr>
            <w:r>
              <w:rPr>
                <w:rFonts w:hint="eastAsia" w:ascii="宋体" w:hAnsi="宋体" w:eastAsia="宋体" w:cs="Times New Roman"/>
                <w:b/>
                <w:color w:val="auto"/>
                <w:sz w:val="24"/>
                <w:highlight w:val="none"/>
              </w:rPr>
              <w:t>开户行名称：国信招标集团股份有限公司北京第二分公司</w:t>
            </w:r>
            <w:r>
              <w:rPr>
                <w:rFonts w:hint="eastAsia" w:ascii="宋体" w:hAnsi="宋体" w:cs="Times New Roman"/>
                <w:b/>
                <w:color w:val="auto"/>
                <w:sz w:val="24"/>
                <w:highlight w:val="none"/>
                <w:lang w:val="en-US" w:eastAsia="zh-CN"/>
              </w:rPr>
              <w:t xml:space="preserve"> </w:t>
            </w:r>
          </w:p>
          <w:p w14:paraId="3ABA0B4B">
            <w:pPr>
              <w:spacing w:line="360" w:lineRule="auto"/>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开户行：招商银行北京分行西直门支行</w:t>
            </w:r>
            <w:r>
              <w:rPr>
                <w:rFonts w:hint="eastAsia" w:ascii="宋体" w:hAnsi="宋体" w:cs="Times New Roman"/>
                <w:b/>
                <w:color w:val="auto"/>
                <w:sz w:val="24"/>
                <w:highlight w:val="none"/>
                <w:lang w:val="en-US" w:eastAsia="zh-CN"/>
              </w:rPr>
              <w:t xml:space="preserve"> </w:t>
            </w:r>
          </w:p>
          <w:p w14:paraId="72103D73">
            <w:pPr>
              <w:spacing w:line="360" w:lineRule="auto"/>
              <w:rPr>
                <w:rFonts w:hint="eastAsia" w:ascii="宋体" w:hAnsi="宋体" w:eastAsia="宋体" w:cs="Times New Roman"/>
                <w:b/>
                <w:color w:val="auto"/>
                <w:sz w:val="24"/>
                <w:highlight w:val="none"/>
                <w:u w:val="single"/>
                <w:lang w:val="en-US" w:eastAsia="zh-CN"/>
              </w:rPr>
            </w:pPr>
            <w:r>
              <w:rPr>
                <w:rFonts w:hint="eastAsia" w:ascii="宋体" w:hAnsi="宋体" w:eastAsia="宋体" w:cs="Times New Roman"/>
                <w:b/>
                <w:color w:val="auto"/>
                <w:sz w:val="24"/>
                <w:highlight w:val="none"/>
              </w:rPr>
              <w:t>账号</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lang w:val="en-US" w:eastAsia="zh-CN"/>
              </w:rPr>
              <w:t>虚拟账号</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w:t>
            </w:r>
            <w:r>
              <w:rPr>
                <w:rFonts w:hint="eastAsia" w:ascii="宋体" w:hAnsi="宋体" w:eastAsia="宋体" w:cs="宋体"/>
                <w:b/>
                <w:bCs/>
                <w:color w:val="auto"/>
                <w:spacing w:val="-10"/>
                <w:sz w:val="24"/>
                <w:szCs w:val="24"/>
                <w:highlight w:val="none"/>
                <w:u w:val="single"/>
              </w:rPr>
              <w:t>1109483075106012500007721</w:t>
            </w:r>
            <w:r>
              <w:rPr>
                <w:rFonts w:hint="eastAsia" w:ascii="宋体" w:hAnsi="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 xml:space="preserve"> </w:t>
            </w:r>
          </w:p>
          <w:p w14:paraId="04712592">
            <w:pPr>
              <w:spacing w:line="360" w:lineRule="auto"/>
              <w:jc w:val="left"/>
              <w:rPr>
                <w:color w:val="auto"/>
                <w:sz w:val="24"/>
                <w:highlight w:val="none"/>
              </w:rPr>
            </w:pPr>
            <w:r>
              <w:rPr>
                <w:rFonts w:hint="eastAsia" w:ascii="宋体" w:hAnsi="宋体" w:eastAsia="宋体"/>
                <w:b/>
                <w:bCs/>
                <w:color w:val="auto"/>
                <w:sz w:val="24"/>
                <w:szCs w:val="24"/>
                <w:highlight w:val="none"/>
                <w:lang w:val="en-US" w:eastAsia="zh-CN"/>
              </w:rPr>
              <w:t>可</w:t>
            </w:r>
            <w:r>
              <w:rPr>
                <w:rFonts w:hint="eastAsia" w:ascii="宋体" w:hAnsi="宋体"/>
                <w:b/>
                <w:bCs/>
                <w:color w:val="auto"/>
                <w:sz w:val="24"/>
                <w:szCs w:val="24"/>
                <w:highlight w:val="none"/>
              </w:rPr>
              <w:t>在用途中标明“</w:t>
            </w:r>
            <w:r>
              <w:rPr>
                <w:rFonts w:hint="eastAsia" w:ascii="宋体" w:hAnsi="宋体" w:eastAsia="宋体" w:cs="Times New Roman"/>
                <w:b/>
                <w:bCs/>
                <w:color w:val="auto"/>
                <w:sz w:val="24"/>
                <w:u w:val="single"/>
                <w:lang w:val="en-US" w:eastAsia="zh-CN"/>
              </w:rPr>
              <w:t>GXTC-C-251290069</w:t>
            </w:r>
            <w:r>
              <w:rPr>
                <w:rFonts w:hint="eastAsia" w:ascii="宋体" w:hAnsi="宋体" w:eastAsia="宋体" w:cs="Times New Roman"/>
                <w:b/>
                <w:bCs/>
                <w:color w:val="auto"/>
                <w:sz w:val="24"/>
                <w:u w:val="single"/>
                <w:lang w:eastAsia="zh-CN"/>
              </w:rPr>
              <w:t>服务费</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w:t>
            </w:r>
          </w:p>
        </w:tc>
      </w:tr>
    </w:tbl>
    <w:p w14:paraId="3F5BF711">
      <w:pPr>
        <w:tabs>
          <w:tab w:val="left" w:pos="5580"/>
        </w:tabs>
        <w:adjustRightInd w:val="0"/>
        <w:spacing w:line="360" w:lineRule="auto"/>
        <w:jc w:val="distribute"/>
        <w:rPr>
          <w:color w:val="auto"/>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start="0"/>
          <w:cols w:space="720" w:num="1"/>
          <w:titlePg/>
          <w:docGrid w:linePitch="462" w:charSpace="0"/>
        </w:sectPr>
      </w:pPr>
    </w:p>
    <w:p w14:paraId="40B6F5C3">
      <w:pPr>
        <w:spacing w:before="240" w:beforeLines="100" w:after="240" w:afterLines="100"/>
        <w:jc w:val="center"/>
        <w:rPr>
          <w:rFonts w:asciiTheme="minorEastAsia" w:hAnsiTheme="minorEastAsia" w:eastAsiaTheme="minorEastAsia"/>
          <w:b/>
          <w:sz w:val="28"/>
          <w:szCs w:val="28"/>
        </w:rPr>
      </w:pPr>
      <w:bookmarkStart w:id="75" w:name="_Toc305158785"/>
      <w:bookmarkStart w:id="76" w:name="_Toc150480755"/>
      <w:bookmarkStart w:id="77" w:name="_Toc353873932"/>
      <w:bookmarkStart w:id="78" w:name="_Toc195842882"/>
      <w:bookmarkStart w:id="79" w:name="_Toc265228355"/>
      <w:bookmarkStart w:id="80" w:name="_Toc150774722"/>
      <w:bookmarkStart w:id="81" w:name="_Toc226965790"/>
      <w:bookmarkStart w:id="82" w:name="_Toc353825542"/>
      <w:bookmarkStart w:id="83" w:name="_Toc142311019"/>
      <w:bookmarkStart w:id="84" w:name="_Toc226337213"/>
      <w:bookmarkStart w:id="85" w:name="_Toc353873662"/>
      <w:bookmarkStart w:id="86" w:name="_Toc127151517"/>
      <w:bookmarkStart w:id="87" w:name="_Toc305158859"/>
      <w:bookmarkStart w:id="88" w:name="_Toc264969207"/>
      <w:r>
        <w:rPr>
          <w:rFonts w:asciiTheme="minorEastAsia" w:hAnsiTheme="minorEastAsia" w:eastAsiaTheme="minorEastAsia"/>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5FF1A1F">
      <w:pPr>
        <w:pStyle w:val="3"/>
        <w:tabs>
          <w:tab w:val="center" w:pos="4592"/>
          <w:tab w:val="left" w:pos="7860"/>
        </w:tabs>
        <w:spacing w:before="0" w:line="360" w:lineRule="auto"/>
        <w:jc w:val="left"/>
        <w:rPr>
          <w:rFonts w:cs="宋体" w:asciiTheme="minorEastAsia" w:hAnsiTheme="minorEastAsia" w:eastAsiaTheme="minorEastAsia"/>
          <w:sz w:val="24"/>
          <w:szCs w:val="24"/>
        </w:rPr>
      </w:pPr>
      <w:bookmarkStart w:id="89" w:name="_Toc127151518"/>
      <w:bookmarkStart w:id="90" w:name="_Toc520356143"/>
      <w:r>
        <w:rPr>
          <w:rFonts w:hint="eastAsia" w:cs="宋体" w:asciiTheme="minorEastAsia" w:hAnsiTheme="minorEastAsia" w:eastAsiaTheme="minorEastAsia"/>
          <w:sz w:val="24"/>
          <w:szCs w:val="24"/>
        </w:rPr>
        <w:tab/>
      </w:r>
      <w:bookmarkStart w:id="91" w:name="_Toc150774723"/>
      <w:bookmarkStart w:id="92" w:name="_Toc150774618"/>
      <w:bookmarkStart w:id="93" w:name="_Toc226965791"/>
      <w:bookmarkStart w:id="94" w:name="_Toc265228356"/>
      <w:bookmarkStart w:id="95" w:name="_Toc264969208"/>
      <w:bookmarkStart w:id="96" w:name="_Toc305158860"/>
      <w:bookmarkStart w:id="97" w:name="_Toc226337214"/>
      <w:bookmarkStart w:id="98" w:name="_Toc150509269"/>
      <w:bookmarkStart w:id="99" w:name="_Toc151193616"/>
      <w:bookmarkStart w:id="100" w:name="_Toc151193688"/>
      <w:bookmarkStart w:id="101" w:name="_Toc151193760"/>
      <w:bookmarkStart w:id="102" w:name="_Toc142311020"/>
      <w:bookmarkStart w:id="103" w:name="_Toc195842883"/>
      <w:bookmarkStart w:id="104" w:name="_Toc151193906"/>
      <w:bookmarkStart w:id="105" w:name="_Toc226965708"/>
      <w:bookmarkStart w:id="106" w:name="_Toc305158786"/>
      <w:bookmarkStart w:id="107" w:name="_Toc226309762"/>
      <w:bookmarkStart w:id="108" w:name="_Toc151193832"/>
      <w:bookmarkStart w:id="109" w:name="_Toc150480756"/>
      <w:bookmarkStart w:id="110" w:name="_Toc151190145"/>
      <w:r>
        <w:rPr>
          <w:rFonts w:hint="eastAsia" w:cs="宋体" w:asciiTheme="minorEastAsia" w:hAnsiTheme="minorEastAsia" w:eastAsiaTheme="minorEastAsia"/>
          <w:sz w:val="24"/>
          <w:szCs w:val="24"/>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cs="宋体" w:asciiTheme="minorEastAsia" w:hAnsiTheme="minorEastAsia" w:eastAsiaTheme="minorEastAsia"/>
          <w:sz w:val="24"/>
          <w:szCs w:val="24"/>
        </w:rPr>
        <w:tab/>
      </w:r>
    </w:p>
    <w:p w14:paraId="669A00C2">
      <w:pPr>
        <w:tabs>
          <w:tab w:val="left" w:pos="360"/>
        </w:tabs>
        <w:snapToGrid w:val="0"/>
        <w:spacing w:line="360" w:lineRule="auto"/>
        <w:outlineLvl w:val="1"/>
        <w:rPr>
          <w:rFonts w:cs="宋体" w:asciiTheme="minorEastAsia" w:hAnsiTheme="minorEastAsia" w:eastAsiaTheme="minorEastAsia"/>
          <w:sz w:val="24"/>
        </w:rPr>
      </w:pPr>
      <w:bookmarkStart w:id="111" w:name="_Toc305158861"/>
      <w:bookmarkStart w:id="112" w:name="_Toc265228357"/>
      <w:bookmarkStart w:id="113" w:name="_Toc305158787"/>
      <w:bookmarkStart w:id="114" w:name="_Toc264969209"/>
      <w:r>
        <w:rPr>
          <w:rFonts w:hint="eastAsia" w:cs="宋体" w:asciiTheme="minorEastAsia" w:hAnsiTheme="minorEastAsia" w:eastAsiaTheme="minorEastAsia"/>
          <w:sz w:val="24"/>
        </w:rPr>
        <w:t>1采购人、采购代理机构、投标人</w:t>
      </w:r>
      <w:bookmarkEnd w:id="111"/>
      <w:bookmarkEnd w:id="112"/>
      <w:bookmarkEnd w:id="113"/>
      <w:bookmarkEnd w:id="114"/>
      <w:r>
        <w:rPr>
          <w:rFonts w:hint="eastAsia" w:cs="宋体" w:asciiTheme="minorEastAsia" w:hAnsiTheme="minorEastAsia" w:eastAsiaTheme="minorEastAsia"/>
          <w:sz w:val="24"/>
        </w:rPr>
        <w:t>、联合体</w:t>
      </w:r>
    </w:p>
    <w:p w14:paraId="3D1C0917">
      <w:pPr>
        <w:tabs>
          <w:tab w:val="left" w:pos="1080"/>
          <w:tab w:val="left" w:pos="2014"/>
          <w:tab w:val="left" w:pos="5521"/>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1.1采购人、采购代理机构：指依法进行政府采购的国家机关、事业单位、团体组织，及其委托的采购代理机构。本项目采购人、采购代理机构见第一章《投标邀请》。</w:t>
      </w:r>
    </w:p>
    <w:p w14:paraId="77957F6F">
      <w:pPr>
        <w:tabs>
          <w:tab w:val="left" w:pos="1080"/>
          <w:tab w:val="left" w:pos="2014"/>
          <w:tab w:val="left" w:pos="5521"/>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1.2投标人（也称“供应商”、“申请人”）：指向采购人提供货物、工程或者服务的法人、其他组织或者自然人。</w:t>
      </w:r>
    </w:p>
    <w:p w14:paraId="3D46BB7D">
      <w:pPr>
        <w:tabs>
          <w:tab w:val="left" w:pos="1080"/>
          <w:tab w:val="left" w:pos="2014"/>
          <w:tab w:val="left" w:pos="5521"/>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1.3联合体：指两个以上的自然人、法人或者其他组织组成一个联合体，以一个供应商的身份共同参加政府采购。</w:t>
      </w:r>
    </w:p>
    <w:p w14:paraId="5D936F1E">
      <w:pPr>
        <w:tabs>
          <w:tab w:val="left" w:pos="360"/>
        </w:tabs>
        <w:snapToGrid w:val="0"/>
        <w:spacing w:line="360" w:lineRule="auto"/>
        <w:outlineLvl w:val="1"/>
        <w:rPr>
          <w:rFonts w:cs="宋体" w:asciiTheme="minorEastAsia" w:hAnsiTheme="minorEastAsia" w:eastAsiaTheme="minorEastAsia"/>
          <w:sz w:val="24"/>
        </w:rPr>
      </w:pPr>
      <w:bookmarkStart w:id="115" w:name="_Toc150774725"/>
      <w:bookmarkStart w:id="116" w:name="_Toc226965710"/>
      <w:bookmarkStart w:id="117" w:name="_Toc305158788"/>
      <w:bookmarkStart w:id="118" w:name="_Toc127151520"/>
      <w:bookmarkStart w:id="119" w:name="_Toc226337216"/>
      <w:bookmarkStart w:id="120" w:name="_Toc264969210"/>
      <w:bookmarkStart w:id="121" w:name="_Toc127161434"/>
      <w:bookmarkStart w:id="122" w:name="_Toc164229215"/>
      <w:bookmarkStart w:id="123" w:name="_Toc305158862"/>
      <w:bookmarkStart w:id="124" w:name="_Toc149720813"/>
      <w:bookmarkStart w:id="125" w:name="_Toc151193908"/>
      <w:bookmarkStart w:id="126" w:name="_Toc150480758"/>
      <w:bookmarkStart w:id="127" w:name="_Toc164229361"/>
      <w:bookmarkStart w:id="128" w:name="_Toc164351614"/>
      <w:bookmarkStart w:id="129" w:name="_Toc265228358"/>
      <w:bookmarkStart w:id="130" w:name="_Toc151193690"/>
      <w:bookmarkStart w:id="131" w:name="_Toc151193618"/>
      <w:bookmarkStart w:id="132" w:name="_Toc226965793"/>
      <w:bookmarkStart w:id="133" w:name="_Toc151193762"/>
      <w:bookmarkStart w:id="134" w:name="_Toc164608789"/>
      <w:bookmarkStart w:id="135" w:name="_Toc142311022"/>
      <w:bookmarkStart w:id="136" w:name="_Toc226309764"/>
      <w:bookmarkStart w:id="137" w:name="_Toc150774620"/>
      <w:bookmarkStart w:id="138" w:name="_Toc127151721"/>
      <w:bookmarkStart w:id="139" w:name="_Toc151190147"/>
      <w:bookmarkStart w:id="140" w:name="_Toc164608634"/>
      <w:bookmarkStart w:id="141" w:name="_Toc150509271"/>
      <w:bookmarkStart w:id="142" w:name="_Toc151193834"/>
      <w:bookmarkStart w:id="143" w:name="_Toc195842885"/>
      <w:r>
        <w:rPr>
          <w:rFonts w:hint="eastAsia" w:cs="宋体" w:asciiTheme="minorEastAsia" w:hAnsiTheme="minorEastAsia" w:eastAsiaTheme="minorEastAsia"/>
          <w:sz w:val="24"/>
        </w:rPr>
        <w:t>2资金来源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cs="宋体" w:asciiTheme="minorEastAsia" w:hAnsiTheme="minorEastAsia" w:eastAsiaTheme="minorEastAsia"/>
          <w:sz w:val="24"/>
        </w:rPr>
        <w:t>、项目属性、科研仪器设备采购、核心产品</w:t>
      </w:r>
    </w:p>
    <w:p w14:paraId="7C1AC163">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2.1资金来源为财政性资金和/或本项目采购中无法与财政性资金分割的非财政性资金。</w:t>
      </w:r>
    </w:p>
    <w:p w14:paraId="2979FDF5">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2.2项目属性见《投标人须知资料表》。</w:t>
      </w:r>
    </w:p>
    <w:p w14:paraId="481077BF">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2.3是否属于科研仪器设备采购见《投标人须知资料表》。</w:t>
      </w:r>
    </w:p>
    <w:p w14:paraId="3ACEA8C3">
      <w:pPr>
        <w:tabs>
          <w:tab w:val="left" w:pos="1080"/>
          <w:tab w:val="left" w:pos="2014"/>
          <w:tab w:val="left" w:pos="5521"/>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2.4核心产品见《投标人须知资料表》。</w:t>
      </w:r>
    </w:p>
    <w:p w14:paraId="252D1A88">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3现场考察、开标前答疑会</w:t>
      </w:r>
    </w:p>
    <w:p w14:paraId="4E5F9724">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3.1若《投标人须知资料表》中规定了组织现场考察、召开开标前答疑会，则投标人应按要求在规定的时间和地点参加。</w:t>
      </w:r>
      <w:bookmarkStart w:id="144" w:name="_Toc151190149"/>
      <w:bookmarkStart w:id="145" w:name="_Toc195842887"/>
      <w:bookmarkStart w:id="146" w:name="_Toc264969212"/>
      <w:bookmarkStart w:id="147" w:name="_Toc150774622"/>
      <w:bookmarkStart w:id="148" w:name="_Toc151193910"/>
      <w:bookmarkStart w:id="149" w:name="_Toc150774727"/>
      <w:bookmarkStart w:id="150" w:name="_Toc226965712"/>
      <w:bookmarkStart w:id="151" w:name="_Toc305158864"/>
      <w:bookmarkStart w:id="152" w:name="_Toc150509273"/>
      <w:bookmarkStart w:id="153" w:name="_Toc305158790"/>
      <w:bookmarkStart w:id="154" w:name="_Toc127151522"/>
      <w:bookmarkStart w:id="155" w:name="_Toc226965795"/>
      <w:bookmarkStart w:id="156" w:name="_Toc150480760"/>
      <w:bookmarkStart w:id="157" w:name="_Toc142311024"/>
      <w:bookmarkStart w:id="158" w:name="_Toc226309766"/>
      <w:bookmarkStart w:id="159" w:name="_Toc265228360"/>
      <w:bookmarkStart w:id="160" w:name="_Toc151193764"/>
      <w:bookmarkStart w:id="161" w:name="_Toc151193620"/>
      <w:bookmarkStart w:id="162" w:name="_Toc151193836"/>
      <w:bookmarkStart w:id="163" w:name="_Toc151193692"/>
      <w:bookmarkStart w:id="164" w:name="_Toc226337218"/>
      <w:bookmarkStart w:id="165" w:name="_Toc520356146"/>
    </w:p>
    <w:p w14:paraId="443621B6">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3.2由于未参加现场考察或开标前答疑会而导致对项目实际情况不了解，影响投标文件编制、投标报价准确性、综合因素响应不全面等问题的，由投标人自行承担不利评审后果。</w:t>
      </w:r>
    </w:p>
    <w:p w14:paraId="6BB81097">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4样品</w:t>
      </w:r>
    </w:p>
    <w:p w14:paraId="0F616A05">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4.1本项目是否要求投标人提供样品，以及样品制作的标准和要求、是否需要随样品提交相关检测报告、样品的递交与退还等要求见《投标人须知资料表》。</w:t>
      </w:r>
    </w:p>
    <w:p w14:paraId="272CEA5B">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4.2样品的评审方法以及评审标准等内容见第四章《评标程序、评标方法和评标标准》。</w:t>
      </w:r>
    </w:p>
    <w:p w14:paraId="012762CE">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5政府采购政策（包括但不限于下列具体政策要求）</w:t>
      </w:r>
    </w:p>
    <w:p w14:paraId="5F061FB9">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5.1采购本国货物、工程和服务</w:t>
      </w:r>
    </w:p>
    <w:p w14:paraId="08FBE077">
      <w:pPr>
        <w:tabs>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kern w:val="0"/>
          <w:sz w:val="24"/>
        </w:rPr>
        <w:t>5.1.1政府采购应当采购本国货物、工程和服务。但有《</w:t>
      </w:r>
      <w:r>
        <w:rPr>
          <w:rFonts w:hint="eastAsia" w:cs="宋体" w:asciiTheme="minorEastAsia" w:hAnsiTheme="minorEastAsia" w:eastAsiaTheme="minorEastAsia"/>
          <w:b/>
          <w:kern w:val="0"/>
          <w:sz w:val="24"/>
        </w:rPr>
        <w:t>中华人民共和国政府采购法</w:t>
      </w:r>
      <w:r>
        <w:rPr>
          <w:rFonts w:hint="eastAsia" w:cs="宋体" w:asciiTheme="minorEastAsia" w:hAnsiTheme="minorEastAsia" w:eastAsiaTheme="minorEastAsia"/>
          <w:kern w:val="0"/>
          <w:sz w:val="24"/>
        </w:rPr>
        <w:t>》第十条规定情形的除外。</w:t>
      </w:r>
    </w:p>
    <w:p w14:paraId="41DEF585">
      <w:pPr>
        <w:tabs>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5.1.2本项目如接受非本国货物、工程、服务参与投标，则具体要求见第五章《采购需求》。</w:t>
      </w:r>
    </w:p>
    <w:p w14:paraId="217DC350">
      <w:pPr>
        <w:tabs>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BA9F4A">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5.2中小企业、监狱企业及残疾人福利性单位</w:t>
      </w:r>
    </w:p>
    <w:p w14:paraId="427DC1CF">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5.2.1中小企业定义：</w:t>
      </w:r>
    </w:p>
    <w:p w14:paraId="6D80F9A3">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07F5E172">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5.2.1.2供应商提供的货物、工程或者服务符合下列情形的，享受中小企业扶持政策：</w:t>
      </w:r>
    </w:p>
    <w:p w14:paraId="7ED6965F">
      <w:pPr>
        <w:tabs>
          <w:tab w:val="left" w:pos="19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（1）在货物采购项目中，货物由中小企业制造，即货物由中小企业生产且使用该中小企业商号或者注册商标；</w:t>
      </w:r>
    </w:p>
    <w:p w14:paraId="0953B10D">
      <w:pPr>
        <w:tabs>
          <w:tab w:val="left" w:pos="19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（2）在工程采购项目中，工程由中小企业承建，即工程施工单位为中小企业；</w:t>
      </w:r>
    </w:p>
    <w:p w14:paraId="6ABC00FC">
      <w:pPr>
        <w:tabs>
          <w:tab w:val="left" w:pos="19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（3）在服务采购项目中，服务由中小企业承接，即提供服务的人员为中小企业依照《中华人民共和国劳动合同法》订立劳动合同的从业人员。</w:t>
      </w:r>
    </w:p>
    <w:p w14:paraId="497EA567">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5.2.1.3在货物采购项目中，供应商提供的货物既有中小企业制造货物，也有大型企业制造货物的，不享受中小企业扶持政策。</w:t>
      </w:r>
    </w:p>
    <w:p w14:paraId="1A9C42CD">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5.2.1.4以联合体形式参加政府采购活动，联合体各方均为中小企业的，联合体视同中小企业。其中，联合体各方均为小微企业的，联合体视同小微企业。</w:t>
      </w:r>
    </w:p>
    <w:p w14:paraId="77BB78E7">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1A2C3A">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D1FA613">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5.2.3.1安置的残疾人占本单位在职职工人数的比例不低于25%（含25%），并且安置的残疾人人数不少于10 人（含10 人）；</w:t>
      </w:r>
    </w:p>
    <w:p w14:paraId="42333498">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5.2.3.2依法与安置的每位残疾人签订了一年以上（含一年）的劳动合同或服务协议；</w:t>
      </w:r>
    </w:p>
    <w:p w14:paraId="41757147">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5.2.3.3为安置的每位残疾人按月足额缴纳了基本养老保险、基本医疗保险、失业保险、工伤保险和生育保险等社会保险费；</w:t>
      </w:r>
    </w:p>
    <w:p w14:paraId="51878443">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5.2.3.4通过银行等金融机构向安置的每位残疾人，按月支付了不低于单位所在区县适用的经省级人民政府批准的月最低工资标准的工资；</w:t>
      </w:r>
    </w:p>
    <w:p w14:paraId="56E9E584">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5.2.3.5提供本单位制造的货物、承担的工程或者服务（以下简称产品），或者提供其他残疾人福利性单位制造的货物（不包括使用非残疾人福利性单位注册商标的货物）；</w:t>
      </w:r>
    </w:p>
    <w:p w14:paraId="6616D75C">
      <w:pPr>
        <w:tabs>
          <w:tab w:val="left" w:pos="1980"/>
          <w:tab w:val="left" w:pos="2035"/>
          <w:tab w:val="left" w:pos="2885"/>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550DF88">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5.2.4本项目是否专门面向中小企业预留采购份额见第一章《投标邀请》。</w:t>
      </w:r>
    </w:p>
    <w:p w14:paraId="5A9C2897">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5.2.5采购标的对应的中小企业划分标准所属行业见《投标人须知资料表》。</w:t>
      </w:r>
    </w:p>
    <w:p w14:paraId="33CE0DEF">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5.2.6小微企业价格评审优惠的政策调整：见第四章《评标程序、评标方法和评标标准》。</w:t>
      </w:r>
    </w:p>
    <w:p w14:paraId="02F964F1">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5.3政府采购节能产品、环境标志产品</w:t>
      </w:r>
    </w:p>
    <w:p w14:paraId="34A2203B">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BB577E">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186860">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5.3.3如本项目采购产品属于实施政府强制采购品目清单范围的节能产品，则投标人所报产品必须获得国家确定的认证机构出具的、处于有效期之内的节能产品认证证书，</w:t>
      </w:r>
      <w:r>
        <w:rPr>
          <w:rFonts w:hint="eastAsia" w:cs="宋体" w:asciiTheme="minorEastAsia" w:hAnsiTheme="minorEastAsia" w:eastAsiaTheme="minorEastAsia"/>
          <w:kern w:val="0"/>
          <w:sz w:val="24"/>
        </w:rPr>
        <w:t>否则</w:t>
      </w:r>
      <w:r>
        <w:rPr>
          <w:rFonts w:hint="eastAsia" w:cs="宋体" w:asciiTheme="minorEastAsia" w:hAnsiTheme="minorEastAsia" w:eastAsiaTheme="minorEastAsia"/>
          <w:b/>
          <w:kern w:val="0"/>
          <w:sz w:val="24"/>
        </w:rPr>
        <w:t>投标无效</w:t>
      </w:r>
      <w:r>
        <w:rPr>
          <w:rFonts w:hint="eastAsia" w:cs="宋体" w:asciiTheme="minorEastAsia" w:hAnsiTheme="minorEastAsia" w:eastAsiaTheme="minorEastAsia"/>
          <w:sz w:val="24"/>
        </w:rPr>
        <w:t>；</w:t>
      </w:r>
    </w:p>
    <w:p w14:paraId="1368D80F">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5.3.4非政府强制采购的节能产品或环境标志产品，依据品目清单和认证证书实施政府优先采购。优先采购的具体规定见第四章《评标程序、评标方法和评标标准》（如涉及）。</w:t>
      </w:r>
    </w:p>
    <w:p w14:paraId="38357F3B">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5.4正版软件</w:t>
      </w:r>
    </w:p>
    <w:p w14:paraId="775ED4B8">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C139254">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5.5网络安全专用产品</w:t>
      </w:r>
    </w:p>
    <w:p w14:paraId="65E1612D">
      <w:pPr>
        <w:tabs>
          <w:tab w:val="left" w:pos="90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259F230">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5.6推广使用低挥发性有机化合物（VOCs）</w:t>
      </w:r>
    </w:p>
    <w:p w14:paraId="1FACD210">
      <w:pPr>
        <w:tabs>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cs="宋体" w:asciiTheme="minorEastAsia" w:hAnsiTheme="minorEastAsia" w:eastAsiaTheme="minorEastAsia"/>
          <w:kern w:val="0"/>
          <w:sz w:val="24"/>
        </w:rPr>
        <w:t>否则</w:t>
      </w:r>
      <w:r>
        <w:rPr>
          <w:rFonts w:hint="eastAsia" w:cs="宋体" w:asciiTheme="minorEastAsia" w:hAnsiTheme="minorEastAsia" w:eastAsiaTheme="minorEastAsia"/>
          <w:b/>
          <w:kern w:val="0"/>
          <w:sz w:val="24"/>
        </w:rPr>
        <w:t>投标无效</w:t>
      </w:r>
      <w:r>
        <w:rPr>
          <w:rFonts w:hint="eastAsia" w:cs="宋体" w:asciiTheme="minorEastAsia" w:hAnsiTheme="minorEastAsia" w:eastAsiaTheme="minorEastAsia"/>
          <w:sz w:val="24"/>
        </w:rPr>
        <w:t>；属于推荐性标准的，优先采购，具体见第四章《评标程序、评标方法和评标标准》。</w:t>
      </w:r>
    </w:p>
    <w:p w14:paraId="4403733F">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5.7采购需求标准</w:t>
      </w:r>
    </w:p>
    <w:p w14:paraId="53692402">
      <w:pPr>
        <w:tabs>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5.7.1商品包装、快递包装政府采购需求标准（试行）</w:t>
      </w:r>
    </w:p>
    <w:p w14:paraId="03973EB1">
      <w:pPr>
        <w:tabs>
          <w:tab w:val="left" w:pos="900"/>
          <w:tab w:val="left" w:pos="19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4CB73C">
      <w:pPr>
        <w:tabs>
          <w:tab w:val="left" w:pos="2014"/>
        </w:tabs>
        <w:snapToGrid w:val="0"/>
        <w:spacing w:line="360" w:lineRule="auto"/>
        <w:rPr>
          <w:rFonts w:cs="宋体" w:asciiTheme="minorEastAsia" w:hAnsiTheme="minorEastAsia" w:eastAsiaTheme="minorEastAsia"/>
          <w:sz w:val="24"/>
        </w:rPr>
      </w:pPr>
      <w:bookmarkStart w:id="166" w:name="_Hlk164953935"/>
      <w:r>
        <w:rPr>
          <w:rFonts w:hint="eastAsia" w:cs="宋体" w:asciiTheme="minorEastAsia" w:hAnsiTheme="minorEastAsia" w:eastAsiaTheme="minorEastAsia"/>
          <w:sz w:val="24"/>
        </w:rPr>
        <w:t xml:space="preserve">5.7.2其他政府采购需求标准 </w:t>
      </w:r>
    </w:p>
    <w:bookmarkEnd w:id="166"/>
    <w:p w14:paraId="061E55B6">
      <w:pPr>
        <w:tabs>
          <w:tab w:val="left" w:pos="900"/>
          <w:tab w:val="left" w:pos="1980"/>
        </w:tabs>
        <w:snapToGrid w:val="0"/>
        <w:spacing w:line="360" w:lineRule="auto"/>
        <w:rPr>
          <w:rFonts w:cs="宋体" w:asciiTheme="minorEastAsia" w:hAnsiTheme="minorEastAsia" w:eastAsiaTheme="minorEastAsia"/>
          <w:sz w:val="24"/>
        </w:rPr>
      </w:pPr>
      <w:bookmarkStart w:id="167" w:name="_Hlk164955325"/>
      <w:r>
        <w:rPr>
          <w:rFonts w:hint="eastAsia" w:cs="宋体" w:asciiTheme="minorEastAsia" w:hAnsiTheme="minorEastAsia" w:eastAsiaTheme="minorEastAsia"/>
          <w:sz w:val="24"/>
        </w:rPr>
        <w:t>为贯彻落实《深化政府采购制度改革方案》有关要求，推动政府采购需求标准建设</w:t>
      </w:r>
      <w:bookmarkEnd w:id="167"/>
      <w:r>
        <w:rPr>
          <w:rFonts w:hint="eastAsia" w:cs="宋体" w:asciiTheme="minorEastAsia" w:hAnsiTheme="minorEastAsia" w:eastAsiaTheme="minorEastAsia"/>
          <w:sz w:val="24"/>
        </w:rPr>
        <w:t>，财政部门会同有关部门制定发布的其他政府采购需求标准，本项目如涉及，则具体要求见第五章《采购需求》。</w:t>
      </w:r>
    </w:p>
    <w:p w14:paraId="54CAE395">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6.投标费用</w:t>
      </w:r>
    </w:p>
    <w:p w14:paraId="0689BB60">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6.1投标人应自行承担所有与准备和参加投标有关的费用，无论投标的结果如何，采购人或采购代理机构在任何情况下均无承担这些费用的义务和责任。</w:t>
      </w:r>
    </w:p>
    <w:p w14:paraId="6CE60918">
      <w:pPr>
        <w:tabs>
          <w:tab w:val="left" w:pos="1080"/>
        </w:tabs>
        <w:snapToGrid w:val="0"/>
        <w:spacing w:line="360" w:lineRule="auto"/>
        <w:rPr>
          <w:rFonts w:cs="宋体" w:asciiTheme="minorEastAsia" w:hAnsiTheme="minorEastAsia" w:eastAsiaTheme="minorEastAsia"/>
          <w:sz w:val="24"/>
        </w:rPr>
      </w:pPr>
      <w:bookmarkStart w:id="168" w:name="_1.8_计量单位"/>
      <w:bookmarkEnd w:id="168"/>
    </w:p>
    <w:p w14:paraId="4FF7D8E6">
      <w:pPr>
        <w:pStyle w:val="3"/>
        <w:spacing w:before="0"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248E111">
      <w:pPr>
        <w:tabs>
          <w:tab w:val="left" w:pos="360"/>
        </w:tabs>
        <w:snapToGrid w:val="0"/>
        <w:spacing w:line="360" w:lineRule="auto"/>
        <w:outlineLvl w:val="1"/>
        <w:rPr>
          <w:rFonts w:cs="宋体" w:asciiTheme="minorEastAsia" w:hAnsiTheme="minorEastAsia" w:eastAsiaTheme="minorEastAsia"/>
          <w:sz w:val="24"/>
        </w:rPr>
      </w:pPr>
      <w:bookmarkStart w:id="169" w:name="_Toc264969213"/>
      <w:bookmarkStart w:id="170" w:name="_Toc164229218"/>
      <w:bookmarkStart w:id="171" w:name="_Toc151193837"/>
      <w:bookmarkStart w:id="172" w:name="_Toc226965796"/>
      <w:bookmarkStart w:id="173" w:name="_Toc142311025"/>
      <w:bookmarkStart w:id="174" w:name="_Toc127161437"/>
      <w:bookmarkStart w:id="175" w:name="_Toc164608637"/>
      <w:bookmarkStart w:id="176" w:name="_Toc127151724"/>
      <w:bookmarkStart w:id="177" w:name="_Toc150774623"/>
      <w:bookmarkStart w:id="178" w:name="_Toc149720816"/>
      <w:bookmarkStart w:id="179" w:name="_Toc151190150"/>
      <w:bookmarkStart w:id="180" w:name="_Toc195842888"/>
      <w:bookmarkStart w:id="181" w:name="_Toc164229364"/>
      <w:bookmarkStart w:id="182" w:name="_Toc150509274"/>
      <w:bookmarkStart w:id="183" w:name="_Toc151193693"/>
      <w:bookmarkStart w:id="184" w:name="_Toc150774728"/>
      <w:bookmarkStart w:id="185" w:name="_Toc164608792"/>
      <w:bookmarkStart w:id="186" w:name="_Toc151193621"/>
      <w:bookmarkStart w:id="187" w:name="_Toc164351617"/>
      <w:bookmarkStart w:id="188" w:name="_Toc305158865"/>
      <w:bookmarkStart w:id="189" w:name="_Toc226965713"/>
      <w:bookmarkStart w:id="190" w:name="_Toc151193911"/>
      <w:bookmarkStart w:id="191" w:name="_Toc226309767"/>
      <w:bookmarkStart w:id="192" w:name="_Toc150480761"/>
      <w:bookmarkStart w:id="193" w:name="_Toc226337219"/>
      <w:bookmarkStart w:id="194" w:name="_Toc305158791"/>
      <w:bookmarkStart w:id="195" w:name="_Toc265228361"/>
      <w:bookmarkStart w:id="196" w:name="_Toc151193765"/>
      <w:bookmarkStart w:id="197" w:name="_Toc520356147"/>
      <w:bookmarkStart w:id="198" w:name="_Toc127151523"/>
      <w:r>
        <w:rPr>
          <w:rFonts w:hint="eastAsia" w:cs="宋体" w:asciiTheme="minorEastAsia" w:hAnsiTheme="minorEastAsia" w:eastAsiaTheme="minorEastAsia"/>
          <w:sz w:val="24"/>
        </w:rPr>
        <w:t>7招标文件构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cs="宋体" w:asciiTheme="minorEastAsia" w:hAnsiTheme="minorEastAsia" w:eastAsiaTheme="minorEastAsia"/>
          <w:sz w:val="24"/>
        </w:rPr>
        <w:t>成</w:t>
      </w:r>
    </w:p>
    <w:p w14:paraId="70EF507E">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7.1招标文件包括以下部分：</w:t>
      </w:r>
    </w:p>
    <w:p w14:paraId="27EFF3C7">
      <w:pPr>
        <w:numPr>
          <w:ilvl w:val="0"/>
          <w:numId w:val="10"/>
        </w:numPr>
        <w:tabs>
          <w:tab w:val="left" w:pos="1980"/>
          <w:tab w:val="left" w:pos="2520"/>
        </w:tabs>
        <w:snapToGrid w:val="0"/>
        <w:spacing w:line="360" w:lineRule="auto"/>
        <w:ind w:left="0" w:firstLine="0"/>
        <w:rPr>
          <w:rFonts w:cs="宋体" w:asciiTheme="minorEastAsia" w:hAnsiTheme="minorEastAsia" w:eastAsiaTheme="minorEastAsia"/>
          <w:sz w:val="24"/>
        </w:rPr>
      </w:pPr>
      <w:r>
        <w:rPr>
          <w:rFonts w:hint="eastAsia" w:cs="宋体" w:asciiTheme="minorEastAsia" w:hAnsiTheme="minorEastAsia" w:eastAsiaTheme="minorEastAsia"/>
          <w:sz w:val="24"/>
        </w:rPr>
        <w:t>投标邀请</w:t>
      </w:r>
    </w:p>
    <w:p w14:paraId="3B67D277">
      <w:pPr>
        <w:numPr>
          <w:ilvl w:val="0"/>
          <w:numId w:val="10"/>
        </w:numPr>
        <w:tabs>
          <w:tab w:val="left" w:pos="1980"/>
          <w:tab w:val="left" w:pos="2520"/>
        </w:tabs>
        <w:snapToGrid w:val="0"/>
        <w:spacing w:line="360" w:lineRule="auto"/>
        <w:ind w:left="0" w:firstLine="0"/>
        <w:rPr>
          <w:rFonts w:cs="宋体" w:asciiTheme="minorEastAsia" w:hAnsiTheme="minorEastAsia" w:eastAsiaTheme="minorEastAsia"/>
          <w:sz w:val="24"/>
        </w:rPr>
      </w:pPr>
      <w:r>
        <w:rPr>
          <w:rFonts w:hint="eastAsia" w:cs="宋体" w:asciiTheme="minorEastAsia" w:hAnsiTheme="minorEastAsia" w:eastAsiaTheme="minorEastAsia"/>
          <w:sz w:val="24"/>
        </w:rPr>
        <w:t>投标人须知</w:t>
      </w:r>
    </w:p>
    <w:p w14:paraId="1901E96A">
      <w:pPr>
        <w:numPr>
          <w:ilvl w:val="0"/>
          <w:numId w:val="10"/>
        </w:numPr>
        <w:tabs>
          <w:tab w:val="left" w:pos="1980"/>
          <w:tab w:val="left" w:pos="2520"/>
        </w:tabs>
        <w:snapToGrid w:val="0"/>
        <w:spacing w:line="360" w:lineRule="auto"/>
        <w:ind w:left="0" w:firstLine="0"/>
        <w:rPr>
          <w:rFonts w:cs="宋体" w:asciiTheme="minorEastAsia" w:hAnsiTheme="minorEastAsia" w:eastAsiaTheme="minorEastAsia"/>
          <w:sz w:val="24"/>
        </w:rPr>
      </w:pPr>
      <w:r>
        <w:rPr>
          <w:rFonts w:hint="eastAsia" w:cs="宋体" w:asciiTheme="minorEastAsia" w:hAnsiTheme="minorEastAsia" w:eastAsiaTheme="minorEastAsia"/>
          <w:sz w:val="24"/>
        </w:rPr>
        <w:t>资格审查</w:t>
      </w:r>
    </w:p>
    <w:p w14:paraId="7964343D">
      <w:pPr>
        <w:numPr>
          <w:ilvl w:val="0"/>
          <w:numId w:val="10"/>
        </w:numPr>
        <w:tabs>
          <w:tab w:val="left" w:pos="1980"/>
          <w:tab w:val="left" w:pos="2520"/>
        </w:tabs>
        <w:snapToGrid w:val="0"/>
        <w:spacing w:line="360" w:lineRule="auto"/>
        <w:ind w:left="0" w:firstLine="0"/>
        <w:rPr>
          <w:rFonts w:cs="宋体" w:asciiTheme="minorEastAsia" w:hAnsiTheme="minorEastAsia" w:eastAsiaTheme="minorEastAsia"/>
          <w:sz w:val="24"/>
        </w:rPr>
      </w:pPr>
      <w:r>
        <w:rPr>
          <w:rFonts w:hint="eastAsia" w:cs="宋体" w:asciiTheme="minorEastAsia" w:hAnsiTheme="minorEastAsia" w:eastAsiaTheme="minorEastAsia"/>
          <w:sz w:val="24"/>
        </w:rPr>
        <w:t>评标程序、评标方法和评标标准</w:t>
      </w:r>
    </w:p>
    <w:p w14:paraId="1434F2DC">
      <w:pPr>
        <w:numPr>
          <w:ilvl w:val="0"/>
          <w:numId w:val="10"/>
        </w:numPr>
        <w:tabs>
          <w:tab w:val="left" w:pos="1980"/>
          <w:tab w:val="left" w:pos="2520"/>
        </w:tabs>
        <w:snapToGrid w:val="0"/>
        <w:spacing w:line="360" w:lineRule="auto"/>
        <w:ind w:left="0" w:firstLine="0"/>
        <w:rPr>
          <w:rFonts w:cs="宋体" w:asciiTheme="minorEastAsia" w:hAnsiTheme="minorEastAsia" w:eastAsiaTheme="minorEastAsia"/>
          <w:sz w:val="24"/>
        </w:rPr>
      </w:pPr>
      <w:r>
        <w:rPr>
          <w:rFonts w:hint="eastAsia" w:cs="宋体" w:asciiTheme="minorEastAsia" w:hAnsiTheme="minorEastAsia" w:eastAsiaTheme="minorEastAsia"/>
          <w:sz w:val="24"/>
        </w:rPr>
        <w:t>采购需求</w:t>
      </w:r>
    </w:p>
    <w:p w14:paraId="4E55AE93">
      <w:pPr>
        <w:numPr>
          <w:ilvl w:val="0"/>
          <w:numId w:val="10"/>
        </w:numPr>
        <w:tabs>
          <w:tab w:val="left" w:pos="1980"/>
          <w:tab w:val="left" w:pos="2520"/>
        </w:tabs>
        <w:snapToGrid w:val="0"/>
        <w:spacing w:line="360" w:lineRule="auto"/>
        <w:ind w:left="0" w:firstLine="0"/>
        <w:rPr>
          <w:rFonts w:cs="宋体" w:asciiTheme="minorEastAsia" w:hAnsiTheme="minorEastAsia" w:eastAsiaTheme="minorEastAsia"/>
          <w:sz w:val="24"/>
        </w:rPr>
      </w:pPr>
      <w:r>
        <w:rPr>
          <w:rFonts w:hint="eastAsia" w:cs="宋体" w:asciiTheme="minorEastAsia" w:hAnsiTheme="minorEastAsia" w:eastAsiaTheme="minorEastAsia"/>
          <w:sz w:val="24"/>
        </w:rPr>
        <w:t>拟签订的合同文本</w:t>
      </w:r>
    </w:p>
    <w:p w14:paraId="48171046">
      <w:pPr>
        <w:numPr>
          <w:ilvl w:val="0"/>
          <w:numId w:val="10"/>
        </w:numPr>
        <w:tabs>
          <w:tab w:val="left" w:pos="1980"/>
          <w:tab w:val="left" w:pos="2520"/>
        </w:tabs>
        <w:snapToGrid w:val="0"/>
        <w:spacing w:line="360" w:lineRule="auto"/>
        <w:ind w:left="0" w:firstLine="0"/>
        <w:rPr>
          <w:rFonts w:cs="宋体" w:asciiTheme="minorEastAsia" w:hAnsiTheme="minorEastAsia" w:eastAsiaTheme="minorEastAsia"/>
          <w:sz w:val="24"/>
        </w:rPr>
      </w:pPr>
      <w:r>
        <w:rPr>
          <w:rFonts w:hint="eastAsia" w:cs="宋体" w:asciiTheme="minorEastAsia" w:hAnsiTheme="minorEastAsia" w:eastAsiaTheme="minorEastAsia"/>
          <w:sz w:val="24"/>
        </w:rPr>
        <w:t>投标文件格式</w:t>
      </w:r>
    </w:p>
    <w:p w14:paraId="37D82339">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7.2投标人应认真阅读招标文件的全部内容。投标人应按照招标文件要求提交投标文件并保证所提供的全部资料的真实性，并对招标文件做出实质性响应，否则</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79CC1AB8">
      <w:pPr>
        <w:tabs>
          <w:tab w:val="left" w:pos="1080"/>
          <w:tab w:val="left" w:pos="2014"/>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8对招标文件的澄清或修改</w:t>
      </w:r>
    </w:p>
    <w:p w14:paraId="2629FCF5">
      <w:pPr>
        <w:tabs>
          <w:tab w:val="left" w:pos="1080"/>
          <w:tab w:val="left" w:pos="1561"/>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8.1采购人或采购代理机构对已发出的招标文件进行必要澄清或者修改的，将在原公告发布媒体上发布更正公告，并以书面形式通知所有获取招标文件的潜在投标人。</w:t>
      </w:r>
    </w:p>
    <w:p w14:paraId="33D9FD13">
      <w:pPr>
        <w:tabs>
          <w:tab w:val="left" w:pos="1080"/>
          <w:tab w:val="left" w:pos="1561"/>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8.2上述书面通知，按照获取招标文件的潜在投标人提供的联系方式发出，因提供的信息有误导致通知延迟或无法通知的，采购人或采购代理机构不承担责任。</w:t>
      </w:r>
    </w:p>
    <w:p w14:paraId="4CCE92F9">
      <w:pPr>
        <w:tabs>
          <w:tab w:val="left" w:pos="1080"/>
          <w:tab w:val="left" w:pos="1561"/>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BE948D4">
      <w:pPr>
        <w:tabs>
          <w:tab w:val="left" w:pos="1080"/>
          <w:tab w:val="left" w:pos="1561"/>
        </w:tabs>
        <w:snapToGrid w:val="0"/>
        <w:spacing w:line="360" w:lineRule="auto"/>
        <w:rPr>
          <w:rFonts w:cs="宋体" w:asciiTheme="minorEastAsia" w:hAnsiTheme="minorEastAsia" w:eastAsiaTheme="minorEastAsia"/>
          <w:sz w:val="24"/>
        </w:rPr>
      </w:pPr>
      <w:bookmarkStart w:id="199" w:name="_Toc516367020"/>
      <w:bookmarkStart w:id="200" w:name="_Toc151193840"/>
      <w:bookmarkStart w:id="201" w:name="_Toc142311028"/>
      <w:bookmarkStart w:id="202" w:name="_Toc226309770"/>
      <w:bookmarkStart w:id="203" w:name="_Toc305158794"/>
      <w:bookmarkStart w:id="204" w:name="_Toc226965799"/>
      <w:bookmarkStart w:id="205" w:name="_Toc150774731"/>
      <w:bookmarkStart w:id="206" w:name="_Toc226337222"/>
      <w:bookmarkStart w:id="207" w:name="_Toc195842891"/>
      <w:bookmarkStart w:id="208" w:name="_Toc150774626"/>
      <w:bookmarkStart w:id="209" w:name="_Toc151193768"/>
      <w:bookmarkStart w:id="210" w:name="_Toc226965716"/>
      <w:bookmarkStart w:id="211" w:name="_Toc150480764"/>
      <w:bookmarkStart w:id="212" w:name="_Toc151190153"/>
      <w:bookmarkStart w:id="213" w:name="_Toc127151526"/>
      <w:bookmarkStart w:id="214" w:name="_Toc520356150"/>
      <w:bookmarkStart w:id="215" w:name="_Toc151193914"/>
      <w:bookmarkStart w:id="216" w:name="_Toc305158868"/>
      <w:bookmarkStart w:id="217" w:name="_Toc151193624"/>
      <w:bookmarkStart w:id="218" w:name="_Toc150509277"/>
      <w:bookmarkStart w:id="219" w:name="_Toc264969216"/>
      <w:bookmarkStart w:id="220" w:name="_Toc151193696"/>
      <w:bookmarkStart w:id="221" w:name="_Toc265228364"/>
    </w:p>
    <w:p w14:paraId="2F9BB5D9">
      <w:pPr>
        <w:pStyle w:val="3"/>
        <w:spacing w:before="0"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   投标文件</w:t>
      </w:r>
      <w:bookmarkEnd w:id="199"/>
      <w:r>
        <w:rPr>
          <w:rFonts w:hint="eastAsia" w:cs="宋体" w:asciiTheme="minorEastAsia" w:hAnsiTheme="minorEastAsia" w:eastAsiaTheme="minorEastAsia"/>
          <w:sz w:val="24"/>
          <w:szCs w:val="24"/>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39C0E97">
      <w:pPr>
        <w:tabs>
          <w:tab w:val="left" w:pos="360"/>
        </w:tabs>
        <w:snapToGrid w:val="0"/>
        <w:spacing w:line="360" w:lineRule="auto"/>
        <w:outlineLvl w:val="1"/>
        <w:rPr>
          <w:rFonts w:cs="宋体" w:asciiTheme="minorEastAsia" w:hAnsiTheme="minorEastAsia" w:eastAsiaTheme="minorEastAsia"/>
          <w:sz w:val="24"/>
        </w:rPr>
      </w:pPr>
      <w:bookmarkStart w:id="222" w:name="_Toc264969217"/>
      <w:bookmarkStart w:id="223" w:name="_Toc142311029"/>
      <w:bookmarkStart w:id="224" w:name="_Toc226965717"/>
      <w:bookmarkStart w:id="225" w:name="_Toc127151728"/>
      <w:bookmarkStart w:id="226" w:name="_Toc164229222"/>
      <w:bookmarkStart w:id="227" w:name="_Toc195842892"/>
      <w:bookmarkStart w:id="228" w:name="_Toc305158869"/>
      <w:bookmarkStart w:id="229" w:name="_Toc305158795"/>
      <w:bookmarkStart w:id="230" w:name="_Toc164608641"/>
      <w:bookmarkStart w:id="231" w:name="_Toc150774732"/>
      <w:bookmarkStart w:id="232" w:name="_Toc164608796"/>
      <w:bookmarkStart w:id="233" w:name="_Toc516367021"/>
      <w:bookmarkStart w:id="234" w:name="_Toc150480765"/>
      <w:bookmarkStart w:id="235" w:name="_Toc265228365"/>
      <w:bookmarkStart w:id="236" w:name="_Toc151193769"/>
      <w:bookmarkStart w:id="237" w:name="_Toc226965800"/>
      <w:bookmarkStart w:id="238" w:name="_Toc151193697"/>
      <w:bookmarkStart w:id="239" w:name="_Toc127151527"/>
      <w:bookmarkStart w:id="240" w:name="_Toc150774627"/>
      <w:bookmarkStart w:id="241" w:name="_Toc520356151"/>
      <w:bookmarkStart w:id="242" w:name="_Toc150509278"/>
      <w:bookmarkStart w:id="243" w:name="_Toc151190154"/>
      <w:bookmarkStart w:id="244" w:name="_Toc226309771"/>
      <w:bookmarkStart w:id="245" w:name="_Toc151193915"/>
      <w:bookmarkStart w:id="246" w:name="_Toc151193841"/>
      <w:bookmarkStart w:id="247" w:name="_Toc164351621"/>
      <w:bookmarkStart w:id="248" w:name="_Toc226337223"/>
      <w:bookmarkStart w:id="249" w:name="_Toc149720820"/>
      <w:bookmarkStart w:id="250" w:name="_Toc151193625"/>
      <w:bookmarkStart w:id="251" w:name="_Toc164229368"/>
      <w:bookmarkStart w:id="252" w:name="_Toc127161441"/>
      <w:r>
        <w:rPr>
          <w:rFonts w:hint="eastAsia" w:cs="宋体" w:asciiTheme="minorEastAsia" w:hAnsiTheme="minorEastAsia" w:eastAsiaTheme="minorEastAsia"/>
          <w:sz w:val="24"/>
        </w:rPr>
        <w:t>9投标范围、投标文件中计量单位的使用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cs="宋体" w:asciiTheme="minorEastAsia" w:hAnsiTheme="minorEastAsia" w:eastAsiaTheme="minorEastAsia"/>
          <w:sz w:val="24"/>
        </w:rPr>
        <w:t>及投标语言</w:t>
      </w:r>
    </w:p>
    <w:p w14:paraId="14E878A5">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cs="宋体" w:asciiTheme="minorEastAsia" w:hAnsiTheme="minorEastAsia" w:eastAsiaTheme="minorEastAsia"/>
          <w:b/>
          <w:sz w:val="24"/>
        </w:rPr>
        <w:t>无效投标</w:t>
      </w:r>
      <w:r>
        <w:rPr>
          <w:rFonts w:hint="eastAsia" w:cs="宋体" w:asciiTheme="minorEastAsia" w:hAnsiTheme="minorEastAsia" w:eastAsiaTheme="minorEastAsia"/>
          <w:sz w:val="24"/>
        </w:rPr>
        <w:t>。</w:t>
      </w:r>
    </w:p>
    <w:p w14:paraId="356917DA">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9.2除招标文件有特殊要求外，本项目投标所使用的计量单位，应采用中华人民共和国法定计量单位。</w:t>
      </w:r>
    </w:p>
    <w:p w14:paraId="1BC4CBBB">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7C88DFD">
      <w:pPr>
        <w:tabs>
          <w:tab w:val="left" w:pos="360"/>
        </w:tabs>
        <w:snapToGrid w:val="0"/>
        <w:spacing w:line="360" w:lineRule="auto"/>
        <w:outlineLvl w:val="1"/>
        <w:rPr>
          <w:rFonts w:cs="宋体" w:asciiTheme="minorEastAsia" w:hAnsiTheme="minorEastAsia" w:eastAsiaTheme="minorEastAsia"/>
          <w:sz w:val="24"/>
        </w:rPr>
      </w:pPr>
      <w:bookmarkStart w:id="253" w:name="_Ref467306195"/>
      <w:bookmarkStart w:id="254" w:name="_Ref467306676"/>
      <w:bookmarkStart w:id="255" w:name="_Toc516367022"/>
      <w:bookmarkStart w:id="256" w:name="_Toc151193698"/>
      <w:bookmarkStart w:id="257" w:name="_Toc127151528"/>
      <w:bookmarkStart w:id="258" w:name="_Toc265228366"/>
      <w:bookmarkStart w:id="259" w:name="_Toc149720821"/>
      <w:bookmarkStart w:id="260" w:name="_Toc150774628"/>
      <w:bookmarkStart w:id="261" w:name="_Toc305158796"/>
      <w:bookmarkStart w:id="262" w:name="_Toc520356152"/>
      <w:bookmarkStart w:id="263" w:name="_Toc226965801"/>
      <w:bookmarkStart w:id="264" w:name="_Toc164229369"/>
      <w:bookmarkStart w:id="265" w:name="_Toc151193626"/>
      <w:bookmarkStart w:id="266" w:name="_Toc305158870"/>
      <w:bookmarkStart w:id="267" w:name="_Toc226309772"/>
      <w:bookmarkStart w:id="268" w:name="_Toc127151729"/>
      <w:bookmarkStart w:id="269" w:name="_Toc150480766"/>
      <w:bookmarkStart w:id="270" w:name="_Toc164229223"/>
      <w:bookmarkStart w:id="271" w:name="_Toc151193770"/>
      <w:bookmarkStart w:id="272" w:name="_Toc151193842"/>
      <w:bookmarkStart w:id="273" w:name="_Toc164351622"/>
      <w:bookmarkStart w:id="274" w:name="_Toc195842893"/>
      <w:bookmarkStart w:id="275" w:name="_Toc150509279"/>
      <w:bookmarkStart w:id="276" w:name="_Toc151190155"/>
      <w:bookmarkStart w:id="277" w:name="_Toc226965718"/>
      <w:bookmarkStart w:id="278" w:name="_Toc151193916"/>
      <w:bookmarkStart w:id="279" w:name="_Toc264969218"/>
      <w:bookmarkStart w:id="280" w:name="_Toc142311030"/>
      <w:bookmarkStart w:id="281" w:name="_Toc164608642"/>
      <w:bookmarkStart w:id="282" w:name="_Toc164608797"/>
      <w:bookmarkStart w:id="283" w:name="_Toc150774733"/>
      <w:bookmarkStart w:id="284" w:name="_Toc226337224"/>
      <w:bookmarkStart w:id="285" w:name="_Toc127161442"/>
      <w:r>
        <w:rPr>
          <w:rFonts w:hint="eastAsia" w:cs="宋体" w:asciiTheme="minorEastAsia" w:hAnsiTheme="minorEastAsia" w:eastAsiaTheme="minorEastAsia"/>
          <w:sz w:val="24"/>
        </w:rPr>
        <w:t>10投标文件</w:t>
      </w:r>
      <w:bookmarkEnd w:id="253"/>
      <w:bookmarkEnd w:id="254"/>
      <w:bookmarkEnd w:id="255"/>
      <w:r>
        <w:rPr>
          <w:rFonts w:hint="eastAsia" w:cs="宋体" w:asciiTheme="minorEastAsia" w:hAnsiTheme="minorEastAsia" w:eastAsiaTheme="minor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3FC0093">
      <w:pPr>
        <w:tabs>
          <w:tab w:val="left" w:pos="1080"/>
          <w:tab w:val="left" w:pos="2014"/>
        </w:tabs>
        <w:snapToGrid w:val="0"/>
        <w:spacing w:line="360" w:lineRule="auto"/>
        <w:rPr>
          <w:rFonts w:cs="宋体" w:asciiTheme="minorEastAsia" w:hAnsiTheme="minorEastAsia" w:eastAsiaTheme="minorEastAsia"/>
          <w:sz w:val="24"/>
        </w:rPr>
      </w:pPr>
      <w:bookmarkStart w:id="286" w:name="_Ref467052588"/>
      <w:r>
        <w:rPr>
          <w:rFonts w:hint="eastAsia" w:cs="宋体" w:asciiTheme="minorEastAsia" w:hAnsiTheme="minorEastAsia" w:eastAsiaTheme="minorEastAsia"/>
          <w:sz w:val="24"/>
        </w:rPr>
        <w:t>10.1投标人应当按照招标文件的要求编制投标文件。投标文件应由《资格证明文件》、《商务技术文件》两部分构成。投标文件的部分格式要求，见第七章《投标文件格式》。</w:t>
      </w:r>
    </w:p>
    <w:p w14:paraId="45AEBCD4">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kern w:val="0"/>
          <w:sz w:val="24"/>
        </w:rPr>
        <w:t>10.2对于招标文件中标记了“实质性格式”文件的，</w:t>
      </w:r>
      <w:r>
        <w:rPr>
          <w:rFonts w:hint="eastAsia" w:cs="宋体" w:asciiTheme="minorEastAsia" w:hAnsiTheme="minorEastAsia" w:eastAsia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cs="宋体" w:asciiTheme="minorEastAsia" w:hAnsiTheme="minorEastAsia" w:eastAsiaTheme="minorEastAsia"/>
          <w:kern w:val="0"/>
          <w:sz w:val="24"/>
        </w:rPr>
        <w:t>否则</w:t>
      </w:r>
      <w:r>
        <w:rPr>
          <w:rFonts w:hint="eastAsia" w:cs="宋体" w:asciiTheme="minorEastAsia" w:hAnsiTheme="minorEastAsia" w:eastAsiaTheme="minorEastAsia"/>
          <w:b/>
          <w:kern w:val="0"/>
          <w:sz w:val="24"/>
        </w:rPr>
        <w:t>投标无效</w:t>
      </w:r>
      <w:r>
        <w:rPr>
          <w:rFonts w:hint="eastAsia" w:cs="宋体" w:asciiTheme="minorEastAsia" w:hAnsiTheme="minorEastAsia" w:eastAsiaTheme="minorEastAsia"/>
          <w:kern w:val="0"/>
          <w:sz w:val="24"/>
        </w:rPr>
        <w:t>。未标记“实质性格式”的文件和招标文件未提供格式的内容，可由投标人自行编写。</w:t>
      </w:r>
    </w:p>
    <w:p w14:paraId="5B8ED80C">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10.3第四章《评标程序、评标方法和评标标准》中涉及的证明文件。</w:t>
      </w:r>
    </w:p>
    <w:p w14:paraId="120325B2">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1DC9CF45">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10.5投标人认为应附的其他材料。</w:t>
      </w:r>
      <w:bookmarkEnd w:id="286"/>
    </w:p>
    <w:p w14:paraId="622146FB">
      <w:pPr>
        <w:tabs>
          <w:tab w:val="left" w:pos="360"/>
        </w:tabs>
        <w:snapToGrid w:val="0"/>
        <w:spacing w:line="360" w:lineRule="auto"/>
        <w:outlineLvl w:val="1"/>
        <w:rPr>
          <w:rFonts w:cs="宋体" w:asciiTheme="minorEastAsia" w:hAnsiTheme="minorEastAsia" w:eastAsiaTheme="minorEastAsia"/>
          <w:sz w:val="24"/>
        </w:rPr>
      </w:pPr>
      <w:bookmarkStart w:id="287" w:name="_Toc127151530"/>
      <w:bookmarkStart w:id="288" w:name="_Toc150774735"/>
      <w:bookmarkStart w:id="289" w:name="_Toc151193844"/>
      <w:bookmarkStart w:id="290" w:name="_Toc164229225"/>
      <w:bookmarkStart w:id="291" w:name="_Toc151193700"/>
      <w:bookmarkStart w:id="292" w:name="_Toc150774630"/>
      <w:bookmarkStart w:id="293" w:name="_Toc520356155"/>
      <w:bookmarkStart w:id="294" w:name="_Toc151190157"/>
      <w:bookmarkStart w:id="295" w:name="_Toc164608799"/>
      <w:bookmarkStart w:id="296" w:name="_Toc164351624"/>
      <w:bookmarkStart w:id="297" w:name="_Toc150509281"/>
      <w:bookmarkStart w:id="298" w:name="_Toc151193772"/>
      <w:bookmarkStart w:id="299" w:name="_Toc151193918"/>
      <w:bookmarkStart w:id="300" w:name="_Toc151193628"/>
      <w:bookmarkStart w:id="301" w:name="_Toc164608644"/>
      <w:bookmarkStart w:id="302" w:name="_Toc127151731"/>
      <w:bookmarkStart w:id="303" w:name="_Toc142311032"/>
      <w:bookmarkStart w:id="304" w:name="_Toc150480768"/>
      <w:bookmarkStart w:id="305" w:name="_Toc164229371"/>
      <w:bookmarkStart w:id="306" w:name="_Toc195842895"/>
      <w:bookmarkStart w:id="307" w:name="_Toc149720823"/>
      <w:bookmarkStart w:id="308" w:name="_Toc127161444"/>
      <w:r>
        <w:rPr>
          <w:rFonts w:hint="eastAsia" w:cs="宋体" w:asciiTheme="minorEastAsia" w:hAnsiTheme="minorEastAsia" w:eastAsiaTheme="minorEastAsia"/>
          <w:sz w:val="24"/>
        </w:rPr>
        <w:t>11投标报价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1ACFEE0">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11.1所有投标均以人民币为计价货币。</w:t>
      </w:r>
    </w:p>
    <w:p w14:paraId="54BA9C3C">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11.2投标人的报价应包括为完成本项目所发生的一切费用和税费，采购人将不再支付报价以外的任何费用。投标人的报价应包括但不限于下列内容，《投标人须知资料表》中有特殊规定的，从其规定。</w:t>
      </w:r>
    </w:p>
    <w:p w14:paraId="160880DE">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447AAC">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11.2.2按照招标文件要求完成本项目的全部相关费用。 </w:t>
      </w:r>
    </w:p>
    <w:p w14:paraId="6122F0E6">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11.3采购人不得向供应商索要或者接受其给予的赠品、回扣或者与采购无关的其他商品、服务。</w:t>
      </w:r>
    </w:p>
    <w:p w14:paraId="14808E49">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11.4投标人不能提供任何有选择性或可调整的报价（招标文件另有规定的除外），否则其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22DF3B1F">
      <w:pPr>
        <w:numPr>
          <w:ilvl w:val="0"/>
          <w:numId w:val="11"/>
        </w:numPr>
        <w:tabs>
          <w:tab w:val="left" w:pos="360"/>
        </w:tabs>
        <w:snapToGrid w:val="0"/>
        <w:spacing w:line="360" w:lineRule="auto"/>
        <w:ind w:left="0" w:firstLine="0"/>
        <w:outlineLvl w:val="1"/>
        <w:rPr>
          <w:rFonts w:cs="宋体" w:asciiTheme="minorEastAsia" w:hAnsiTheme="minorEastAsia" w:eastAsiaTheme="minorEastAsia"/>
          <w:sz w:val="24"/>
        </w:rPr>
      </w:pPr>
      <w:bookmarkStart w:id="309" w:name="_Toc150509282"/>
      <w:bookmarkStart w:id="310" w:name="_Toc265228369"/>
      <w:bookmarkStart w:id="311" w:name="_Toc151193845"/>
      <w:bookmarkStart w:id="312" w:name="_Toc226965804"/>
      <w:bookmarkStart w:id="313" w:name="_Toc151193773"/>
      <w:bookmarkStart w:id="314" w:name="_Toc151193629"/>
      <w:bookmarkStart w:id="315" w:name="_Toc305158873"/>
      <w:bookmarkStart w:id="316" w:name="_Toc305158799"/>
      <w:bookmarkStart w:id="317" w:name="_Toc127151732"/>
      <w:bookmarkStart w:id="318" w:name="_Toc164351625"/>
      <w:bookmarkStart w:id="319" w:name="_Ref467306513"/>
      <w:bookmarkStart w:id="320" w:name="_Toc226337227"/>
      <w:bookmarkStart w:id="321" w:name="_Toc151193919"/>
      <w:bookmarkStart w:id="322" w:name="_Toc151190158"/>
      <w:bookmarkStart w:id="323" w:name="_Toc149720824"/>
      <w:bookmarkStart w:id="324" w:name="_Toc195842896"/>
      <w:bookmarkStart w:id="325" w:name="_Toc164608645"/>
      <w:bookmarkStart w:id="326" w:name="_Toc151193701"/>
      <w:bookmarkStart w:id="327" w:name="_Toc127161445"/>
      <w:bookmarkStart w:id="328" w:name="_Toc150480769"/>
      <w:bookmarkStart w:id="329" w:name="_Toc164608800"/>
      <w:bookmarkStart w:id="330" w:name="_Toc264969221"/>
      <w:bookmarkStart w:id="331" w:name="_Toc164229226"/>
      <w:bookmarkStart w:id="332" w:name="_Toc142311033"/>
      <w:bookmarkStart w:id="333" w:name="_Toc226309775"/>
      <w:bookmarkStart w:id="334" w:name="_Toc150774736"/>
      <w:bookmarkStart w:id="335" w:name="_Toc150774631"/>
      <w:bookmarkStart w:id="336" w:name="_Toc226965721"/>
      <w:bookmarkStart w:id="337" w:name="_Toc127151531"/>
      <w:bookmarkStart w:id="338" w:name="_Toc520356156"/>
      <w:bookmarkStart w:id="339" w:name="_Toc164229372"/>
      <w:r>
        <w:rPr>
          <w:rFonts w:hint="eastAsia" w:cs="宋体" w:asciiTheme="minorEastAsia" w:hAnsiTheme="minorEastAsia" w:eastAsiaTheme="minorEastAsia"/>
          <w:sz w:val="24"/>
        </w:rPr>
        <w:t>12投标保证金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8EBDB5E">
      <w:pPr>
        <w:tabs>
          <w:tab w:val="left" w:pos="1080"/>
          <w:tab w:val="left" w:pos="2014"/>
        </w:tabs>
        <w:snapToGrid w:val="0"/>
        <w:spacing w:line="360" w:lineRule="auto"/>
        <w:rPr>
          <w:rFonts w:cs="宋体" w:asciiTheme="minorEastAsia" w:hAnsiTheme="minorEastAsia" w:eastAsiaTheme="minorEastAsia"/>
          <w:sz w:val="24"/>
        </w:rPr>
      </w:pPr>
      <w:bookmarkStart w:id="340" w:name="_Ref467306302"/>
      <w:r>
        <w:rPr>
          <w:rFonts w:hint="eastAsia" w:cs="宋体" w:asciiTheme="minorEastAsia" w:hAnsiTheme="minorEastAsia" w:eastAsiaTheme="minorEastAsia"/>
          <w:sz w:val="24"/>
        </w:rPr>
        <w:t>12.1投标人应按《投标人须知资料表》中规定的金额及要求交纳投标保证金</w:t>
      </w:r>
      <w:bookmarkEnd w:id="340"/>
      <w:r>
        <w:rPr>
          <w:rFonts w:hint="eastAsia" w:cs="宋体" w:asciiTheme="minorEastAsia" w:hAnsiTheme="minorEastAsia" w:eastAsiaTheme="minorEastAsia"/>
          <w:sz w:val="24"/>
        </w:rPr>
        <w:t>。投标人自愿超额缴纳投标保证金的，投标文件不做无效处理。</w:t>
      </w:r>
    </w:p>
    <w:p w14:paraId="3B4B8D73">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12.2交纳投标保证金可采用的形式：政府采购法律法规接受的支票、汇票、本票、网上银行支付或者金融机构、担保机构出具的保函等非现金形式。</w:t>
      </w:r>
    </w:p>
    <w:p w14:paraId="5C7E489F">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rFonts w:hint="eastAsia" w:cs="宋体" w:asciiTheme="minorEastAsia" w:hAnsiTheme="minorEastAsia" w:eastAsiaTheme="minorEastAsia"/>
          <w:sz w:val="24"/>
          <w:lang w:bidi="ar"/>
        </w:rPr>
        <w:t>。</w:t>
      </w:r>
      <w:bookmarkEnd w:id="341"/>
      <w:r>
        <w:rPr>
          <w:rFonts w:hint="eastAsia" w:cs="宋体" w:asciiTheme="minorEastAsia" w:hAnsiTheme="minorEastAsia" w:eastAsiaTheme="minorEastAsia"/>
          <w:sz w:val="24"/>
        </w:rPr>
        <w:t>未按上述要求缴纳投标保证金的，其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73B4DF6A">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12.4投标人除需在投标文件中提供“投标保证金凭证”。</w:t>
      </w:r>
    </w:p>
    <w:p w14:paraId="7CEBD5AC">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12.5投标保证金有效期同投标有效期。</w:t>
      </w:r>
    </w:p>
    <w:p w14:paraId="7E712489">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12.6投标人为联合体的，可以由联合体中的一方或者多方共同交纳投标保证金，其交纳的投标保证金对联合体各方均具有约束力。</w:t>
      </w:r>
    </w:p>
    <w:p w14:paraId="5593A21D">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BBF269A">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12.7.1投标人在投标截止时间前撤回已提交的投标文件的，自收到投标人书面撤回通知之日起5个工作日内退还已收取的投标保证金；</w:t>
      </w:r>
    </w:p>
    <w:p w14:paraId="0F38A349">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12.7.2中标人的投标保证金，自采购合同签订之日起5个工作日内退还中标人；</w:t>
      </w:r>
    </w:p>
    <w:p w14:paraId="0ADCE9FC">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12.7.3未中标投标人的投标保证金，自中标通知书发出之日起5个工作日内退还未中标人；</w:t>
      </w:r>
    </w:p>
    <w:p w14:paraId="58092071">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12.7.4终止招标项目已经收取投标保证金的，自终止采购活动后5个工作日内退还已收取的投标保证金及其在银行产生的孳息。</w:t>
      </w:r>
    </w:p>
    <w:p w14:paraId="712E7C38">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12.8有下列情形之一的，采购人或采购代理机构可以不予退还投标保证金：</w:t>
      </w:r>
    </w:p>
    <w:p w14:paraId="1F606323">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12.8.1投标有效期内投标人撤销投标文件的；</w:t>
      </w:r>
    </w:p>
    <w:p w14:paraId="4FC7F3AE">
      <w:pPr>
        <w:tabs>
          <w:tab w:val="left" w:pos="900"/>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12.8.2《投标人须知资料表》中规定的其他情形。</w:t>
      </w:r>
    </w:p>
    <w:p w14:paraId="44DC3C5E">
      <w:pPr>
        <w:tabs>
          <w:tab w:val="left" w:pos="360"/>
        </w:tabs>
        <w:snapToGrid w:val="0"/>
        <w:spacing w:line="360" w:lineRule="auto"/>
        <w:outlineLvl w:val="1"/>
        <w:rPr>
          <w:rFonts w:cs="宋体" w:asciiTheme="minorEastAsia" w:hAnsiTheme="minorEastAsia" w:eastAsiaTheme="minorEastAsia"/>
          <w:sz w:val="24"/>
        </w:rPr>
      </w:pPr>
      <w:bookmarkStart w:id="342" w:name="_Toc226965722"/>
      <w:bookmarkStart w:id="343" w:name="_Toc150509283"/>
      <w:bookmarkStart w:id="344" w:name="_Toc150774737"/>
      <w:bookmarkStart w:id="345" w:name="_Toc151193630"/>
      <w:bookmarkStart w:id="346" w:name="_Toc149720825"/>
      <w:bookmarkStart w:id="347" w:name="_Toc151193846"/>
      <w:bookmarkStart w:id="348" w:name="_Toc164229373"/>
      <w:bookmarkStart w:id="349" w:name="_Toc164608801"/>
      <w:bookmarkStart w:id="350" w:name="_Toc151193774"/>
      <w:bookmarkStart w:id="351" w:name="_Toc226965805"/>
      <w:bookmarkStart w:id="352" w:name="_Toc151193920"/>
      <w:bookmarkStart w:id="353" w:name="_Toc520356157"/>
      <w:bookmarkStart w:id="354" w:name="_Toc127161446"/>
      <w:bookmarkStart w:id="355" w:name="_Toc164351626"/>
      <w:bookmarkStart w:id="356" w:name="_Toc150480770"/>
      <w:bookmarkStart w:id="357" w:name="_Toc264969222"/>
      <w:bookmarkStart w:id="358" w:name="_Toc164229227"/>
      <w:bookmarkStart w:id="359" w:name="_Toc195842897"/>
      <w:bookmarkStart w:id="360" w:name="_Toc226337228"/>
      <w:bookmarkStart w:id="361" w:name="_Toc164608646"/>
      <w:bookmarkStart w:id="362" w:name="_Toc226309776"/>
      <w:bookmarkStart w:id="363" w:name="_Toc305158874"/>
      <w:bookmarkStart w:id="364" w:name="_Toc151190159"/>
      <w:bookmarkStart w:id="365" w:name="_Toc127151733"/>
      <w:bookmarkStart w:id="366" w:name="_Toc142311034"/>
      <w:bookmarkStart w:id="367" w:name="_Toc127151532"/>
      <w:bookmarkStart w:id="368" w:name="_Toc265228370"/>
      <w:bookmarkStart w:id="369" w:name="_Toc305158800"/>
      <w:bookmarkStart w:id="370" w:name="_Toc151193702"/>
      <w:bookmarkStart w:id="371" w:name="_Toc150774632"/>
      <w:r>
        <w:rPr>
          <w:rFonts w:hint="eastAsia" w:cs="宋体" w:asciiTheme="minorEastAsia" w:hAnsiTheme="minorEastAsia" w:eastAsiaTheme="minorEastAsia"/>
          <w:sz w:val="24"/>
        </w:rPr>
        <w:t>13投标有效期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004BA0A">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13.1投标文件应在本招标文件《投标人须知资料表》中规定的投标有效期内保持有效，投标有效期少于招标文件规定期限的，其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6061EDF1">
      <w:pPr>
        <w:tabs>
          <w:tab w:val="left" w:pos="360"/>
        </w:tabs>
        <w:snapToGrid w:val="0"/>
        <w:spacing w:line="360" w:lineRule="auto"/>
        <w:outlineLvl w:val="1"/>
        <w:rPr>
          <w:rFonts w:cs="宋体" w:asciiTheme="minorEastAsia" w:hAnsiTheme="minorEastAsia" w:eastAsiaTheme="minorEastAsia"/>
          <w:sz w:val="24"/>
        </w:rPr>
      </w:pPr>
      <w:bookmarkStart w:id="372" w:name="_Toc226337229"/>
      <w:bookmarkStart w:id="373" w:name="_Toc164608647"/>
      <w:bookmarkStart w:id="374" w:name="_Toc305158801"/>
      <w:bookmarkStart w:id="375" w:name="_Toc265228371"/>
      <w:bookmarkStart w:id="376" w:name="_Toc520356158"/>
      <w:bookmarkStart w:id="377" w:name="_Toc150774633"/>
      <w:bookmarkStart w:id="378" w:name="_Toc150480771"/>
      <w:bookmarkStart w:id="379" w:name="_Toc151193631"/>
      <w:bookmarkStart w:id="380" w:name="_Toc305158875"/>
      <w:bookmarkStart w:id="381" w:name="_Toc151193921"/>
      <w:bookmarkStart w:id="382" w:name="_Toc151190160"/>
      <w:bookmarkStart w:id="383" w:name="_Toc127151533"/>
      <w:bookmarkStart w:id="384" w:name="_Toc226965723"/>
      <w:bookmarkStart w:id="385" w:name="_Toc264969223"/>
      <w:bookmarkStart w:id="386" w:name="_Toc149720826"/>
      <w:bookmarkStart w:id="387" w:name="_Toc150774738"/>
      <w:bookmarkStart w:id="388" w:name="_Toc127151734"/>
      <w:bookmarkStart w:id="389" w:name="_Toc164229228"/>
      <w:bookmarkStart w:id="390" w:name="_Toc164351627"/>
      <w:bookmarkStart w:id="391" w:name="_Toc127161447"/>
      <w:bookmarkStart w:id="392" w:name="_Toc226965806"/>
      <w:bookmarkStart w:id="393" w:name="_Toc226309777"/>
      <w:bookmarkStart w:id="394" w:name="_Toc164229374"/>
      <w:bookmarkStart w:id="395" w:name="_Toc195842898"/>
      <w:bookmarkStart w:id="396" w:name="_Toc151193847"/>
      <w:bookmarkStart w:id="397" w:name="_Toc151193703"/>
      <w:bookmarkStart w:id="398" w:name="_Toc164608802"/>
      <w:bookmarkStart w:id="399" w:name="_Toc151193775"/>
      <w:bookmarkStart w:id="400" w:name="_Toc150509284"/>
      <w:bookmarkStart w:id="401" w:name="_Toc142311035"/>
      <w:r>
        <w:rPr>
          <w:rFonts w:hint="eastAsia" w:cs="宋体" w:asciiTheme="minorEastAsia" w:hAnsiTheme="minorEastAsia" w:eastAsiaTheme="minorEastAsia"/>
          <w:sz w:val="24"/>
        </w:rPr>
        <w:t>14投标文件的签署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cs="宋体" w:asciiTheme="minorEastAsia" w:hAnsiTheme="minorEastAsia" w:eastAsiaTheme="minorEastAsia"/>
          <w:sz w:val="24"/>
        </w:rPr>
        <w:t>、盖章</w:t>
      </w:r>
    </w:p>
    <w:p w14:paraId="27F22E5D">
      <w:pPr>
        <w:spacing w:line="360" w:lineRule="auto"/>
        <w:rPr>
          <w:rFonts w:cs="宋体" w:asciiTheme="minorEastAsia" w:hAnsiTheme="minorEastAsia" w:eastAsiaTheme="minorEastAsia"/>
          <w:sz w:val="24"/>
        </w:rPr>
      </w:pPr>
      <w:bookmarkStart w:id="402" w:name="_Toc127151534"/>
      <w:bookmarkStart w:id="403" w:name="_Toc305158876"/>
      <w:bookmarkStart w:id="404" w:name="_Toc151193704"/>
      <w:bookmarkStart w:id="405" w:name="_Toc226965807"/>
      <w:bookmarkStart w:id="406" w:name="_Toc265228372"/>
      <w:bookmarkStart w:id="407" w:name="_Toc150509285"/>
      <w:bookmarkStart w:id="408" w:name="_Toc150774739"/>
      <w:bookmarkStart w:id="409" w:name="_Toc150480772"/>
      <w:bookmarkStart w:id="410" w:name="_Toc195842899"/>
      <w:bookmarkStart w:id="411" w:name="_Toc151193632"/>
      <w:bookmarkStart w:id="412" w:name="_Toc264969224"/>
      <w:bookmarkStart w:id="413" w:name="_Toc151190161"/>
      <w:bookmarkStart w:id="414" w:name="_Toc151193922"/>
      <w:bookmarkStart w:id="415" w:name="_Toc151193776"/>
      <w:bookmarkStart w:id="416" w:name="_Toc226965724"/>
      <w:bookmarkStart w:id="417" w:name="_Toc151193848"/>
      <w:bookmarkStart w:id="418" w:name="_Toc150774634"/>
      <w:bookmarkStart w:id="419" w:name="_Toc226309778"/>
      <w:bookmarkStart w:id="420" w:name="_Toc226337230"/>
      <w:bookmarkStart w:id="421" w:name="_Toc520356159"/>
      <w:bookmarkStart w:id="422" w:name="_Toc305158802"/>
      <w:bookmarkStart w:id="423" w:name="_Toc142311036"/>
      <w:r>
        <w:rPr>
          <w:rFonts w:hint="eastAsia" w:cs="宋体" w:asciiTheme="minorEastAsia" w:hAnsiTheme="minorEastAsia" w:eastAsiaTheme="minorEastAsia"/>
          <w:spacing w:val="8"/>
          <w:sz w:val="24"/>
        </w:rPr>
        <w:t>14</w:t>
      </w:r>
      <w:r>
        <w:rPr>
          <w:rFonts w:hint="eastAsia" w:cs="宋体" w:asciiTheme="minorEastAsia" w:hAnsiTheme="minorEastAsia" w:eastAsiaTheme="minorEastAsia"/>
          <w:spacing w:val="7"/>
          <w:sz w:val="24"/>
        </w:rPr>
        <w:t>.</w:t>
      </w:r>
      <w:r>
        <w:rPr>
          <w:rFonts w:hint="eastAsia" w:cs="宋体" w:asciiTheme="minorEastAsia" w:hAnsiTheme="minorEastAsia" w:eastAsiaTheme="minorEastAsia"/>
          <w:spacing w:val="4"/>
          <w:sz w:val="24"/>
        </w:rPr>
        <w:t>1供应商应按投标文件</w:t>
      </w:r>
      <w:r>
        <w:rPr>
          <w:rFonts w:hint="eastAsia" w:cs="宋体" w:asciiTheme="minorEastAsia" w:hAnsiTheme="minorEastAsia" w:eastAsiaTheme="minorEastAsia"/>
          <w:b/>
          <w:bCs/>
          <w:spacing w:val="4"/>
          <w:sz w:val="24"/>
        </w:rPr>
        <w:t>正本1份，副本4份，电子文档1份</w:t>
      </w:r>
      <w:r>
        <w:rPr>
          <w:rFonts w:hint="eastAsia" w:cs="宋体" w:asciiTheme="minorEastAsia" w:hAnsiTheme="minorEastAsia" w:eastAsiaTheme="minorEastAsia"/>
          <w:spacing w:val="4"/>
          <w:sz w:val="24"/>
        </w:rPr>
        <w:t>（采用U盘，均应包含纸质投标文件全部内容（</w:t>
      </w:r>
      <w:r>
        <w:rPr>
          <w:rFonts w:hint="eastAsia" w:cs="宋体" w:asciiTheme="minorEastAsia" w:hAnsiTheme="minorEastAsia" w:eastAsiaTheme="minorEastAsia"/>
          <w:b/>
          <w:bCs/>
          <w:spacing w:val="4"/>
          <w:sz w:val="24"/>
        </w:rPr>
        <w:t>每份电子版中均应含 word 等可编辑文件与投标文件签字盖章扫描后的 pdf 文件各1份，投标文件包括的其他电子文档也应包含在内</w:t>
      </w:r>
      <w:r>
        <w:rPr>
          <w:rFonts w:hint="eastAsia" w:cs="宋体" w:asciiTheme="minorEastAsia" w:hAnsiTheme="minorEastAsia" w:eastAsiaTheme="minorEastAsia"/>
          <w:spacing w:val="4"/>
          <w:sz w:val="24"/>
        </w:rPr>
        <w:t>）准备投标文件</w:t>
      </w:r>
      <w:r>
        <w:rPr>
          <w:rFonts w:hint="eastAsia" w:cs="宋体" w:asciiTheme="minorEastAsia" w:hAnsiTheme="minorEastAsia" w:eastAsiaTheme="minorEastAsia"/>
          <w:spacing w:val="-5"/>
          <w:sz w:val="24"/>
        </w:rPr>
        <w:t>。投标文件正本与副本或者电子文档内容不一致时以正本内容为准。</w:t>
      </w:r>
    </w:p>
    <w:p w14:paraId="10E96A46">
      <w:pPr>
        <w:spacing w:line="360" w:lineRule="auto"/>
        <w:outlineLvl w:val="2"/>
        <w:rPr>
          <w:rFonts w:cs="宋体" w:asciiTheme="minorEastAsia" w:hAnsiTheme="minorEastAsia" w:eastAsiaTheme="minorEastAsia"/>
          <w:sz w:val="24"/>
        </w:rPr>
      </w:pPr>
      <w:bookmarkStart w:id="424" w:name="_Toc8465"/>
      <w:r>
        <w:rPr>
          <w:rFonts w:hint="eastAsia" w:cs="宋体" w:asciiTheme="minorEastAsia" w:hAnsiTheme="minorEastAsia" w:eastAsiaTheme="minorEastAsia"/>
          <w:spacing w:val="2"/>
          <w:sz w:val="24"/>
        </w:rPr>
        <w:t>14.2招标文件要求盖章的内容，加盖供应商单位公章</w:t>
      </w:r>
      <w:r>
        <w:rPr>
          <w:rFonts w:hint="eastAsia" w:cs="宋体" w:asciiTheme="minorEastAsia" w:hAnsiTheme="minorEastAsia" w:eastAsiaTheme="minorEastAsia"/>
          <w:spacing w:val="1"/>
          <w:sz w:val="24"/>
        </w:rPr>
        <w:t>。</w:t>
      </w:r>
      <w:bookmarkEnd w:id="424"/>
    </w:p>
    <w:p w14:paraId="659EB3A7">
      <w:pPr>
        <w:tabs>
          <w:tab w:val="left" w:pos="900"/>
          <w:tab w:val="left" w:pos="1080"/>
        </w:tabs>
        <w:snapToGrid w:val="0"/>
        <w:spacing w:line="360" w:lineRule="auto"/>
        <w:rPr>
          <w:rFonts w:cs="宋体" w:asciiTheme="minorEastAsia" w:hAnsiTheme="minorEastAsia" w:eastAsiaTheme="minorEastAsia"/>
          <w:sz w:val="24"/>
        </w:rPr>
      </w:pPr>
    </w:p>
    <w:p w14:paraId="145EFEAA">
      <w:pPr>
        <w:pStyle w:val="3"/>
        <w:spacing w:before="0"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B5C6FF0">
      <w:pPr>
        <w:tabs>
          <w:tab w:val="left" w:pos="360"/>
        </w:tabs>
        <w:snapToGrid w:val="0"/>
        <w:spacing w:line="360" w:lineRule="auto"/>
        <w:outlineLvl w:val="1"/>
        <w:rPr>
          <w:rFonts w:cs="宋体" w:asciiTheme="minorEastAsia" w:hAnsiTheme="minorEastAsia" w:eastAsiaTheme="minorEastAsia"/>
          <w:sz w:val="24"/>
        </w:rPr>
      </w:pPr>
      <w:bookmarkStart w:id="425" w:name="_Toc265228373"/>
      <w:bookmarkStart w:id="426" w:name="_Toc142311037"/>
      <w:bookmarkStart w:id="427" w:name="_Toc151193849"/>
      <w:bookmarkStart w:id="428" w:name="_Toc264969225"/>
      <w:bookmarkStart w:id="429" w:name="_Toc149720828"/>
      <w:bookmarkStart w:id="430" w:name="_Toc151193705"/>
      <w:bookmarkStart w:id="431" w:name="_Toc305158877"/>
      <w:bookmarkStart w:id="432" w:name="_Toc151193923"/>
      <w:bookmarkStart w:id="433" w:name="_Toc164351629"/>
      <w:bookmarkStart w:id="434" w:name="_Toc226965808"/>
      <w:bookmarkStart w:id="435" w:name="_Toc305158803"/>
      <w:bookmarkStart w:id="436" w:name="_Toc151193633"/>
      <w:bookmarkStart w:id="437" w:name="_Toc151193777"/>
      <w:bookmarkStart w:id="438" w:name="_Toc226965725"/>
      <w:bookmarkStart w:id="439" w:name="_Toc150774740"/>
      <w:bookmarkStart w:id="440" w:name="_Toc127161449"/>
      <w:bookmarkStart w:id="441" w:name="_Toc150774635"/>
      <w:bookmarkStart w:id="442" w:name="_Toc127151535"/>
      <w:bookmarkStart w:id="443" w:name="_Toc226337231"/>
      <w:bookmarkStart w:id="444" w:name="_Toc150480773"/>
      <w:bookmarkStart w:id="445" w:name="_Toc164229376"/>
      <w:bookmarkStart w:id="446" w:name="_Toc151190162"/>
      <w:bookmarkStart w:id="447" w:name="_Toc195842900"/>
      <w:bookmarkStart w:id="448" w:name="_Toc127151736"/>
      <w:bookmarkStart w:id="449" w:name="_Toc164229230"/>
      <w:bookmarkStart w:id="450" w:name="_Toc164608649"/>
      <w:bookmarkStart w:id="451" w:name="_Toc150509286"/>
      <w:bookmarkStart w:id="452" w:name="_Toc520356160"/>
      <w:bookmarkStart w:id="453" w:name="_Toc226309779"/>
      <w:bookmarkStart w:id="454" w:name="_Toc164608804"/>
      <w:r>
        <w:rPr>
          <w:rFonts w:hint="eastAsia" w:cs="宋体" w:asciiTheme="minorEastAsia" w:hAnsiTheme="minorEastAsia" w:eastAsiaTheme="minorEastAsia"/>
          <w:sz w:val="24"/>
        </w:rPr>
        <w:t>15投标文件的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cs="宋体" w:asciiTheme="minorEastAsia" w:hAnsiTheme="minorEastAsia" w:eastAsiaTheme="minorEastAsia"/>
          <w:sz w:val="24"/>
        </w:rPr>
        <w:t>提交</w:t>
      </w:r>
    </w:p>
    <w:p w14:paraId="443F1C29">
      <w:pPr>
        <w:tabs>
          <w:tab w:val="left" w:pos="1080"/>
          <w:tab w:val="left" w:pos="1589"/>
          <w:tab w:val="left" w:pos="2014"/>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15.1投标文件统一用 A4 幅面纸印制，建议对投标文件双面打印。投标文件正本和副本必须胶装成册并编码。</w:t>
      </w:r>
    </w:p>
    <w:p w14:paraId="44281FCB">
      <w:pPr>
        <w:tabs>
          <w:tab w:val="left" w:pos="1080"/>
          <w:tab w:val="left" w:pos="1589"/>
          <w:tab w:val="left" w:pos="2014"/>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525892D9">
      <w:pPr>
        <w:tabs>
          <w:tab w:val="left" w:pos="1080"/>
          <w:tab w:val="left" w:pos="1589"/>
          <w:tab w:val="left" w:pos="2014"/>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2B068273">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15.4为方便核查投标保证金，供应商应当将“投标保证金”单独密封，并在包装袋/箱上标明 “投标保证金”字样，在投标时单独递交。</w:t>
      </w:r>
    </w:p>
    <w:p w14:paraId="33C733AB">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15.5在第15.2、第 15.3、第 15.4规定的及其他有关包装袋/箱上均应当清楚标明递交至招标文件中指明的地址。</w:t>
      </w:r>
    </w:p>
    <w:p w14:paraId="7C16024E">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15.5.1注明招标文件中指明的项目名称、招标编号、包号（如有）和“在（投标截止时间）之前不得启封”的字样。</w:t>
      </w:r>
    </w:p>
    <w:p w14:paraId="73636CB5">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15.5.2在包装袋/箱的封装处加盖供应商单位公章或由法定代表人授权的代表签字。</w:t>
      </w:r>
    </w:p>
    <w:p w14:paraId="484E5E0E">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15.6所有包装袋/箱上还应当写明供应商名称和地址，以便其投标被宣布为“迟到”投标时，能原封退回。</w:t>
      </w:r>
    </w:p>
    <w:p w14:paraId="017B1422">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15.7如果供应商未按上述要求密封及加写标记，</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z w:val="24"/>
        </w:rPr>
        <w:t>对投标文件的误投或过早启封概不负责，其投标属于无效投标,该供应商投标将被拒绝。</w:t>
      </w:r>
    </w:p>
    <w:p w14:paraId="69C0160B">
      <w:pPr>
        <w:spacing w:line="360" w:lineRule="auto"/>
        <w:outlineLvl w:val="1"/>
        <w:rPr>
          <w:rFonts w:cs="宋体" w:asciiTheme="minorEastAsia" w:hAnsiTheme="minorEastAsia" w:eastAsiaTheme="minorEastAsia"/>
          <w:sz w:val="24"/>
        </w:rPr>
      </w:pPr>
      <w:bookmarkStart w:id="455" w:name="_Toc25868"/>
      <w:r>
        <w:rPr>
          <w:rFonts w:hint="eastAsia" w:cs="宋体" w:asciiTheme="minorEastAsia" w:hAnsiTheme="minorEastAsia" w:eastAsiaTheme="minorEastAsia"/>
          <w:spacing w:val="-1"/>
          <w:sz w:val="24"/>
        </w:rPr>
        <w:t>16</w:t>
      </w:r>
      <w:r>
        <w:rPr>
          <w:rFonts w:hint="eastAsia" w:cs="宋体" w:asciiTheme="minorEastAsia" w:hAnsiTheme="minorEastAsia" w:eastAsiaTheme="minorEastAsia"/>
          <w:sz w:val="24"/>
        </w:rPr>
        <w:t>投标截止时间</w:t>
      </w:r>
      <w:bookmarkEnd w:id="455"/>
    </w:p>
    <w:p w14:paraId="091A9EF5">
      <w:pPr>
        <w:spacing w:line="360" w:lineRule="auto"/>
        <w:rPr>
          <w:rFonts w:cs="宋体" w:asciiTheme="minorEastAsia" w:hAnsiTheme="minorEastAsia" w:eastAsiaTheme="minorEastAsia"/>
          <w:spacing w:val="-8"/>
          <w:sz w:val="24"/>
        </w:rPr>
      </w:pPr>
      <w:r>
        <w:rPr>
          <w:rFonts w:hint="eastAsia" w:cs="宋体" w:asciiTheme="minorEastAsia" w:hAnsiTheme="minorEastAsia" w:eastAsiaTheme="minorEastAsia"/>
          <w:spacing w:val="2"/>
          <w:sz w:val="24"/>
        </w:rPr>
        <w:t>16.1投</w:t>
      </w:r>
      <w:r>
        <w:rPr>
          <w:rFonts w:hint="eastAsia" w:cs="宋体" w:asciiTheme="minorEastAsia" w:hAnsiTheme="minorEastAsia" w:eastAsiaTheme="minorEastAsia"/>
          <w:spacing w:val="1"/>
          <w:sz w:val="24"/>
        </w:rPr>
        <w:t>标人应在招标文件要求提交投标文件截止时间前，将投标文件递交至招标文件中规定的地点</w:t>
      </w:r>
      <w:r>
        <w:rPr>
          <w:rFonts w:hint="eastAsia" w:cs="宋体" w:asciiTheme="minorEastAsia" w:hAnsiTheme="minorEastAsia" w:eastAsiaTheme="minorEastAsia"/>
          <w:spacing w:val="-8"/>
          <w:sz w:val="24"/>
        </w:rPr>
        <w:t>。</w:t>
      </w:r>
    </w:p>
    <w:p w14:paraId="5D50DEB7">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z w:val="24"/>
        </w:rPr>
        <w:t>有权按本须知的规定，通过修改招标文件延长投标截止时间。在此情况下，</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z w:val="24"/>
        </w:rPr>
        <w:t>和供应商受投标截止时间制约的所有权利和义务均应当延长至新的截止期。</w:t>
      </w:r>
    </w:p>
    <w:p w14:paraId="027CF7CA">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16.3拒收情形：招标采购单位将拒绝接收并原封退回在本须知规定的投标截止时间后送达的任何投标文件。</w:t>
      </w:r>
    </w:p>
    <w:p w14:paraId="0F3AA3AD">
      <w:pPr>
        <w:spacing w:line="360" w:lineRule="auto"/>
        <w:outlineLvl w:val="1"/>
        <w:rPr>
          <w:rFonts w:cs="宋体" w:asciiTheme="minorEastAsia" w:hAnsiTheme="minorEastAsia" w:eastAsiaTheme="minorEastAsia"/>
          <w:sz w:val="24"/>
        </w:rPr>
      </w:pPr>
      <w:bookmarkStart w:id="456" w:name="_Toc15789"/>
      <w:r>
        <w:rPr>
          <w:rFonts w:hint="eastAsia" w:cs="宋体" w:asciiTheme="minorEastAsia" w:hAnsiTheme="minorEastAsia" w:eastAsiaTheme="minorEastAsia"/>
          <w:spacing w:val="-1"/>
          <w:sz w:val="24"/>
        </w:rPr>
        <w:t>17投</w:t>
      </w:r>
      <w:r>
        <w:rPr>
          <w:rFonts w:hint="eastAsia" w:cs="宋体" w:asciiTheme="minorEastAsia" w:hAnsiTheme="minorEastAsia" w:eastAsiaTheme="minorEastAsia"/>
          <w:sz w:val="24"/>
        </w:rPr>
        <w:t>标文件的修改与撤回</w:t>
      </w:r>
      <w:bookmarkEnd w:id="456"/>
    </w:p>
    <w:p w14:paraId="57A5EC88">
      <w:pPr>
        <w:spacing w:line="360" w:lineRule="auto"/>
        <w:rPr>
          <w:rFonts w:cs="宋体" w:asciiTheme="minorEastAsia" w:hAnsiTheme="minorEastAsia" w:eastAsiaTheme="minorEastAsia"/>
          <w:spacing w:val="8"/>
          <w:sz w:val="24"/>
        </w:rPr>
      </w:pPr>
      <w:r>
        <w:rPr>
          <w:rFonts w:hint="eastAsia" w:cs="宋体" w:asciiTheme="minorEastAsia" w:hAnsiTheme="minorEastAsia" w:eastAsiaTheme="minorEastAsia"/>
          <w:spacing w:val="8"/>
          <w:sz w:val="24"/>
        </w:rPr>
        <w:t>17.1供应商在投标截止时间前，可以对所递交的投标文件进行补充、修改或者撤回，并书面通知</w:t>
      </w:r>
      <w:r>
        <w:rPr>
          <w:rFonts w:hint="eastAsia" w:cs="宋体" w:asciiTheme="minorEastAsia" w:hAnsiTheme="minorEastAsia" w:eastAsiaTheme="minorEastAsia"/>
          <w:spacing w:val="2"/>
          <w:sz w:val="24"/>
        </w:rPr>
        <w:t>采购代理机构</w:t>
      </w:r>
      <w:r>
        <w:rPr>
          <w:rFonts w:hint="eastAsia" w:cs="宋体" w:asciiTheme="minorEastAsia" w:hAnsiTheme="minorEastAsia" w:eastAsiaTheme="minorEastAsia"/>
          <w:spacing w:val="8"/>
          <w:sz w:val="24"/>
        </w:rPr>
        <w:t>。补充、修改的内容应当按招标文件要求签署、盖章，并作为投标文件的组成部分。</w:t>
      </w:r>
    </w:p>
    <w:p w14:paraId="136FEF3B">
      <w:pPr>
        <w:spacing w:line="360" w:lineRule="auto"/>
        <w:outlineLvl w:val="2"/>
        <w:rPr>
          <w:rFonts w:cs="宋体" w:asciiTheme="minorEastAsia" w:hAnsiTheme="minorEastAsia" w:eastAsiaTheme="minorEastAsia"/>
          <w:spacing w:val="8"/>
          <w:sz w:val="24"/>
        </w:rPr>
      </w:pPr>
      <w:bookmarkStart w:id="457" w:name="_Toc4304"/>
      <w:r>
        <w:rPr>
          <w:rFonts w:hint="eastAsia" w:cs="宋体" w:asciiTheme="minorEastAsia" w:hAnsiTheme="minorEastAsia" w:eastAsiaTheme="minorEastAsia"/>
          <w:spacing w:val="8"/>
          <w:sz w:val="24"/>
        </w:rPr>
        <w:t>17.2投标截止时间后，供应商不得对其投标文件做任何修改。</w:t>
      </w:r>
      <w:bookmarkEnd w:id="457"/>
    </w:p>
    <w:p w14:paraId="48396B65">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pacing w:val="8"/>
          <w:sz w:val="24"/>
        </w:rPr>
        <w:t>17.3投标截止后，供应商不得撤销其投标，否则其投标保证金将按照本须知的规定不予退还。</w:t>
      </w:r>
    </w:p>
    <w:p w14:paraId="5DD9EE09">
      <w:pPr>
        <w:tabs>
          <w:tab w:val="left" w:pos="1080"/>
          <w:tab w:val="left" w:pos="2014"/>
        </w:tabs>
        <w:snapToGrid w:val="0"/>
        <w:spacing w:line="360" w:lineRule="auto"/>
        <w:rPr>
          <w:rFonts w:cs="宋体" w:asciiTheme="minorEastAsia" w:hAnsiTheme="minorEastAsia" w:eastAsiaTheme="minorEastAsia"/>
          <w:sz w:val="24"/>
        </w:rPr>
      </w:pPr>
    </w:p>
    <w:p w14:paraId="0C8DC223">
      <w:pPr>
        <w:spacing w:line="360" w:lineRule="auto"/>
        <w:rPr>
          <w:rFonts w:cs="宋体" w:asciiTheme="minorEastAsia" w:hAnsiTheme="minorEastAsia" w:eastAsiaTheme="minorEastAsia"/>
          <w:sz w:val="24"/>
        </w:rPr>
      </w:pPr>
    </w:p>
    <w:p w14:paraId="355D7DA6">
      <w:pPr>
        <w:pStyle w:val="3"/>
        <w:spacing w:before="0" w:line="360" w:lineRule="auto"/>
        <w:rPr>
          <w:rFonts w:cs="宋体" w:asciiTheme="minorEastAsia" w:hAnsiTheme="minorEastAsia" w:eastAsiaTheme="minorEastAsia"/>
          <w:sz w:val="24"/>
          <w:szCs w:val="24"/>
        </w:rPr>
      </w:pPr>
      <w:bookmarkStart w:id="458" w:name="_Toc150774638"/>
      <w:bookmarkStart w:id="459" w:name="_Toc151193708"/>
      <w:bookmarkStart w:id="460" w:name="_Toc226965728"/>
      <w:bookmarkStart w:id="461" w:name="_Toc150509289"/>
      <w:bookmarkStart w:id="462" w:name="_Toc151193926"/>
      <w:bookmarkStart w:id="463" w:name="_Toc305158806"/>
      <w:bookmarkStart w:id="464" w:name="_Toc195842903"/>
      <w:bookmarkStart w:id="465" w:name="_Toc226337234"/>
      <w:bookmarkStart w:id="466" w:name="_Toc226309782"/>
      <w:bookmarkStart w:id="467" w:name="_Toc264969228"/>
      <w:bookmarkStart w:id="468" w:name="_Toc150480776"/>
      <w:bookmarkStart w:id="469" w:name="_Toc127151538"/>
      <w:bookmarkStart w:id="470" w:name="_Toc151193852"/>
      <w:bookmarkStart w:id="471" w:name="_Toc142311040"/>
      <w:bookmarkStart w:id="472" w:name="_Toc305158880"/>
      <w:bookmarkStart w:id="473" w:name="_Toc151193636"/>
      <w:bookmarkStart w:id="474" w:name="_Toc150774743"/>
      <w:bookmarkStart w:id="475" w:name="_Toc226965811"/>
      <w:bookmarkStart w:id="476" w:name="_Toc151193780"/>
      <w:bookmarkStart w:id="477" w:name="_Toc520356163"/>
      <w:bookmarkStart w:id="478" w:name="_Toc151190165"/>
      <w:bookmarkStart w:id="479" w:name="_Toc265228376"/>
      <w:r>
        <w:rPr>
          <w:rFonts w:hint="eastAsia" w:cs="宋体" w:asciiTheme="minorEastAsia" w:hAnsiTheme="minorEastAsia" w:eastAsiaTheme="minorEastAsia"/>
          <w:sz w:val="24"/>
          <w:szCs w:val="24"/>
        </w:rPr>
        <w:t>五   开标、资格审查及评标</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5EAA2757">
      <w:pPr>
        <w:tabs>
          <w:tab w:val="left" w:pos="360"/>
        </w:tabs>
        <w:snapToGrid w:val="0"/>
        <w:spacing w:line="360" w:lineRule="auto"/>
        <w:outlineLvl w:val="1"/>
        <w:rPr>
          <w:rFonts w:cs="宋体" w:asciiTheme="minorEastAsia" w:hAnsiTheme="minorEastAsia" w:eastAsiaTheme="minorEastAsia"/>
          <w:sz w:val="24"/>
        </w:rPr>
      </w:pPr>
      <w:bookmarkStart w:id="480" w:name="_Toc151193709"/>
      <w:bookmarkStart w:id="481" w:name="_Toc151193927"/>
      <w:bookmarkStart w:id="482" w:name="_Toc142311041"/>
      <w:bookmarkStart w:id="483" w:name="_Toc151193637"/>
      <w:bookmarkStart w:id="484" w:name="_Toc151190166"/>
      <w:bookmarkStart w:id="485" w:name="_Toc164351633"/>
      <w:bookmarkStart w:id="486" w:name="_Toc164229234"/>
      <w:bookmarkStart w:id="487" w:name="_Toc264969229"/>
      <w:bookmarkStart w:id="488" w:name="_Toc150774744"/>
      <w:bookmarkStart w:id="489" w:name="_Toc150480777"/>
      <w:bookmarkStart w:id="490" w:name="_Toc150774639"/>
      <w:bookmarkStart w:id="491" w:name="_Toc305158807"/>
      <w:bookmarkStart w:id="492" w:name="_Toc164229380"/>
      <w:bookmarkStart w:id="493" w:name="_Toc127151539"/>
      <w:bookmarkStart w:id="494" w:name="_Toc520356164"/>
      <w:bookmarkStart w:id="495" w:name="_Toc226965812"/>
      <w:bookmarkStart w:id="496" w:name="_Toc226965729"/>
      <w:bookmarkStart w:id="497" w:name="_Toc226309783"/>
      <w:bookmarkStart w:id="498" w:name="_Toc127161453"/>
      <w:bookmarkStart w:id="499" w:name="_Toc151193781"/>
      <w:bookmarkStart w:id="500" w:name="_Toc265228377"/>
      <w:bookmarkStart w:id="501" w:name="_Toc151193853"/>
      <w:bookmarkStart w:id="502" w:name="_Toc195842904"/>
      <w:bookmarkStart w:id="503" w:name="_Toc149720832"/>
      <w:bookmarkStart w:id="504" w:name="_Toc127151740"/>
      <w:bookmarkStart w:id="505" w:name="_Toc164608653"/>
      <w:bookmarkStart w:id="506" w:name="_Toc305158881"/>
      <w:bookmarkStart w:id="507" w:name="_Toc150509290"/>
      <w:bookmarkStart w:id="508" w:name="_Toc164608808"/>
      <w:bookmarkStart w:id="509" w:name="_Toc226337235"/>
      <w:r>
        <w:rPr>
          <w:rFonts w:hint="eastAsia" w:cs="宋体" w:asciiTheme="minorEastAsia" w:hAnsiTheme="minorEastAsia" w:eastAsiaTheme="minorEastAsia"/>
          <w:sz w:val="24"/>
        </w:rPr>
        <w:t>18开标</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0B40CDF">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18.1采购人或采购代理机构将按招标文件的规定，在投标截止时间的同一时间和招标文件预先确定的地点组织开标。</w:t>
      </w:r>
    </w:p>
    <w:p w14:paraId="565E9FCD">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18.2</w:t>
      </w:r>
      <w:r>
        <w:rPr>
          <w:rFonts w:hint="eastAsia" w:cs="宋体" w:asciiTheme="minorEastAsia" w:hAnsiTheme="minorEastAsia" w:eastAsiaTheme="minorEastAsia"/>
          <w:spacing w:val="4"/>
          <w:sz w:val="24"/>
        </w:rPr>
        <w:t>开标时邀请所有供应商代表、采购人和有关方面代表参加。参加开标的代表应签名报到以证明其出席</w:t>
      </w:r>
      <w:r>
        <w:rPr>
          <w:rFonts w:hint="eastAsia" w:cs="宋体" w:asciiTheme="minorEastAsia" w:hAnsiTheme="minorEastAsia" w:eastAsiaTheme="minorEastAsia"/>
          <w:sz w:val="24"/>
        </w:rPr>
        <w:t>。</w:t>
      </w:r>
    </w:p>
    <w:p w14:paraId="07255EAE">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18.3</w:t>
      </w:r>
      <w:bookmarkStart w:id="510" w:name="_Hlk143533942"/>
      <w:bookmarkStart w:id="511" w:name="_Toc520356165"/>
      <w:r>
        <w:rPr>
          <w:rFonts w:hint="eastAsia" w:cs="宋体" w:asciiTheme="minorEastAsia" w:hAnsiTheme="minorEastAsia" w:eastAsiaTheme="minor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hint="eastAsia" w:cs="宋体" w:asciiTheme="minorEastAsia" w:hAnsiTheme="minorEastAsia" w:eastAsiaTheme="minorEastAsia"/>
          <w:sz w:val="24"/>
        </w:rPr>
        <w:t>。</w:t>
      </w:r>
      <w:bookmarkEnd w:id="510"/>
    </w:p>
    <w:p w14:paraId="3FADFF92">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18.4除了按照本须知的规定原封退回的投标文件之外，采购代理机构开标时不得拒绝任何投标截止时间前的投标。</w:t>
      </w:r>
    </w:p>
    <w:p w14:paraId="11324D06">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18.5采购代理机构将对开标过程做开标记录，由供应商授权代表或法定代表人签字确认。</w:t>
      </w:r>
    </w:p>
    <w:p w14:paraId="51C18F82">
      <w:pPr>
        <w:spacing w:line="360" w:lineRule="auto"/>
        <w:rPr>
          <w:rFonts w:cs="宋体" w:asciiTheme="minorEastAsia" w:hAnsiTheme="minorEastAsia" w:eastAsiaTheme="minorEastAsia"/>
          <w:spacing w:val="8"/>
          <w:sz w:val="24"/>
        </w:rPr>
      </w:pPr>
      <w:r>
        <w:rPr>
          <w:rFonts w:hint="eastAsia" w:cs="宋体" w:asciiTheme="minorEastAsia" w:hAnsiTheme="minorEastAsia" w:eastAsiaTheme="minorEastAsia"/>
          <w:spacing w:val="8"/>
          <w:sz w:val="24"/>
        </w:rPr>
        <w:t>18</w:t>
      </w:r>
      <w:r>
        <w:rPr>
          <w:rFonts w:hint="eastAsia" w:cs="宋体" w:asciiTheme="minorEastAsia" w:hAnsiTheme="minorEastAsia" w:eastAsiaTheme="minorEastAsia"/>
          <w:spacing w:val="7"/>
          <w:sz w:val="24"/>
        </w:rPr>
        <w:t>.</w:t>
      </w:r>
      <w:r>
        <w:rPr>
          <w:rFonts w:hint="eastAsia" w:cs="宋体" w:asciiTheme="minorEastAsia" w:hAnsiTheme="minorEastAsia" w:eastAsiaTheme="minorEastAsia"/>
          <w:spacing w:val="4"/>
          <w:sz w:val="24"/>
        </w:rPr>
        <w:t>6投标人对开标过程和开标记录有疑义，以及认为采购人、采购代理机构相关</w:t>
      </w:r>
      <w:r>
        <w:rPr>
          <w:rFonts w:hint="eastAsia" w:cs="宋体" w:asciiTheme="minorEastAsia" w:hAnsiTheme="minorEastAsia" w:eastAsiaTheme="minorEastAsia"/>
          <w:spacing w:val="2"/>
          <w:sz w:val="24"/>
        </w:rPr>
        <w:t>工</w:t>
      </w:r>
      <w:r>
        <w:rPr>
          <w:rFonts w:hint="eastAsia" w:cs="宋体" w:asciiTheme="minorEastAsia" w:hAnsiTheme="minorEastAsia" w:eastAsiaTheme="minorEastAsia"/>
          <w:spacing w:val="8"/>
          <w:sz w:val="24"/>
        </w:rPr>
        <w:t>作人员有需要回避的情形的，应当场提出询问或者回避申请。采购人、采购代理机构对投标人提出的询问或者回避申请将及时处理。</w:t>
      </w:r>
    </w:p>
    <w:p w14:paraId="09AB4E23">
      <w:pPr>
        <w:tabs>
          <w:tab w:val="left" w:pos="1080"/>
          <w:tab w:val="left" w:pos="2014"/>
        </w:tabs>
        <w:snapToGrid w:val="0"/>
        <w:spacing w:line="360" w:lineRule="auto"/>
        <w:rPr>
          <w:rFonts w:cs="宋体" w:asciiTheme="minorEastAsia" w:hAnsiTheme="minorEastAsia" w:eastAsiaTheme="minorEastAsia"/>
          <w:spacing w:val="8"/>
          <w:sz w:val="24"/>
        </w:rPr>
      </w:pPr>
      <w:bookmarkStart w:id="512" w:name="_Toc12711"/>
      <w:r>
        <w:rPr>
          <w:rFonts w:hint="eastAsia" w:cs="宋体" w:asciiTheme="minorEastAsia" w:hAnsiTheme="minorEastAsia" w:eastAsiaTheme="minorEastAsia"/>
          <w:spacing w:val="8"/>
          <w:sz w:val="24"/>
        </w:rPr>
        <w:t>18.7投标人不足3家的，不予开标。</w:t>
      </w:r>
      <w:bookmarkEnd w:id="512"/>
    </w:p>
    <w:p w14:paraId="0BE15B60">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19资格审查</w:t>
      </w:r>
    </w:p>
    <w:p w14:paraId="5F7B305D">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19.1见第三章《资格审查》。</w:t>
      </w:r>
    </w:p>
    <w:bookmarkEnd w:id="511"/>
    <w:p w14:paraId="13FB4C5C">
      <w:pPr>
        <w:tabs>
          <w:tab w:val="left" w:pos="360"/>
        </w:tabs>
        <w:snapToGrid w:val="0"/>
        <w:spacing w:line="360" w:lineRule="auto"/>
        <w:outlineLvl w:val="1"/>
        <w:rPr>
          <w:rFonts w:cs="宋体" w:asciiTheme="minorEastAsia" w:hAnsiTheme="minorEastAsia" w:eastAsiaTheme="minorEastAsia"/>
          <w:sz w:val="24"/>
        </w:rPr>
      </w:pPr>
      <w:bookmarkStart w:id="513" w:name="_Toc164229235"/>
      <w:bookmarkStart w:id="514" w:name="_Toc226965813"/>
      <w:bookmarkStart w:id="515" w:name="_Toc127151540"/>
      <w:bookmarkStart w:id="516" w:name="_Toc226965730"/>
      <w:bookmarkStart w:id="517" w:name="_Toc305158882"/>
      <w:bookmarkStart w:id="518" w:name="_Toc164351634"/>
      <w:bookmarkStart w:id="519" w:name="_Toc150774640"/>
      <w:bookmarkStart w:id="520" w:name="_Toc150509291"/>
      <w:bookmarkStart w:id="521" w:name="_Toc226337236"/>
      <w:bookmarkStart w:id="522" w:name="_Toc164608654"/>
      <w:bookmarkStart w:id="523" w:name="_Toc151193928"/>
      <w:bookmarkStart w:id="524" w:name="_Toc150480778"/>
      <w:bookmarkStart w:id="525" w:name="_Toc127151741"/>
      <w:bookmarkStart w:id="526" w:name="_Toc151193782"/>
      <w:bookmarkStart w:id="527" w:name="_Toc151193710"/>
      <w:bookmarkStart w:id="528" w:name="_Toc151190167"/>
      <w:bookmarkStart w:id="529" w:name="_Toc142311042"/>
      <w:bookmarkStart w:id="530" w:name="_Toc127161454"/>
      <w:bookmarkStart w:id="531" w:name="_Toc149720833"/>
      <w:bookmarkStart w:id="532" w:name="_Toc305158808"/>
      <w:bookmarkStart w:id="533" w:name="_Toc264969230"/>
      <w:bookmarkStart w:id="534" w:name="_Toc164229381"/>
      <w:bookmarkStart w:id="535" w:name="_Toc164608809"/>
      <w:bookmarkStart w:id="536" w:name="_Toc265228378"/>
      <w:bookmarkStart w:id="537" w:name="_Toc151193854"/>
      <w:bookmarkStart w:id="538" w:name="_Toc151193638"/>
      <w:bookmarkStart w:id="539" w:name="_Toc195842905"/>
      <w:bookmarkStart w:id="540" w:name="_Toc150774745"/>
      <w:bookmarkStart w:id="541" w:name="_Toc226309784"/>
      <w:r>
        <w:rPr>
          <w:rFonts w:hint="eastAsia" w:cs="宋体" w:asciiTheme="minorEastAsia" w:hAnsiTheme="minorEastAsia" w:eastAsiaTheme="minorEastAsia"/>
          <w:sz w:val="24"/>
        </w:rPr>
        <w:t>20评标委员会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2AAD2078">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20.1评标委员会根据政府采购有关规定和本次采购项目的特点进行组建，并负责具体评标事务，独立履行职责。</w:t>
      </w:r>
      <w:bookmarkStart w:id="542" w:name="_Toc520356166"/>
    </w:p>
    <w:p w14:paraId="4EC3542A">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42"/>
      <w:bookmarkStart w:id="543" w:name="_Toc520356169"/>
    </w:p>
    <w:p w14:paraId="3680AE6B">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21评标程序、评标方法和评标标准</w:t>
      </w:r>
    </w:p>
    <w:p w14:paraId="01B00C93">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21.2见第四章《评标程序、评标方法和评标标准》。</w:t>
      </w:r>
    </w:p>
    <w:p w14:paraId="59DF24BD">
      <w:pPr>
        <w:tabs>
          <w:tab w:val="left" w:pos="360"/>
          <w:tab w:val="left" w:pos="1080"/>
        </w:tabs>
        <w:snapToGrid w:val="0"/>
        <w:spacing w:line="360" w:lineRule="auto"/>
        <w:rPr>
          <w:rFonts w:cs="宋体" w:asciiTheme="minorEastAsia" w:hAnsiTheme="minorEastAsia" w:eastAsiaTheme="minorEastAsia"/>
          <w:sz w:val="24"/>
        </w:rPr>
      </w:pPr>
    </w:p>
    <w:p w14:paraId="60914F7C">
      <w:pPr>
        <w:pStyle w:val="3"/>
        <w:spacing w:before="0" w:line="360" w:lineRule="auto"/>
        <w:rPr>
          <w:rFonts w:cs="宋体" w:asciiTheme="minorEastAsia" w:hAnsiTheme="minorEastAsia" w:eastAsiaTheme="minorEastAsia"/>
          <w:sz w:val="24"/>
          <w:szCs w:val="24"/>
        </w:rPr>
      </w:pPr>
      <w:bookmarkStart w:id="544" w:name="_Toc150774750"/>
      <w:bookmarkStart w:id="545" w:name="_Toc127151545"/>
      <w:bookmarkStart w:id="546" w:name="_Toc226309789"/>
      <w:bookmarkStart w:id="547" w:name="_Toc150774645"/>
      <w:bookmarkStart w:id="548" w:name="_Toc151193859"/>
      <w:bookmarkStart w:id="549" w:name="_Toc150480783"/>
      <w:bookmarkStart w:id="550" w:name="_Toc151193643"/>
      <w:bookmarkStart w:id="551" w:name="_Toc265228383"/>
      <w:bookmarkStart w:id="552" w:name="_Toc142311047"/>
      <w:bookmarkStart w:id="553" w:name="_Toc195842910"/>
      <w:bookmarkStart w:id="554" w:name="_Toc150509296"/>
      <w:bookmarkStart w:id="555" w:name="_Toc151190172"/>
      <w:bookmarkStart w:id="556" w:name="_Toc226337241"/>
      <w:bookmarkStart w:id="557" w:name="_Toc226965818"/>
      <w:bookmarkStart w:id="558" w:name="_Toc151193787"/>
      <w:bookmarkStart w:id="559" w:name="_Toc151193933"/>
      <w:bookmarkStart w:id="560" w:name="_Toc151193715"/>
      <w:bookmarkStart w:id="561" w:name="_Toc226965735"/>
      <w:bookmarkStart w:id="562" w:name="_Toc264969235"/>
      <w:bookmarkStart w:id="563" w:name="_Toc305158887"/>
      <w:bookmarkStart w:id="564" w:name="_Toc305158813"/>
      <w:r>
        <w:rPr>
          <w:rFonts w:hint="eastAsia" w:cs="宋体" w:asciiTheme="minorEastAsia" w:hAnsiTheme="minorEastAsia" w:eastAsiaTheme="minorEastAsia"/>
          <w:sz w:val="24"/>
          <w:szCs w:val="24"/>
        </w:rPr>
        <w:t xml:space="preserve">六   </w:t>
      </w:r>
      <w:bookmarkEnd w:id="543"/>
      <w:r>
        <w:rPr>
          <w:rFonts w:hint="eastAsia" w:cs="宋体" w:asciiTheme="minorEastAsia" w:hAnsiTheme="minorEastAsia" w:eastAsiaTheme="minorEastAsia"/>
          <w:sz w:val="24"/>
          <w:szCs w:val="24"/>
        </w:rPr>
        <w:t>确定中标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5" w:name="_Toc150480785"/>
      <w:bookmarkStart w:id="566" w:name="_Toc226965737"/>
      <w:bookmarkStart w:id="567" w:name="_Toc164229242"/>
      <w:bookmarkStart w:id="568" w:name="_Toc305158889"/>
      <w:bookmarkStart w:id="569" w:name="_Toc151193717"/>
      <w:bookmarkStart w:id="570" w:name="_Toc151193789"/>
      <w:bookmarkStart w:id="571" w:name="_Toc127151547"/>
      <w:bookmarkStart w:id="572" w:name="_Toc150509298"/>
      <w:bookmarkStart w:id="573" w:name="_Toc151193645"/>
      <w:bookmarkStart w:id="574" w:name="_Toc164351641"/>
      <w:bookmarkStart w:id="575" w:name="_Toc226337243"/>
      <w:bookmarkStart w:id="576" w:name="_Toc195842912"/>
      <w:bookmarkStart w:id="577" w:name="_Toc142311049"/>
      <w:bookmarkStart w:id="578" w:name="_Toc164608816"/>
      <w:bookmarkStart w:id="579" w:name="_Toc264969237"/>
      <w:bookmarkStart w:id="580" w:name="_Toc226965820"/>
      <w:bookmarkStart w:id="581" w:name="_Toc127151748"/>
      <w:bookmarkStart w:id="582" w:name="_Toc127161461"/>
      <w:bookmarkStart w:id="583" w:name="_Toc151193935"/>
      <w:bookmarkStart w:id="584" w:name="_Toc265228385"/>
      <w:bookmarkStart w:id="585" w:name="_Toc149720840"/>
      <w:bookmarkStart w:id="586" w:name="_Toc150774752"/>
      <w:bookmarkStart w:id="587" w:name="_Toc150774647"/>
      <w:bookmarkStart w:id="588" w:name="_Toc151193861"/>
      <w:bookmarkStart w:id="589" w:name="_Toc151190174"/>
      <w:bookmarkStart w:id="590" w:name="_Toc164608661"/>
      <w:bookmarkStart w:id="591" w:name="_Toc164229388"/>
      <w:bookmarkStart w:id="592" w:name="_Toc226309791"/>
      <w:bookmarkStart w:id="593" w:name="_Toc305158815"/>
    </w:p>
    <w:p w14:paraId="41A33D4F">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22确定中标人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E73E3CE">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EF72317">
      <w:pPr>
        <w:tabs>
          <w:tab w:val="left" w:pos="360"/>
        </w:tabs>
        <w:snapToGrid w:val="0"/>
        <w:spacing w:line="360" w:lineRule="auto"/>
        <w:outlineLvl w:val="1"/>
        <w:rPr>
          <w:rFonts w:cs="宋体" w:asciiTheme="minorEastAsia" w:hAnsiTheme="minorEastAsia" w:eastAsiaTheme="minorEastAsia"/>
          <w:sz w:val="24"/>
        </w:rPr>
      </w:pPr>
      <w:bookmarkStart w:id="594" w:name="_Toc305158891"/>
      <w:bookmarkStart w:id="595" w:name="_Toc305158817"/>
      <w:bookmarkStart w:id="596" w:name="_Toc265228387"/>
      <w:bookmarkStart w:id="597" w:name="_Toc127161463"/>
      <w:bookmarkStart w:id="598" w:name="_Toc151193791"/>
      <w:bookmarkStart w:id="599" w:name="_Toc264969239"/>
      <w:bookmarkStart w:id="600" w:name="_Toc149720842"/>
      <w:bookmarkStart w:id="601" w:name="_Toc226965822"/>
      <w:bookmarkStart w:id="602" w:name="_Toc164351643"/>
      <w:bookmarkStart w:id="603" w:name="_Toc164229390"/>
      <w:bookmarkStart w:id="604" w:name="_Toc151190176"/>
      <w:bookmarkStart w:id="605" w:name="_Toc164229244"/>
      <w:bookmarkStart w:id="606" w:name="_Toc127151750"/>
      <w:bookmarkStart w:id="607" w:name="_Toc226965739"/>
      <w:bookmarkStart w:id="608" w:name="_Toc150480787"/>
      <w:bookmarkStart w:id="609" w:name="_Toc151193647"/>
      <w:bookmarkStart w:id="610" w:name="_Toc195842914"/>
      <w:bookmarkStart w:id="611" w:name="_Toc151193719"/>
      <w:bookmarkStart w:id="612" w:name="_Toc150509300"/>
      <w:bookmarkStart w:id="613" w:name="_Toc127151549"/>
      <w:bookmarkStart w:id="614" w:name="_Toc164608663"/>
      <w:bookmarkStart w:id="615" w:name="_Toc150774649"/>
      <w:bookmarkStart w:id="616" w:name="_Toc226337245"/>
      <w:bookmarkStart w:id="617" w:name="_Toc151193937"/>
      <w:bookmarkStart w:id="618" w:name="_Toc164608818"/>
      <w:bookmarkStart w:id="619" w:name="_Toc151193863"/>
      <w:bookmarkStart w:id="620" w:name="_Toc226309793"/>
      <w:bookmarkStart w:id="621" w:name="_Toc142311051"/>
      <w:bookmarkStart w:id="622" w:name="_Toc150774754"/>
      <w:bookmarkStart w:id="623" w:name="_Ref467307090"/>
      <w:bookmarkStart w:id="624" w:name="_Ref467306425"/>
      <w:bookmarkStart w:id="625" w:name="_Toc520356176"/>
      <w:r>
        <w:rPr>
          <w:rFonts w:hint="eastAsia" w:cs="宋体" w:asciiTheme="minorEastAsia" w:hAnsiTheme="minorEastAsia" w:eastAsiaTheme="minorEastAsia"/>
          <w:sz w:val="24"/>
        </w:rPr>
        <w:t>23中标公告与中标通知书</w:t>
      </w:r>
      <w:bookmarkEnd w:id="594"/>
      <w:bookmarkEnd w:id="595"/>
    </w:p>
    <w:p w14:paraId="5A09E73F">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23.1采购人或采购代理机构自中标人确定之日起2个工作日内，</w:t>
      </w:r>
      <w:r>
        <w:rPr>
          <w:rFonts w:hint="eastAsia" w:cs="宋体" w:asciiTheme="minorEastAsia" w:hAnsiTheme="minorEastAsia" w:eastAsiaTheme="minorEastAsia"/>
          <w:kern w:val="0"/>
          <w:sz w:val="24"/>
        </w:rPr>
        <w:t>在北京市政府采购网、中国政府采购网公告中标结果</w:t>
      </w:r>
      <w:r>
        <w:rPr>
          <w:rFonts w:hint="eastAsia" w:cs="宋体" w:asciiTheme="minorEastAsia" w:hAnsiTheme="minorEastAsia" w:eastAsiaTheme="minorEastAsia"/>
          <w:sz w:val="24"/>
        </w:rPr>
        <w:t>，同时向中标人发出中标通知书，中标公告期限为1个工作日。</w:t>
      </w:r>
    </w:p>
    <w:p w14:paraId="48F93713">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23.2中标通知书对采购人和中标供应商均具有法律效力。中标通知书发出后，采购人改变中标结果的，或者中标供应商放弃中标项目的，应当依法承担法律责任。</w:t>
      </w:r>
    </w:p>
    <w:p w14:paraId="1BC2AFEB">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24废标</w:t>
      </w:r>
    </w:p>
    <w:p w14:paraId="16E37FF3">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24.1在招标采购中，出现下列情形之一的，应予废标：</w:t>
      </w:r>
    </w:p>
    <w:p w14:paraId="30B03BE2">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24.1.1符合专业条件的供应商或者对招标文件作实质响应的供应商不足三家的；</w:t>
      </w:r>
    </w:p>
    <w:p w14:paraId="73F62630">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24.1.2出现影响采购公正的违法、违规行为的；</w:t>
      </w:r>
    </w:p>
    <w:p w14:paraId="4523FE84">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24.1.3投标人的报价均超过了采购预算，采购人不能支付的；</w:t>
      </w:r>
    </w:p>
    <w:p w14:paraId="10E7EA31">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24.1.4因重大变故，采购任务取消的。</w:t>
      </w:r>
    </w:p>
    <w:p w14:paraId="2C102448">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24.2.废标后，采购人将废标理由书面通知所有投标人。</w:t>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14:paraId="024CA6C4">
      <w:pPr>
        <w:tabs>
          <w:tab w:val="left" w:pos="360"/>
        </w:tabs>
        <w:snapToGrid w:val="0"/>
        <w:spacing w:line="360" w:lineRule="auto"/>
        <w:outlineLvl w:val="1"/>
        <w:rPr>
          <w:rFonts w:cs="宋体" w:asciiTheme="minorEastAsia" w:hAnsiTheme="minorEastAsia" w:eastAsiaTheme="minorEastAsia"/>
          <w:sz w:val="24"/>
        </w:rPr>
      </w:pPr>
      <w:bookmarkStart w:id="626" w:name="_Toc151193720"/>
      <w:bookmarkStart w:id="627" w:name="_Toc151190177"/>
      <w:bookmarkStart w:id="628" w:name="_Toc226965740"/>
      <w:bookmarkStart w:id="629" w:name="_Ref467307204"/>
      <w:bookmarkStart w:id="630" w:name="_Toc127161464"/>
      <w:bookmarkStart w:id="631" w:name="_Toc151193864"/>
      <w:bookmarkStart w:id="632" w:name="_Ref467306978"/>
      <w:bookmarkStart w:id="633" w:name="_Toc127151751"/>
      <w:bookmarkStart w:id="634" w:name="_Toc164229391"/>
      <w:bookmarkStart w:id="635" w:name="_Toc195842915"/>
      <w:bookmarkStart w:id="636" w:name="_Toc264969240"/>
      <w:bookmarkStart w:id="637" w:name="_Toc151193792"/>
      <w:bookmarkStart w:id="638" w:name="_Ref467306377"/>
      <w:bookmarkStart w:id="639" w:name="_Toc151193648"/>
      <w:bookmarkStart w:id="640" w:name="_Toc164351644"/>
      <w:bookmarkStart w:id="641" w:name="_Toc226965823"/>
      <w:bookmarkStart w:id="642" w:name="_Toc127151550"/>
      <w:bookmarkStart w:id="643" w:name="_Toc150509301"/>
      <w:bookmarkStart w:id="644" w:name="_Toc164608664"/>
      <w:bookmarkStart w:id="645" w:name="_Toc520356175"/>
      <w:bookmarkStart w:id="646" w:name="_Toc151193938"/>
      <w:bookmarkStart w:id="647" w:name="_Toc150480788"/>
      <w:bookmarkStart w:id="648" w:name="_Toc305158818"/>
      <w:bookmarkStart w:id="649" w:name="_Toc226337246"/>
      <w:bookmarkStart w:id="650" w:name="_Toc164608819"/>
      <w:bookmarkStart w:id="651" w:name="_Toc142311052"/>
      <w:bookmarkStart w:id="652" w:name="_Toc265228388"/>
      <w:bookmarkStart w:id="653" w:name="_Toc164229245"/>
      <w:bookmarkStart w:id="654" w:name="_Toc305158892"/>
      <w:bookmarkStart w:id="655" w:name="_Ref467307062"/>
      <w:bookmarkStart w:id="656" w:name="_Toc149720843"/>
      <w:bookmarkStart w:id="657" w:name="_Toc150774650"/>
      <w:bookmarkStart w:id="658" w:name="_Toc150774755"/>
      <w:bookmarkStart w:id="659" w:name="_Toc226309794"/>
      <w:r>
        <w:rPr>
          <w:rFonts w:hint="eastAsia" w:cs="宋体" w:asciiTheme="minorEastAsia" w:hAnsiTheme="minorEastAsia" w:eastAsiaTheme="minorEastAsia"/>
          <w:sz w:val="24"/>
        </w:rPr>
        <w:t>25签订合同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1A6610E">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76E6243C">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25.2中标人拒绝与采购人签订合同的，采购人可以按照评标报告推荐的中标候选人名单排序，确定下一候选人为中标人，也可以重新开展政府采购活动。</w:t>
      </w:r>
    </w:p>
    <w:p w14:paraId="760913F2">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25.3联合体中标的，联合体各方应当共同与采购人签订合同，就采购合同约定的事项向采购人承担连带责任。</w:t>
      </w:r>
    </w:p>
    <w:p w14:paraId="554F1862">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25.4政府采购合同不能转包。</w:t>
      </w:r>
    </w:p>
    <w:p w14:paraId="56674FFA">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cs="宋体" w:asciiTheme="minorEastAsia" w:hAnsiTheme="minorEastAsia" w:eastAsiaTheme="minorEastAsia"/>
          <w:b/>
          <w:sz w:val="24"/>
        </w:rPr>
        <w:t>，</w:t>
      </w:r>
      <w:r>
        <w:rPr>
          <w:rFonts w:hint="eastAsia" w:cs="宋体" w:asciiTheme="minorEastAsia" w:hAnsiTheme="minorEastAsia" w:eastAsiaTheme="minorEastAsia"/>
          <w:sz w:val="24"/>
        </w:rPr>
        <w:t>否则</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。中标人就采购项目和分包项目向采购人负责，分包供应商就分包项目承担责任。</w:t>
      </w:r>
    </w:p>
    <w:p w14:paraId="547404A2">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25.6“政采贷”融资指引：详见《投标人须知资料表》。</w:t>
      </w:r>
    </w:p>
    <w:bookmarkEnd w:id="623"/>
    <w:bookmarkEnd w:id="624"/>
    <w:bookmarkEnd w:id="625"/>
    <w:p w14:paraId="01E29A64">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26询问与质疑</w:t>
      </w:r>
    </w:p>
    <w:p w14:paraId="6D499224">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26.1询问</w:t>
      </w:r>
    </w:p>
    <w:p w14:paraId="3A78688A">
      <w:pPr>
        <w:snapToGrid w:val="0"/>
        <w:spacing w:line="360" w:lineRule="auto"/>
        <w:rPr>
          <w:rFonts w:cs="宋体" w:asciiTheme="minorEastAsia" w:hAnsiTheme="minorEastAsia" w:eastAsiaTheme="minorEastAsia"/>
          <w:sz w:val="24"/>
        </w:rPr>
      </w:pPr>
      <w:bookmarkStart w:id="660" w:name="_Hlk179293370"/>
      <w:r>
        <w:rPr>
          <w:rFonts w:hint="eastAsia" w:cs="宋体" w:asciiTheme="minorEastAsia" w:hAnsiTheme="minorEastAsia" w:eastAsiaTheme="minorEastAsia"/>
          <w:sz w:val="24"/>
        </w:rPr>
        <w:t>26.1.1投标人对政府采购活动事项有疑问的，可依法向采购人或采购代理机构提出询问，提出形式见《投标人须知资料表》。</w:t>
      </w:r>
      <w:bookmarkEnd w:id="660"/>
    </w:p>
    <w:p w14:paraId="384F5179">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26.1.2采购人或采购代理机构对供应商依法提出的询问，在3个工作日内作出答复，但答复的内容不得涉及商业秘密。</w:t>
      </w:r>
    </w:p>
    <w:p w14:paraId="55F5528B">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26.2质疑</w:t>
      </w:r>
    </w:p>
    <w:p w14:paraId="3F6C7231">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E659785">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5A729B5D">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BF14A6">
      <w:pPr>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26.2.4投标人应在法定质疑期内一次性提出针对同一采购程序环节的质疑，法定质疑期内针对同一采购程序环节再次提出的质疑，采购人、采购代理机构有权不予答复。</w:t>
      </w:r>
    </w:p>
    <w:p w14:paraId="32882AA7">
      <w:pPr>
        <w:tabs>
          <w:tab w:val="left" w:pos="1080"/>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26.3接收询问和质疑的联系部门、联系电话和通讯地址见《投标人须知资料表》。</w:t>
      </w:r>
    </w:p>
    <w:p w14:paraId="2CD9165F">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27代理费</w:t>
      </w:r>
    </w:p>
    <w:p w14:paraId="629A186D">
      <w:pPr>
        <w:tabs>
          <w:tab w:val="left" w:pos="360"/>
          <w:tab w:val="left" w:pos="1080"/>
        </w:tabs>
        <w:snapToGrid w:val="0"/>
        <w:spacing w:line="360" w:lineRule="auto"/>
        <w:ind w:left="360"/>
        <w:rPr>
          <w:color w:val="auto"/>
          <w:sz w:val="24"/>
          <w:highlight w:val="none"/>
        </w:rPr>
      </w:pPr>
      <w:r>
        <w:rPr>
          <w:rFonts w:hint="eastAsia" w:cs="宋体" w:asciiTheme="minorEastAsia" w:hAnsiTheme="minorEastAsia" w:eastAsiaTheme="minorEastAsia"/>
          <w:sz w:val="24"/>
        </w:rPr>
        <w:t>27.1收费对象、收费标准及缴纳时间见《投标人须知资料表》。由中标人支付的，中标人须一次性向采购代理机构缴纳代理费，投标报价应包含代理费用。</w:t>
      </w:r>
    </w:p>
    <w:p w14:paraId="6E9AD3C3">
      <w:pPr>
        <w:spacing w:line="360" w:lineRule="auto"/>
        <w:jc w:val="center"/>
        <w:outlineLvl w:val="0"/>
        <w:rPr>
          <w:b/>
          <w:color w:val="auto"/>
          <w:sz w:val="36"/>
          <w:szCs w:val="36"/>
          <w:highlight w:val="none"/>
        </w:rPr>
      </w:pPr>
      <w:bookmarkStart w:id="661" w:name="_Toc305158896"/>
      <w:bookmarkStart w:id="662" w:name="_Toc127151554"/>
      <w:bookmarkStart w:id="663" w:name="_Toc226337250"/>
      <w:bookmarkStart w:id="664" w:name="_Toc353825544"/>
      <w:bookmarkStart w:id="665" w:name="_Toc142311056"/>
      <w:bookmarkStart w:id="666" w:name="_Toc353873664"/>
      <w:bookmarkStart w:id="667" w:name="_Toc264969244"/>
      <w:bookmarkStart w:id="668" w:name="_Toc305158822"/>
      <w:bookmarkStart w:id="669" w:name="_Toc265228392"/>
      <w:bookmarkStart w:id="670" w:name="_Toc353873934"/>
      <w:bookmarkStart w:id="671" w:name="_Toc150774759"/>
      <w:bookmarkStart w:id="672" w:name="_Toc150480792"/>
      <w:bookmarkStart w:id="673" w:name="_Toc226965827"/>
      <w:r>
        <w:rPr>
          <w:color w:val="auto"/>
          <w:sz w:val="24"/>
          <w:highlight w:val="none"/>
        </w:rPr>
        <w:br w:type="page"/>
      </w:r>
      <w:bookmarkStart w:id="674" w:name="_Toc99301421"/>
      <w:r>
        <w:rPr>
          <w:b/>
          <w:color w:val="auto"/>
          <w:sz w:val="36"/>
          <w:szCs w:val="36"/>
          <w:highlight w:val="none"/>
        </w:rPr>
        <w:t xml:space="preserve">第三章   </w:t>
      </w:r>
      <w:bookmarkEnd w:id="661"/>
      <w:bookmarkEnd w:id="662"/>
      <w:bookmarkEnd w:id="663"/>
      <w:bookmarkEnd w:id="664"/>
      <w:bookmarkEnd w:id="665"/>
      <w:bookmarkEnd w:id="666"/>
      <w:bookmarkEnd w:id="667"/>
      <w:bookmarkEnd w:id="668"/>
      <w:bookmarkEnd w:id="669"/>
      <w:bookmarkEnd w:id="670"/>
      <w:bookmarkEnd w:id="671"/>
      <w:bookmarkEnd w:id="672"/>
      <w:bookmarkEnd w:id="673"/>
      <w:r>
        <w:rPr>
          <w:b/>
          <w:color w:val="auto"/>
          <w:sz w:val="36"/>
          <w:szCs w:val="36"/>
          <w:highlight w:val="none"/>
        </w:rPr>
        <w:t>资格审查</w:t>
      </w:r>
      <w:bookmarkEnd w:id="674"/>
      <w:bookmarkStart w:id="675" w:name="_Toc487900382"/>
    </w:p>
    <w:p w14:paraId="0C755D6E">
      <w:pPr>
        <w:tabs>
          <w:tab w:val="left" w:pos="360"/>
          <w:tab w:val="left" w:pos="900"/>
        </w:tabs>
        <w:snapToGrid w:val="0"/>
        <w:spacing w:line="360" w:lineRule="auto"/>
        <w:jc w:val="center"/>
        <w:outlineLvl w:val="1"/>
        <w:rPr>
          <w:b/>
          <w:color w:val="auto"/>
          <w:sz w:val="24"/>
          <w:highlight w:val="none"/>
        </w:rPr>
      </w:pPr>
      <w:bookmarkStart w:id="676" w:name="_Toc99301422"/>
      <w:r>
        <w:rPr>
          <w:b/>
          <w:color w:val="auto"/>
          <w:sz w:val="24"/>
          <w:highlight w:val="none"/>
        </w:rPr>
        <w:t>一、资格审查程序</w:t>
      </w:r>
      <w:bookmarkEnd w:id="676"/>
    </w:p>
    <w:p w14:paraId="51FAEDF2">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39D2C8FC">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7AF3C190">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23B4A8CB">
      <w:pPr>
        <w:numPr>
          <w:ilvl w:val="0"/>
          <w:numId w:val="1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1399AD5E">
      <w:pPr>
        <w:widowControl/>
        <w:jc w:val="left"/>
        <w:rPr>
          <w:color w:val="auto"/>
          <w:sz w:val="24"/>
          <w:highlight w:val="none"/>
        </w:rPr>
      </w:pPr>
    </w:p>
    <w:p w14:paraId="4A3970D7">
      <w:pPr>
        <w:tabs>
          <w:tab w:val="left" w:pos="360"/>
          <w:tab w:val="left" w:pos="900"/>
        </w:tabs>
        <w:snapToGrid w:val="0"/>
        <w:spacing w:line="360" w:lineRule="auto"/>
        <w:jc w:val="center"/>
        <w:outlineLvl w:val="1"/>
        <w:rPr>
          <w:b/>
          <w:color w:val="auto"/>
          <w:sz w:val="24"/>
          <w:highlight w:val="none"/>
        </w:rPr>
      </w:pPr>
      <w:bookmarkStart w:id="677" w:name="_Hlk143693557"/>
      <w:r>
        <w:rPr>
          <w:b/>
          <w:color w:val="auto"/>
          <w:sz w:val="24"/>
          <w:highlight w:val="none"/>
        </w:rPr>
        <w:t>二、资格审查要求</w:t>
      </w:r>
      <w:bookmarkEnd w:id="677"/>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00D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14:paraId="10B61A8B">
            <w:pPr>
              <w:tabs>
                <w:tab w:val="left" w:pos="1080"/>
              </w:tabs>
              <w:snapToGrid w:val="0"/>
              <w:jc w:val="center"/>
              <w:rPr>
                <w:b/>
                <w:color w:val="auto"/>
                <w:sz w:val="24"/>
                <w:highlight w:val="none"/>
              </w:rPr>
            </w:pPr>
            <w:bookmarkStart w:id="678" w:name="_Hlt487972895"/>
            <w:bookmarkEnd w:id="678"/>
            <w:bookmarkStart w:id="679" w:name="_Hlk143693460"/>
            <w:r>
              <w:rPr>
                <w:b/>
                <w:color w:val="auto"/>
                <w:sz w:val="24"/>
                <w:highlight w:val="none"/>
              </w:rPr>
              <w:t>序号</w:t>
            </w:r>
          </w:p>
        </w:tc>
        <w:tc>
          <w:tcPr>
            <w:tcW w:w="1982" w:type="dxa"/>
            <w:vAlign w:val="center"/>
          </w:tcPr>
          <w:p w14:paraId="5F4AF7D4">
            <w:pPr>
              <w:tabs>
                <w:tab w:val="left" w:pos="1080"/>
              </w:tabs>
              <w:snapToGrid w:val="0"/>
              <w:jc w:val="center"/>
              <w:rPr>
                <w:b/>
                <w:color w:val="auto"/>
                <w:sz w:val="24"/>
                <w:highlight w:val="none"/>
              </w:rPr>
            </w:pPr>
            <w:r>
              <w:rPr>
                <w:b/>
                <w:color w:val="auto"/>
                <w:sz w:val="24"/>
                <w:highlight w:val="none"/>
              </w:rPr>
              <w:t>审查因素</w:t>
            </w:r>
          </w:p>
        </w:tc>
        <w:tc>
          <w:tcPr>
            <w:tcW w:w="4822" w:type="dxa"/>
            <w:vAlign w:val="center"/>
          </w:tcPr>
          <w:p w14:paraId="08C32C36">
            <w:pPr>
              <w:tabs>
                <w:tab w:val="left" w:pos="1080"/>
              </w:tabs>
              <w:snapToGrid w:val="0"/>
              <w:jc w:val="center"/>
              <w:rPr>
                <w:b/>
                <w:color w:val="auto"/>
                <w:sz w:val="24"/>
                <w:highlight w:val="none"/>
              </w:rPr>
            </w:pPr>
            <w:r>
              <w:rPr>
                <w:b/>
                <w:color w:val="auto"/>
                <w:sz w:val="24"/>
                <w:highlight w:val="none"/>
              </w:rPr>
              <w:t>审查内容</w:t>
            </w:r>
          </w:p>
        </w:tc>
        <w:tc>
          <w:tcPr>
            <w:tcW w:w="1639" w:type="dxa"/>
            <w:vAlign w:val="center"/>
          </w:tcPr>
          <w:p w14:paraId="62D9B61E">
            <w:pPr>
              <w:tabs>
                <w:tab w:val="left" w:pos="1080"/>
              </w:tabs>
              <w:snapToGrid w:val="0"/>
              <w:jc w:val="center"/>
              <w:rPr>
                <w:b/>
                <w:color w:val="auto"/>
                <w:sz w:val="24"/>
                <w:highlight w:val="none"/>
              </w:rPr>
            </w:pPr>
            <w:r>
              <w:rPr>
                <w:b/>
                <w:color w:val="auto"/>
                <w:sz w:val="24"/>
                <w:highlight w:val="none"/>
              </w:rPr>
              <w:t>格式要求</w:t>
            </w:r>
          </w:p>
        </w:tc>
      </w:tr>
      <w:tr w14:paraId="42AD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7C4FC0C">
            <w:pPr>
              <w:tabs>
                <w:tab w:val="left" w:pos="1080"/>
              </w:tabs>
              <w:snapToGrid w:val="0"/>
              <w:jc w:val="center"/>
              <w:rPr>
                <w:color w:val="auto"/>
                <w:sz w:val="24"/>
                <w:highlight w:val="none"/>
              </w:rPr>
            </w:pPr>
            <w:r>
              <w:rPr>
                <w:color w:val="auto"/>
                <w:sz w:val="24"/>
                <w:highlight w:val="none"/>
              </w:rPr>
              <w:t>1</w:t>
            </w:r>
          </w:p>
        </w:tc>
        <w:tc>
          <w:tcPr>
            <w:tcW w:w="1982" w:type="dxa"/>
            <w:vAlign w:val="center"/>
          </w:tcPr>
          <w:p w14:paraId="49E85F01">
            <w:pPr>
              <w:tabs>
                <w:tab w:val="left" w:pos="1080"/>
              </w:tabs>
              <w:snapToGrid w:val="0"/>
              <w:rPr>
                <w:color w:val="auto"/>
                <w:sz w:val="24"/>
                <w:highlight w:val="none"/>
              </w:rPr>
            </w:pPr>
            <w:r>
              <w:rPr>
                <w:color w:val="auto"/>
                <w:sz w:val="24"/>
                <w:highlight w:val="none"/>
              </w:rPr>
              <w:t>满足《中华人民共和国政府采购法》第二十二条规定</w:t>
            </w:r>
          </w:p>
        </w:tc>
        <w:tc>
          <w:tcPr>
            <w:tcW w:w="4822" w:type="dxa"/>
            <w:vAlign w:val="center"/>
          </w:tcPr>
          <w:p w14:paraId="3EB330DD">
            <w:pPr>
              <w:tabs>
                <w:tab w:val="left" w:pos="1080"/>
              </w:tabs>
              <w:snapToGrid w:val="0"/>
              <w:rPr>
                <w:color w:val="auto"/>
                <w:sz w:val="24"/>
                <w:highlight w:val="none"/>
              </w:rPr>
            </w:pPr>
            <w:r>
              <w:rPr>
                <w:color w:val="auto"/>
                <w:sz w:val="24"/>
                <w:highlight w:val="none"/>
              </w:rPr>
              <w:t>具体规定见第一章《投标邀请》</w:t>
            </w:r>
          </w:p>
        </w:tc>
        <w:tc>
          <w:tcPr>
            <w:tcW w:w="1639" w:type="dxa"/>
            <w:vAlign w:val="center"/>
          </w:tcPr>
          <w:p w14:paraId="4D7C3526">
            <w:pPr>
              <w:tabs>
                <w:tab w:val="left" w:pos="1080"/>
              </w:tabs>
              <w:snapToGrid w:val="0"/>
              <w:rPr>
                <w:color w:val="auto"/>
                <w:sz w:val="24"/>
                <w:highlight w:val="none"/>
              </w:rPr>
            </w:pPr>
          </w:p>
        </w:tc>
      </w:tr>
      <w:tr w14:paraId="49D5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8F74BEB">
            <w:pPr>
              <w:tabs>
                <w:tab w:val="left" w:pos="1080"/>
              </w:tabs>
              <w:snapToGrid w:val="0"/>
              <w:jc w:val="center"/>
              <w:rPr>
                <w:color w:val="auto"/>
                <w:sz w:val="24"/>
                <w:highlight w:val="none"/>
              </w:rPr>
            </w:pPr>
            <w:r>
              <w:rPr>
                <w:color w:val="auto"/>
                <w:sz w:val="24"/>
                <w:highlight w:val="none"/>
              </w:rPr>
              <w:t>1-1</w:t>
            </w:r>
          </w:p>
        </w:tc>
        <w:tc>
          <w:tcPr>
            <w:tcW w:w="1982" w:type="dxa"/>
            <w:vAlign w:val="center"/>
          </w:tcPr>
          <w:p w14:paraId="03AEBCE4">
            <w:pPr>
              <w:tabs>
                <w:tab w:val="left" w:pos="1080"/>
              </w:tabs>
              <w:snapToGrid w:val="0"/>
              <w:rPr>
                <w:color w:val="auto"/>
                <w:sz w:val="24"/>
                <w:highlight w:val="none"/>
              </w:rPr>
            </w:pPr>
            <w:r>
              <w:rPr>
                <w:color w:val="auto"/>
                <w:sz w:val="24"/>
                <w:highlight w:val="none"/>
              </w:rPr>
              <w:t>营业执照等证明文件</w:t>
            </w:r>
          </w:p>
        </w:tc>
        <w:tc>
          <w:tcPr>
            <w:tcW w:w="4822" w:type="dxa"/>
            <w:vAlign w:val="center"/>
          </w:tcPr>
          <w:p w14:paraId="6DD4E8DD">
            <w:pPr>
              <w:tabs>
                <w:tab w:val="left" w:pos="1080"/>
              </w:tabs>
              <w:snapToGrid w:val="0"/>
              <w:rPr>
                <w:color w:val="auto"/>
                <w:sz w:val="24"/>
                <w:highlight w:val="none"/>
              </w:rPr>
            </w:pPr>
            <w:r>
              <w:rPr>
                <w:color w:val="auto"/>
                <w:sz w:val="24"/>
                <w:highlight w:val="none"/>
              </w:rPr>
              <w:t>投标人为企业（包括合伙企业）的，应提供有效的“营业执照”；</w:t>
            </w:r>
          </w:p>
          <w:p w14:paraId="1DA71021">
            <w:pPr>
              <w:tabs>
                <w:tab w:val="left" w:pos="1080"/>
              </w:tabs>
              <w:snapToGrid w:val="0"/>
              <w:rPr>
                <w:color w:val="auto"/>
                <w:sz w:val="24"/>
                <w:highlight w:val="none"/>
              </w:rPr>
            </w:pPr>
            <w:r>
              <w:rPr>
                <w:color w:val="auto"/>
                <w:sz w:val="24"/>
                <w:highlight w:val="none"/>
              </w:rPr>
              <w:t>投标人为事业单位的，应提供有效的“事业单位法人证书”；</w:t>
            </w:r>
          </w:p>
          <w:p w14:paraId="5B11DA00">
            <w:pPr>
              <w:tabs>
                <w:tab w:val="left" w:pos="1080"/>
              </w:tabs>
              <w:snapToGrid w:val="0"/>
              <w:rPr>
                <w:color w:val="auto"/>
                <w:sz w:val="24"/>
                <w:highlight w:val="none"/>
              </w:rPr>
            </w:pPr>
            <w:r>
              <w:rPr>
                <w:color w:val="auto"/>
                <w:sz w:val="24"/>
                <w:highlight w:val="none"/>
              </w:rPr>
              <w:t>投标人是非企业机构的，应提供有效的“执业许可证”、“登记证书”等证明文件；</w:t>
            </w:r>
          </w:p>
          <w:p w14:paraId="63ED539F">
            <w:pPr>
              <w:tabs>
                <w:tab w:val="left" w:pos="1080"/>
              </w:tabs>
              <w:snapToGrid w:val="0"/>
              <w:rPr>
                <w:color w:val="auto"/>
                <w:sz w:val="24"/>
                <w:highlight w:val="none"/>
              </w:rPr>
            </w:pPr>
            <w:r>
              <w:rPr>
                <w:color w:val="auto"/>
                <w:sz w:val="24"/>
                <w:highlight w:val="none"/>
              </w:rPr>
              <w:t>投标人是个体工商户的，应提供有效的“个体工商户营业执照”；</w:t>
            </w:r>
          </w:p>
          <w:p w14:paraId="2DAF61EE">
            <w:pPr>
              <w:tabs>
                <w:tab w:val="left" w:pos="1080"/>
              </w:tabs>
              <w:snapToGrid w:val="0"/>
              <w:rPr>
                <w:color w:val="auto"/>
                <w:sz w:val="24"/>
                <w:highlight w:val="none"/>
              </w:rPr>
            </w:pPr>
            <w:r>
              <w:rPr>
                <w:color w:val="auto"/>
                <w:sz w:val="24"/>
                <w:highlight w:val="none"/>
              </w:rPr>
              <w:t>投标人是自然人的，应提供有效的自然人身份证明。</w:t>
            </w:r>
          </w:p>
          <w:p w14:paraId="49185DC9">
            <w:pPr>
              <w:tabs>
                <w:tab w:val="left" w:pos="1080"/>
              </w:tabs>
              <w:snapToGrid w:val="0"/>
              <w:rPr>
                <w:color w:val="auto"/>
                <w:sz w:val="24"/>
                <w:highlight w:val="none"/>
              </w:rPr>
            </w:pPr>
            <w:r>
              <w:rPr>
                <w:color w:val="auto"/>
                <w:sz w:val="24"/>
                <w:highlight w:val="none"/>
              </w:rPr>
              <w:t>分支机构参加投标的，应提供该分支机构或其所属法人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639" w:type="dxa"/>
            <w:vAlign w:val="center"/>
          </w:tcPr>
          <w:p w14:paraId="5CA0D3AA">
            <w:pPr>
              <w:tabs>
                <w:tab w:val="left" w:pos="1080"/>
              </w:tabs>
              <w:snapToGrid w:val="0"/>
              <w:rPr>
                <w:color w:val="auto"/>
                <w:sz w:val="24"/>
                <w:highlight w:val="none"/>
              </w:rPr>
            </w:pPr>
            <w:r>
              <w:rPr>
                <w:color w:val="auto"/>
                <w:sz w:val="24"/>
                <w:highlight w:val="none"/>
              </w:rPr>
              <w:t>提供证明文件的电子件或电子证照</w:t>
            </w:r>
          </w:p>
        </w:tc>
      </w:tr>
      <w:tr w14:paraId="6E69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6A25977">
            <w:pPr>
              <w:tabs>
                <w:tab w:val="left" w:pos="1080"/>
              </w:tabs>
              <w:snapToGrid w:val="0"/>
              <w:jc w:val="center"/>
              <w:rPr>
                <w:color w:val="auto"/>
                <w:sz w:val="24"/>
                <w:highlight w:val="none"/>
              </w:rPr>
            </w:pPr>
            <w:r>
              <w:rPr>
                <w:color w:val="auto"/>
                <w:sz w:val="24"/>
                <w:highlight w:val="none"/>
              </w:rPr>
              <w:t>1-2</w:t>
            </w:r>
          </w:p>
        </w:tc>
        <w:tc>
          <w:tcPr>
            <w:tcW w:w="1982" w:type="dxa"/>
            <w:vAlign w:val="center"/>
          </w:tcPr>
          <w:p w14:paraId="165CAC17">
            <w:pPr>
              <w:tabs>
                <w:tab w:val="left" w:pos="1080"/>
              </w:tabs>
              <w:snapToGrid w:val="0"/>
              <w:rPr>
                <w:color w:val="auto"/>
                <w:sz w:val="24"/>
                <w:highlight w:val="none"/>
              </w:rPr>
            </w:pPr>
            <w:r>
              <w:rPr>
                <w:color w:val="auto"/>
                <w:sz w:val="24"/>
                <w:highlight w:val="none"/>
              </w:rPr>
              <w:t>投标人资格声明书</w:t>
            </w:r>
          </w:p>
        </w:tc>
        <w:tc>
          <w:tcPr>
            <w:tcW w:w="4822" w:type="dxa"/>
            <w:vAlign w:val="center"/>
          </w:tcPr>
          <w:p w14:paraId="3AC0066B">
            <w:pPr>
              <w:tabs>
                <w:tab w:val="left" w:pos="1080"/>
              </w:tabs>
              <w:snapToGrid w:val="0"/>
              <w:rPr>
                <w:color w:val="auto"/>
                <w:sz w:val="24"/>
                <w:highlight w:val="none"/>
              </w:rPr>
            </w:pPr>
            <w:r>
              <w:rPr>
                <w:color w:val="auto"/>
                <w:sz w:val="24"/>
                <w:highlight w:val="none"/>
              </w:rPr>
              <w:t>提供了符合招标文件要求的《投标人资格声明书》。</w:t>
            </w:r>
          </w:p>
        </w:tc>
        <w:tc>
          <w:tcPr>
            <w:tcW w:w="1639" w:type="dxa"/>
            <w:vAlign w:val="center"/>
          </w:tcPr>
          <w:p w14:paraId="5C92EF3C">
            <w:pPr>
              <w:tabs>
                <w:tab w:val="left" w:pos="1080"/>
              </w:tabs>
              <w:snapToGrid w:val="0"/>
              <w:rPr>
                <w:color w:val="auto"/>
                <w:sz w:val="24"/>
                <w:highlight w:val="none"/>
              </w:rPr>
            </w:pPr>
            <w:r>
              <w:rPr>
                <w:color w:val="auto"/>
                <w:sz w:val="24"/>
                <w:highlight w:val="none"/>
              </w:rPr>
              <w:t>格式见《投标文件格式》</w:t>
            </w:r>
          </w:p>
        </w:tc>
      </w:tr>
      <w:tr w14:paraId="522E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BF94637">
            <w:pPr>
              <w:tabs>
                <w:tab w:val="left" w:pos="1080"/>
              </w:tabs>
              <w:snapToGrid w:val="0"/>
              <w:jc w:val="center"/>
              <w:rPr>
                <w:color w:val="auto"/>
                <w:sz w:val="24"/>
                <w:highlight w:val="none"/>
              </w:rPr>
            </w:pPr>
            <w:r>
              <w:rPr>
                <w:color w:val="auto"/>
                <w:sz w:val="24"/>
                <w:highlight w:val="none"/>
              </w:rPr>
              <w:t>1-3</w:t>
            </w:r>
          </w:p>
        </w:tc>
        <w:tc>
          <w:tcPr>
            <w:tcW w:w="1982" w:type="dxa"/>
            <w:vAlign w:val="center"/>
          </w:tcPr>
          <w:p w14:paraId="28F72DA0">
            <w:pPr>
              <w:tabs>
                <w:tab w:val="left" w:pos="1080"/>
              </w:tabs>
              <w:snapToGrid w:val="0"/>
              <w:rPr>
                <w:color w:val="auto"/>
                <w:sz w:val="24"/>
                <w:highlight w:val="none"/>
              </w:rPr>
            </w:pPr>
            <w:r>
              <w:rPr>
                <w:color w:val="auto"/>
                <w:sz w:val="24"/>
                <w:highlight w:val="none"/>
              </w:rPr>
              <w:t>投标人信用记录</w:t>
            </w:r>
          </w:p>
        </w:tc>
        <w:tc>
          <w:tcPr>
            <w:tcW w:w="4822" w:type="dxa"/>
            <w:vAlign w:val="center"/>
          </w:tcPr>
          <w:p w14:paraId="49B0E869">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4917A892">
            <w:pPr>
              <w:tabs>
                <w:tab w:val="left" w:pos="900"/>
                <w:tab w:val="left" w:pos="1980"/>
              </w:tabs>
              <w:snapToGrid w:val="0"/>
              <w:rPr>
                <w:color w:val="auto"/>
                <w:sz w:val="24"/>
                <w:highlight w:val="none"/>
              </w:rPr>
            </w:pPr>
            <w:r>
              <w:rPr>
                <w:color w:val="auto"/>
                <w:sz w:val="24"/>
                <w:highlight w:val="none"/>
              </w:rPr>
              <w:t>截止时点：投标截止时间以后、资格审查阶段采购人或采购代理机构的实际查询时间；</w:t>
            </w:r>
          </w:p>
          <w:p w14:paraId="4689A66A">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2BA362C7">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639" w:type="dxa"/>
            <w:vAlign w:val="center"/>
          </w:tcPr>
          <w:p w14:paraId="61FEE010">
            <w:pPr>
              <w:tabs>
                <w:tab w:val="left" w:pos="1080"/>
              </w:tabs>
              <w:snapToGrid w:val="0"/>
              <w:rPr>
                <w:color w:val="auto"/>
                <w:sz w:val="24"/>
                <w:highlight w:val="none"/>
              </w:rPr>
            </w:pPr>
            <w:r>
              <w:rPr>
                <w:color w:val="auto"/>
                <w:sz w:val="24"/>
                <w:highlight w:val="none"/>
              </w:rPr>
              <w:t>无须投标人提供，由采购人或采购代理机构查询。</w:t>
            </w:r>
          </w:p>
        </w:tc>
      </w:tr>
      <w:tr w14:paraId="42C7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8687CDA">
            <w:pPr>
              <w:tabs>
                <w:tab w:val="left" w:pos="1080"/>
              </w:tabs>
              <w:snapToGrid w:val="0"/>
              <w:jc w:val="center"/>
              <w:rPr>
                <w:color w:val="auto"/>
                <w:sz w:val="24"/>
                <w:highlight w:val="none"/>
              </w:rPr>
            </w:pPr>
            <w:r>
              <w:rPr>
                <w:color w:val="auto"/>
                <w:sz w:val="24"/>
                <w:highlight w:val="none"/>
              </w:rPr>
              <w:t>1-4</w:t>
            </w:r>
          </w:p>
        </w:tc>
        <w:tc>
          <w:tcPr>
            <w:tcW w:w="1982" w:type="dxa"/>
            <w:vAlign w:val="center"/>
          </w:tcPr>
          <w:p w14:paraId="49F0EC2F">
            <w:pPr>
              <w:tabs>
                <w:tab w:val="left" w:pos="1080"/>
              </w:tabs>
              <w:snapToGrid w:val="0"/>
              <w:rPr>
                <w:color w:val="auto"/>
                <w:sz w:val="24"/>
                <w:highlight w:val="none"/>
              </w:rPr>
            </w:pPr>
            <w:r>
              <w:rPr>
                <w:color w:val="auto"/>
                <w:sz w:val="24"/>
                <w:highlight w:val="none"/>
              </w:rPr>
              <w:t>法律、行政法规规定的其他条件</w:t>
            </w:r>
          </w:p>
        </w:tc>
        <w:tc>
          <w:tcPr>
            <w:tcW w:w="4822" w:type="dxa"/>
            <w:vAlign w:val="center"/>
          </w:tcPr>
          <w:p w14:paraId="47E973B8">
            <w:pPr>
              <w:tabs>
                <w:tab w:val="left" w:pos="1080"/>
              </w:tabs>
              <w:snapToGrid w:val="0"/>
              <w:rPr>
                <w:color w:val="auto"/>
                <w:sz w:val="24"/>
                <w:highlight w:val="none"/>
              </w:rPr>
            </w:pPr>
            <w:r>
              <w:rPr>
                <w:color w:val="auto"/>
                <w:sz w:val="24"/>
                <w:highlight w:val="none"/>
              </w:rPr>
              <w:t>法律、行政法规规定的其他条件</w:t>
            </w:r>
          </w:p>
        </w:tc>
        <w:tc>
          <w:tcPr>
            <w:tcW w:w="1639" w:type="dxa"/>
            <w:vAlign w:val="center"/>
          </w:tcPr>
          <w:p w14:paraId="396F7D5F">
            <w:pPr>
              <w:tabs>
                <w:tab w:val="left" w:pos="1080"/>
              </w:tabs>
              <w:snapToGrid w:val="0"/>
              <w:jc w:val="center"/>
              <w:rPr>
                <w:color w:val="auto"/>
                <w:sz w:val="24"/>
                <w:highlight w:val="none"/>
              </w:rPr>
            </w:pPr>
            <w:r>
              <w:rPr>
                <w:color w:val="auto"/>
                <w:sz w:val="24"/>
                <w:highlight w:val="none"/>
              </w:rPr>
              <w:t>/</w:t>
            </w:r>
          </w:p>
        </w:tc>
      </w:tr>
      <w:tr w14:paraId="1078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374DE14">
            <w:pPr>
              <w:tabs>
                <w:tab w:val="left" w:pos="1080"/>
              </w:tabs>
              <w:snapToGrid w:val="0"/>
              <w:jc w:val="center"/>
              <w:rPr>
                <w:color w:val="auto"/>
                <w:sz w:val="24"/>
                <w:highlight w:val="none"/>
              </w:rPr>
            </w:pPr>
            <w:r>
              <w:rPr>
                <w:color w:val="auto"/>
                <w:sz w:val="24"/>
                <w:highlight w:val="none"/>
              </w:rPr>
              <w:t>2</w:t>
            </w:r>
          </w:p>
        </w:tc>
        <w:tc>
          <w:tcPr>
            <w:tcW w:w="1982" w:type="dxa"/>
            <w:vAlign w:val="center"/>
          </w:tcPr>
          <w:p w14:paraId="5A646A2B">
            <w:pPr>
              <w:tabs>
                <w:tab w:val="left" w:pos="1080"/>
              </w:tabs>
              <w:snapToGrid w:val="0"/>
              <w:rPr>
                <w:color w:val="auto"/>
                <w:sz w:val="24"/>
                <w:highlight w:val="none"/>
              </w:rPr>
            </w:pPr>
            <w:r>
              <w:rPr>
                <w:color w:val="auto"/>
                <w:sz w:val="24"/>
                <w:highlight w:val="none"/>
              </w:rPr>
              <w:t>落实政府采购政策需满足的资格要求</w:t>
            </w:r>
          </w:p>
        </w:tc>
        <w:tc>
          <w:tcPr>
            <w:tcW w:w="4822" w:type="dxa"/>
            <w:vAlign w:val="center"/>
          </w:tcPr>
          <w:p w14:paraId="499EF3D3">
            <w:pPr>
              <w:tabs>
                <w:tab w:val="left" w:pos="1080"/>
              </w:tabs>
              <w:snapToGrid w:val="0"/>
              <w:rPr>
                <w:color w:val="auto"/>
                <w:sz w:val="24"/>
                <w:highlight w:val="none"/>
              </w:rPr>
            </w:pPr>
            <w:r>
              <w:rPr>
                <w:color w:val="auto"/>
                <w:sz w:val="24"/>
                <w:highlight w:val="none"/>
              </w:rPr>
              <w:t>具体要求见第一章《投标邀请》</w:t>
            </w:r>
          </w:p>
        </w:tc>
        <w:tc>
          <w:tcPr>
            <w:tcW w:w="1639" w:type="dxa"/>
            <w:vAlign w:val="center"/>
          </w:tcPr>
          <w:p w14:paraId="7D5A15DA">
            <w:pPr>
              <w:tabs>
                <w:tab w:val="left" w:pos="1080"/>
              </w:tabs>
              <w:snapToGrid w:val="0"/>
              <w:rPr>
                <w:color w:val="auto"/>
                <w:sz w:val="24"/>
                <w:highlight w:val="none"/>
              </w:rPr>
            </w:pPr>
          </w:p>
        </w:tc>
      </w:tr>
      <w:tr w14:paraId="05D3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3BE6ABE">
            <w:pPr>
              <w:tabs>
                <w:tab w:val="left" w:pos="1080"/>
              </w:tabs>
              <w:snapToGrid w:val="0"/>
              <w:jc w:val="center"/>
              <w:rPr>
                <w:color w:val="auto"/>
                <w:sz w:val="24"/>
                <w:highlight w:val="none"/>
              </w:rPr>
            </w:pPr>
            <w:r>
              <w:rPr>
                <w:color w:val="auto"/>
                <w:sz w:val="24"/>
                <w:highlight w:val="none"/>
              </w:rPr>
              <w:t>2-1</w:t>
            </w:r>
          </w:p>
        </w:tc>
        <w:tc>
          <w:tcPr>
            <w:tcW w:w="1982" w:type="dxa"/>
            <w:vAlign w:val="center"/>
          </w:tcPr>
          <w:p w14:paraId="25A2E463">
            <w:pPr>
              <w:tabs>
                <w:tab w:val="left" w:pos="1080"/>
              </w:tabs>
              <w:snapToGrid w:val="0"/>
              <w:rPr>
                <w:color w:val="auto"/>
                <w:sz w:val="24"/>
                <w:highlight w:val="none"/>
              </w:rPr>
            </w:pPr>
            <w:r>
              <w:rPr>
                <w:color w:val="auto"/>
                <w:sz w:val="24"/>
                <w:highlight w:val="none"/>
              </w:rPr>
              <w:t>中小企业政策</w:t>
            </w:r>
          </w:p>
        </w:tc>
        <w:tc>
          <w:tcPr>
            <w:tcW w:w="4822" w:type="dxa"/>
            <w:vAlign w:val="center"/>
          </w:tcPr>
          <w:p w14:paraId="2EBB6B6F">
            <w:pPr>
              <w:tabs>
                <w:tab w:val="left" w:pos="1080"/>
              </w:tabs>
              <w:snapToGrid w:val="0"/>
              <w:rPr>
                <w:color w:val="auto"/>
                <w:sz w:val="24"/>
                <w:highlight w:val="none"/>
              </w:rPr>
            </w:pPr>
            <w:r>
              <w:rPr>
                <w:color w:val="auto"/>
                <w:sz w:val="24"/>
                <w:highlight w:val="none"/>
              </w:rPr>
              <w:t>具体要求见第一章《投标邀请》</w:t>
            </w:r>
          </w:p>
        </w:tc>
        <w:tc>
          <w:tcPr>
            <w:tcW w:w="1639" w:type="dxa"/>
            <w:vAlign w:val="center"/>
          </w:tcPr>
          <w:p w14:paraId="31EBFB00">
            <w:pPr>
              <w:tabs>
                <w:tab w:val="left" w:pos="1080"/>
              </w:tabs>
              <w:snapToGrid w:val="0"/>
              <w:rPr>
                <w:color w:val="auto"/>
                <w:sz w:val="24"/>
                <w:highlight w:val="none"/>
              </w:rPr>
            </w:pPr>
          </w:p>
        </w:tc>
      </w:tr>
      <w:tr w14:paraId="4BA17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15FDCAD">
            <w:pPr>
              <w:tabs>
                <w:tab w:val="left" w:pos="1080"/>
              </w:tabs>
              <w:snapToGrid w:val="0"/>
              <w:jc w:val="center"/>
              <w:rPr>
                <w:color w:val="auto"/>
                <w:sz w:val="24"/>
                <w:highlight w:val="none"/>
              </w:rPr>
            </w:pPr>
            <w:r>
              <w:rPr>
                <w:color w:val="auto"/>
                <w:sz w:val="24"/>
                <w:highlight w:val="none"/>
              </w:rPr>
              <w:t>2-1-1</w:t>
            </w:r>
          </w:p>
        </w:tc>
        <w:tc>
          <w:tcPr>
            <w:tcW w:w="1982" w:type="dxa"/>
            <w:vAlign w:val="center"/>
          </w:tcPr>
          <w:p w14:paraId="60E82644">
            <w:pPr>
              <w:tabs>
                <w:tab w:val="left" w:pos="1080"/>
              </w:tabs>
              <w:snapToGrid w:val="0"/>
              <w:rPr>
                <w:color w:val="auto"/>
                <w:sz w:val="24"/>
                <w:highlight w:val="none"/>
              </w:rPr>
            </w:pPr>
            <w:r>
              <w:rPr>
                <w:color w:val="auto"/>
                <w:sz w:val="24"/>
                <w:highlight w:val="none"/>
              </w:rPr>
              <w:t>中小企业证明文件</w:t>
            </w:r>
          </w:p>
        </w:tc>
        <w:tc>
          <w:tcPr>
            <w:tcW w:w="4822" w:type="dxa"/>
            <w:vAlign w:val="center"/>
          </w:tcPr>
          <w:p w14:paraId="10418892">
            <w:pPr>
              <w:tabs>
                <w:tab w:val="left" w:pos="1080"/>
              </w:tabs>
              <w:snapToGrid w:val="0"/>
              <w:rPr>
                <w:color w:val="auto"/>
                <w:sz w:val="24"/>
                <w:highlight w:val="none"/>
              </w:rPr>
            </w:pPr>
            <w:r>
              <w:rPr>
                <w:color w:val="auto"/>
                <w:sz w:val="24"/>
                <w:highlight w:val="none"/>
              </w:rPr>
              <w:t>当本项目（包）涉及预留份额专门面向中小企业采购，此时建议在《资格证明文件》中提供。</w:t>
            </w:r>
          </w:p>
          <w:p w14:paraId="747F2472">
            <w:pPr>
              <w:tabs>
                <w:tab w:val="left" w:pos="1080"/>
              </w:tabs>
              <w:snapToGrid w:val="0"/>
              <w:rPr>
                <w:color w:val="auto"/>
                <w:sz w:val="24"/>
                <w:highlight w:val="none"/>
              </w:rPr>
            </w:pPr>
            <w:r>
              <w:rPr>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69CA3DE9">
            <w:pPr>
              <w:tabs>
                <w:tab w:val="left" w:pos="1080"/>
              </w:tabs>
              <w:snapToGrid w:val="0"/>
              <w:rPr>
                <w:color w:val="auto"/>
                <w:sz w:val="24"/>
                <w:highlight w:val="none"/>
              </w:rPr>
            </w:pPr>
            <w:r>
              <w:rPr>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7D8D7C66">
            <w:pPr>
              <w:tabs>
                <w:tab w:val="left" w:pos="1080"/>
              </w:tabs>
              <w:snapToGrid w:val="0"/>
              <w:rPr>
                <w:color w:val="auto"/>
                <w:sz w:val="24"/>
                <w:highlight w:val="none"/>
              </w:rPr>
            </w:pPr>
            <w:r>
              <w:rPr>
                <w:color w:val="auto"/>
                <w:sz w:val="24"/>
                <w:highlight w:val="none"/>
              </w:rPr>
              <w:t>格式见《投标文件格式》</w:t>
            </w:r>
          </w:p>
        </w:tc>
      </w:tr>
      <w:tr w14:paraId="561A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BD36F07">
            <w:pPr>
              <w:tabs>
                <w:tab w:val="left" w:pos="1080"/>
              </w:tabs>
              <w:snapToGrid w:val="0"/>
              <w:jc w:val="center"/>
              <w:rPr>
                <w:color w:val="auto"/>
                <w:sz w:val="24"/>
                <w:highlight w:val="none"/>
              </w:rPr>
            </w:pPr>
            <w:r>
              <w:rPr>
                <w:color w:val="auto"/>
                <w:sz w:val="24"/>
                <w:highlight w:val="none"/>
              </w:rPr>
              <w:t>2-1-2</w:t>
            </w:r>
          </w:p>
        </w:tc>
        <w:tc>
          <w:tcPr>
            <w:tcW w:w="1982" w:type="dxa"/>
            <w:vAlign w:val="center"/>
          </w:tcPr>
          <w:p w14:paraId="48FDA8B0">
            <w:pPr>
              <w:tabs>
                <w:tab w:val="left" w:pos="1080"/>
              </w:tabs>
              <w:snapToGrid w:val="0"/>
              <w:rPr>
                <w:color w:val="auto"/>
                <w:sz w:val="24"/>
                <w:highlight w:val="none"/>
              </w:rPr>
            </w:pPr>
            <w:r>
              <w:rPr>
                <w:color w:val="auto"/>
                <w:sz w:val="24"/>
                <w:highlight w:val="none"/>
              </w:rPr>
              <w:t>拟分包情况说明及分包意向协议</w:t>
            </w:r>
          </w:p>
        </w:tc>
        <w:tc>
          <w:tcPr>
            <w:tcW w:w="4822" w:type="dxa"/>
            <w:vAlign w:val="center"/>
          </w:tcPr>
          <w:p w14:paraId="0A538C28">
            <w:pPr>
              <w:tabs>
                <w:tab w:val="left" w:pos="1080"/>
              </w:tabs>
              <w:snapToGrid w:val="0"/>
              <w:rPr>
                <w:color w:val="auto"/>
                <w:sz w:val="24"/>
                <w:highlight w:val="none"/>
              </w:rPr>
            </w:pPr>
            <w:r>
              <w:rPr>
                <w:color w:val="auto"/>
                <w:sz w:val="24"/>
                <w:highlight w:val="none"/>
              </w:rPr>
              <w:t>如本项目（包）要求通过分包措施预留部分采购份额面向中小企业采购、且投标人因落实政府采购政策拟进行分包的，必须提供；否则无须提供。</w:t>
            </w:r>
          </w:p>
          <w:p w14:paraId="7035615A">
            <w:pPr>
              <w:tabs>
                <w:tab w:val="left" w:pos="1080"/>
              </w:tabs>
              <w:snapToGrid w:val="0"/>
              <w:rPr>
                <w:b/>
                <w:color w:val="auto"/>
                <w:sz w:val="24"/>
                <w:highlight w:val="none"/>
              </w:rPr>
            </w:pPr>
            <w:r>
              <w:rPr>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368470C6">
            <w:pPr>
              <w:tabs>
                <w:tab w:val="left" w:pos="1080"/>
              </w:tabs>
              <w:snapToGrid w:val="0"/>
              <w:rPr>
                <w:color w:val="auto"/>
                <w:sz w:val="24"/>
                <w:highlight w:val="none"/>
              </w:rPr>
            </w:pPr>
            <w:r>
              <w:rPr>
                <w:color w:val="auto"/>
                <w:sz w:val="24"/>
                <w:highlight w:val="none"/>
              </w:rPr>
              <w:t>格式见《投标文件格式》</w:t>
            </w:r>
          </w:p>
        </w:tc>
      </w:tr>
      <w:tr w14:paraId="78FD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09478E3">
            <w:pPr>
              <w:tabs>
                <w:tab w:val="left" w:pos="1080"/>
              </w:tabs>
              <w:snapToGrid w:val="0"/>
              <w:jc w:val="center"/>
              <w:rPr>
                <w:color w:val="auto"/>
                <w:sz w:val="24"/>
                <w:highlight w:val="none"/>
              </w:rPr>
            </w:pPr>
            <w:r>
              <w:rPr>
                <w:color w:val="auto"/>
                <w:sz w:val="24"/>
                <w:highlight w:val="none"/>
              </w:rPr>
              <w:t>2-2</w:t>
            </w:r>
          </w:p>
        </w:tc>
        <w:tc>
          <w:tcPr>
            <w:tcW w:w="1982" w:type="dxa"/>
            <w:vAlign w:val="center"/>
          </w:tcPr>
          <w:p w14:paraId="602997BF">
            <w:pPr>
              <w:tabs>
                <w:tab w:val="left" w:pos="1080"/>
              </w:tabs>
              <w:snapToGrid w:val="0"/>
              <w:rPr>
                <w:color w:val="auto"/>
                <w:sz w:val="24"/>
                <w:highlight w:val="none"/>
              </w:rPr>
            </w:pPr>
            <w:r>
              <w:rPr>
                <w:color w:val="auto"/>
                <w:sz w:val="24"/>
                <w:highlight w:val="none"/>
              </w:rPr>
              <w:t>其它落实政府采购政策的资格要求</w:t>
            </w:r>
          </w:p>
        </w:tc>
        <w:tc>
          <w:tcPr>
            <w:tcW w:w="4822" w:type="dxa"/>
            <w:vAlign w:val="center"/>
          </w:tcPr>
          <w:p w14:paraId="2CE1D107">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4AEA5B21">
            <w:pPr>
              <w:tabs>
                <w:tab w:val="left" w:pos="1080"/>
              </w:tabs>
              <w:snapToGrid w:val="0"/>
              <w:rPr>
                <w:color w:val="auto"/>
                <w:sz w:val="24"/>
                <w:highlight w:val="none"/>
              </w:rPr>
            </w:pPr>
            <w:r>
              <w:rPr>
                <w:color w:val="auto"/>
                <w:sz w:val="24"/>
                <w:highlight w:val="none"/>
              </w:rPr>
              <w:t>提供证明文件的电子件或电子证照</w:t>
            </w:r>
          </w:p>
        </w:tc>
      </w:tr>
      <w:tr w14:paraId="5D61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AAAAC1E">
            <w:pPr>
              <w:tabs>
                <w:tab w:val="left" w:pos="1080"/>
              </w:tabs>
              <w:snapToGrid w:val="0"/>
              <w:jc w:val="center"/>
              <w:rPr>
                <w:color w:val="auto"/>
                <w:sz w:val="24"/>
                <w:highlight w:val="none"/>
              </w:rPr>
            </w:pPr>
            <w:r>
              <w:rPr>
                <w:color w:val="auto"/>
                <w:sz w:val="24"/>
                <w:highlight w:val="none"/>
              </w:rPr>
              <w:t>3</w:t>
            </w:r>
          </w:p>
        </w:tc>
        <w:tc>
          <w:tcPr>
            <w:tcW w:w="1982" w:type="dxa"/>
            <w:vAlign w:val="center"/>
          </w:tcPr>
          <w:p w14:paraId="44CD8627">
            <w:pPr>
              <w:tabs>
                <w:tab w:val="left" w:pos="1080"/>
              </w:tabs>
              <w:snapToGrid w:val="0"/>
              <w:rPr>
                <w:color w:val="auto"/>
                <w:sz w:val="24"/>
                <w:highlight w:val="none"/>
              </w:rPr>
            </w:pPr>
            <w:r>
              <w:rPr>
                <w:color w:val="auto"/>
                <w:sz w:val="24"/>
                <w:highlight w:val="none"/>
              </w:rPr>
              <w:t>本项目的特定资格要求</w:t>
            </w:r>
          </w:p>
        </w:tc>
        <w:tc>
          <w:tcPr>
            <w:tcW w:w="4822" w:type="dxa"/>
            <w:vAlign w:val="center"/>
          </w:tcPr>
          <w:p w14:paraId="50E69F99">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0A9E0424">
            <w:pPr>
              <w:tabs>
                <w:tab w:val="left" w:pos="1080"/>
              </w:tabs>
              <w:snapToGrid w:val="0"/>
              <w:rPr>
                <w:color w:val="auto"/>
                <w:sz w:val="24"/>
                <w:highlight w:val="none"/>
              </w:rPr>
            </w:pPr>
          </w:p>
        </w:tc>
      </w:tr>
      <w:tr w14:paraId="76A8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4214C0B">
            <w:pPr>
              <w:tabs>
                <w:tab w:val="left" w:pos="1080"/>
              </w:tabs>
              <w:snapToGrid w:val="0"/>
              <w:jc w:val="center"/>
              <w:rPr>
                <w:color w:val="auto"/>
                <w:sz w:val="24"/>
                <w:highlight w:val="none"/>
              </w:rPr>
            </w:pPr>
            <w:r>
              <w:rPr>
                <w:color w:val="auto"/>
                <w:sz w:val="24"/>
                <w:highlight w:val="none"/>
              </w:rPr>
              <w:t>3-1</w:t>
            </w:r>
          </w:p>
        </w:tc>
        <w:tc>
          <w:tcPr>
            <w:tcW w:w="1982" w:type="dxa"/>
            <w:vAlign w:val="center"/>
          </w:tcPr>
          <w:p w14:paraId="5ADD623A">
            <w:pPr>
              <w:tabs>
                <w:tab w:val="left" w:pos="1080"/>
              </w:tabs>
              <w:snapToGrid w:val="0"/>
              <w:rPr>
                <w:color w:val="auto"/>
                <w:sz w:val="24"/>
                <w:highlight w:val="none"/>
              </w:rPr>
            </w:pPr>
            <w:r>
              <w:rPr>
                <w:color w:val="auto"/>
                <w:sz w:val="24"/>
                <w:highlight w:val="none"/>
              </w:rPr>
              <w:t>本项目对于联合体的要求</w:t>
            </w:r>
          </w:p>
        </w:tc>
        <w:tc>
          <w:tcPr>
            <w:tcW w:w="4822" w:type="dxa"/>
            <w:vAlign w:val="center"/>
          </w:tcPr>
          <w:p w14:paraId="2E38F88B">
            <w:pPr>
              <w:tabs>
                <w:tab w:val="left" w:pos="1080"/>
              </w:tabs>
              <w:snapToGrid w:val="0"/>
              <w:rPr>
                <w:color w:val="auto"/>
                <w:sz w:val="24"/>
                <w:highlight w:val="none"/>
              </w:rPr>
            </w:pPr>
            <w:r>
              <w:rPr>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0BBFE7">
            <w:pPr>
              <w:tabs>
                <w:tab w:val="left" w:pos="1080"/>
              </w:tabs>
              <w:snapToGrid w:val="0"/>
              <w:rPr>
                <w:color w:val="auto"/>
                <w:sz w:val="24"/>
                <w:highlight w:val="none"/>
              </w:rPr>
            </w:pPr>
            <w:r>
              <w:rPr>
                <w:color w:val="auto"/>
                <w:sz w:val="24"/>
                <w:highlight w:val="none"/>
              </w:rPr>
              <w:t>2、联合体各成员单位均须提供本表中序号1-1、1-2的证明文件。联合体各成员单位均应满足本表3-2及3-3项规定。</w:t>
            </w:r>
          </w:p>
          <w:p w14:paraId="0337C129">
            <w:pPr>
              <w:tabs>
                <w:tab w:val="left" w:pos="1080"/>
              </w:tabs>
              <w:snapToGrid w:val="0"/>
              <w:rPr>
                <w:color w:val="auto"/>
                <w:sz w:val="24"/>
                <w:highlight w:val="none"/>
              </w:rPr>
            </w:pPr>
            <w:r>
              <w:rPr>
                <w:color w:val="auto"/>
                <w:sz w:val="24"/>
                <w:highlight w:val="none"/>
              </w:rPr>
              <w:t>3、本表序号3-4项规定的其他特定资格要求中的每一小项要求，联合体各方中至少应当有一方符合本表中其他资格要求并提供证明文件。</w:t>
            </w:r>
          </w:p>
          <w:p w14:paraId="4A66EB38">
            <w:pPr>
              <w:tabs>
                <w:tab w:val="left" w:pos="1080"/>
              </w:tabs>
              <w:snapToGrid w:val="0"/>
              <w:rPr>
                <w:color w:val="auto"/>
                <w:sz w:val="24"/>
                <w:highlight w:val="none"/>
              </w:rPr>
            </w:pPr>
            <w:r>
              <w:rPr>
                <w:color w:val="auto"/>
                <w:sz w:val="24"/>
                <w:highlight w:val="none"/>
              </w:rPr>
              <w:t>4、联合体中有同类资质的供应商按照联合体分工承担相同工作的，应当按照资质等级较低的供应商确定资质等级。</w:t>
            </w:r>
          </w:p>
          <w:p w14:paraId="41E8818C">
            <w:pPr>
              <w:tabs>
                <w:tab w:val="left" w:pos="1080"/>
              </w:tabs>
              <w:snapToGrid w:val="0"/>
              <w:rPr>
                <w:color w:val="auto"/>
                <w:sz w:val="24"/>
                <w:highlight w:val="none"/>
              </w:rPr>
            </w:pPr>
            <w:r>
              <w:rPr>
                <w:color w:val="auto"/>
                <w:sz w:val="24"/>
                <w:highlight w:val="none"/>
              </w:rPr>
              <w:t>5、以联合体形式参加政府采购活动的，联合体各方不得再单独参加或者与其他供应商另外组成联合体参加同一合同项下的政府采购活动。</w:t>
            </w:r>
          </w:p>
          <w:p w14:paraId="7DB98C98">
            <w:pPr>
              <w:tabs>
                <w:tab w:val="left" w:pos="1080"/>
              </w:tabs>
              <w:snapToGrid w:val="0"/>
              <w:rPr>
                <w:color w:val="auto"/>
                <w:sz w:val="24"/>
                <w:highlight w:val="none"/>
              </w:rPr>
            </w:pPr>
            <w:r>
              <w:rPr>
                <w:color w:val="auto"/>
                <w:sz w:val="24"/>
                <w:highlight w:val="none"/>
              </w:rPr>
              <w:t>6、若联合体中任一成员单位中途退出，则该联合体的</w:t>
            </w:r>
            <w:r>
              <w:rPr>
                <w:b/>
                <w:color w:val="auto"/>
                <w:sz w:val="24"/>
                <w:highlight w:val="none"/>
              </w:rPr>
              <w:t>投标无效</w:t>
            </w:r>
            <w:r>
              <w:rPr>
                <w:color w:val="auto"/>
                <w:sz w:val="24"/>
                <w:highlight w:val="none"/>
              </w:rPr>
              <w:t>。</w:t>
            </w:r>
          </w:p>
          <w:p w14:paraId="44F27411">
            <w:pPr>
              <w:tabs>
                <w:tab w:val="left" w:pos="1080"/>
              </w:tabs>
              <w:snapToGrid w:val="0"/>
              <w:rPr>
                <w:color w:val="auto"/>
                <w:sz w:val="24"/>
                <w:highlight w:val="none"/>
              </w:rPr>
            </w:pPr>
            <w:r>
              <w:rPr>
                <w:color w:val="auto"/>
                <w:sz w:val="24"/>
                <w:highlight w:val="none"/>
              </w:rPr>
              <w:t>7、本项目不接受联合体投标时，投标人不得为联合体。</w:t>
            </w:r>
          </w:p>
        </w:tc>
        <w:tc>
          <w:tcPr>
            <w:tcW w:w="1639" w:type="dxa"/>
            <w:vAlign w:val="center"/>
          </w:tcPr>
          <w:p w14:paraId="490B6DD9">
            <w:pPr>
              <w:tabs>
                <w:tab w:val="left" w:pos="1080"/>
              </w:tabs>
              <w:snapToGrid w:val="0"/>
              <w:rPr>
                <w:color w:val="auto"/>
                <w:sz w:val="24"/>
                <w:highlight w:val="none"/>
              </w:rPr>
            </w:pPr>
            <w:r>
              <w:rPr>
                <w:color w:val="auto"/>
                <w:sz w:val="24"/>
                <w:highlight w:val="none"/>
              </w:rPr>
              <w:t>提供《联合协议》原件的电子件</w:t>
            </w:r>
          </w:p>
          <w:p w14:paraId="706FCF81">
            <w:pPr>
              <w:tabs>
                <w:tab w:val="left" w:pos="1080"/>
              </w:tabs>
              <w:snapToGrid w:val="0"/>
              <w:rPr>
                <w:color w:val="auto"/>
                <w:sz w:val="24"/>
                <w:highlight w:val="none"/>
              </w:rPr>
            </w:pPr>
            <w:r>
              <w:rPr>
                <w:color w:val="auto"/>
                <w:sz w:val="24"/>
                <w:highlight w:val="none"/>
              </w:rPr>
              <w:t>格式见《投标文件格式》</w:t>
            </w:r>
          </w:p>
        </w:tc>
      </w:tr>
      <w:tr w14:paraId="6983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4DCA9CA">
            <w:pPr>
              <w:tabs>
                <w:tab w:val="left" w:pos="1080"/>
              </w:tabs>
              <w:snapToGrid w:val="0"/>
              <w:jc w:val="center"/>
              <w:rPr>
                <w:color w:val="auto"/>
                <w:sz w:val="24"/>
                <w:highlight w:val="none"/>
              </w:rPr>
            </w:pPr>
            <w:r>
              <w:rPr>
                <w:color w:val="auto"/>
                <w:sz w:val="24"/>
                <w:highlight w:val="none"/>
              </w:rPr>
              <w:t>3-2</w:t>
            </w:r>
          </w:p>
        </w:tc>
        <w:tc>
          <w:tcPr>
            <w:tcW w:w="1982" w:type="dxa"/>
            <w:vAlign w:val="center"/>
          </w:tcPr>
          <w:p w14:paraId="32A61295">
            <w:pPr>
              <w:tabs>
                <w:tab w:val="left" w:pos="1080"/>
              </w:tabs>
              <w:snapToGrid w:val="0"/>
              <w:rPr>
                <w:color w:val="auto"/>
                <w:sz w:val="24"/>
                <w:highlight w:val="none"/>
              </w:rPr>
            </w:pPr>
            <w:r>
              <w:rPr>
                <w:color w:val="auto"/>
                <w:sz w:val="24"/>
                <w:highlight w:val="none"/>
              </w:rPr>
              <w:t>政府购买服务承接主体的要求</w:t>
            </w:r>
          </w:p>
        </w:tc>
        <w:tc>
          <w:tcPr>
            <w:tcW w:w="4822" w:type="dxa"/>
            <w:vAlign w:val="center"/>
          </w:tcPr>
          <w:p w14:paraId="1596DAAF">
            <w:pPr>
              <w:tabs>
                <w:tab w:val="left" w:pos="1080"/>
              </w:tabs>
              <w:snapToGrid w:val="0"/>
              <w:rPr>
                <w:color w:val="auto"/>
                <w:sz w:val="24"/>
                <w:highlight w:val="none"/>
              </w:rPr>
            </w:pPr>
            <w:r>
              <w:rPr>
                <w:color w:val="auto"/>
                <w:sz w:val="24"/>
                <w:highlight w:val="none"/>
              </w:rPr>
              <w:t>如本项目属于政府购买服务，投标人不属于公益一类事业单位、使用事业编制且由财政拨款保障的群团组织。</w:t>
            </w:r>
          </w:p>
        </w:tc>
        <w:tc>
          <w:tcPr>
            <w:tcW w:w="1639" w:type="dxa"/>
            <w:vAlign w:val="center"/>
          </w:tcPr>
          <w:p w14:paraId="03CCD2D6">
            <w:pPr>
              <w:tabs>
                <w:tab w:val="left" w:pos="1080"/>
              </w:tabs>
              <w:snapToGrid w:val="0"/>
              <w:jc w:val="center"/>
              <w:rPr>
                <w:color w:val="auto"/>
                <w:sz w:val="24"/>
                <w:highlight w:val="none"/>
              </w:rPr>
            </w:pPr>
            <w:r>
              <w:rPr>
                <w:color w:val="auto"/>
                <w:sz w:val="24"/>
                <w:highlight w:val="none"/>
              </w:rPr>
              <w:t>格式见《投标文件格式》</w:t>
            </w:r>
          </w:p>
        </w:tc>
      </w:tr>
      <w:tr w14:paraId="5D00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1096E3E7">
            <w:pPr>
              <w:tabs>
                <w:tab w:val="left" w:pos="1080"/>
              </w:tabs>
              <w:snapToGrid w:val="0"/>
              <w:jc w:val="center"/>
              <w:rPr>
                <w:color w:val="auto"/>
                <w:sz w:val="24"/>
                <w:highlight w:val="none"/>
              </w:rPr>
            </w:pPr>
          </w:p>
          <w:p w14:paraId="758621AF">
            <w:pPr>
              <w:tabs>
                <w:tab w:val="left" w:pos="1080"/>
              </w:tabs>
              <w:snapToGrid w:val="0"/>
              <w:jc w:val="center"/>
              <w:rPr>
                <w:color w:val="auto"/>
                <w:sz w:val="24"/>
                <w:highlight w:val="none"/>
              </w:rPr>
            </w:pPr>
            <w:r>
              <w:rPr>
                <w:color w:val="auto"/>
                <w:sz w:val="24"/>
                <w:highlight w:val="none"/>
              </w:rPr>
              <w:t>3-3</w:t>
            </w:r>
          </w:p>
        </w:tc>
        <w:tc>
          <w:tcPr>
            <w:tcW w:w="1982" w:type="dxa"/>
            <w:vAlign w:val="center"/>
          </w:tcPr>
          <w:p w14:paraId="2E76EF97">
            <w:pPr>
              <w:tabs>
                <w:tab w:val="left" w:pos="1080"/>
              </w:tabs>
              <w:snapToGrid w:val="0"/>
              <w:rPr>
                <w:color w:val="auto"/>
                <w:sz w:val="24"/>
                <w:highlight w:val="none"/>
              </w:rPr>
            </w:pPr>
            <w:r>
              <w:rPr>
                <w:color w:val="auto"/>
                <w:sz w:val="24"/>
                <w:highlight w:val="none"/>
              </w:rPr>
              <w:t>其他特定资格要求</w:t>
            </w:r>
          </w:p>
        </w:tc>
        <w:tc>
          <w:tcPr>
            <w:tcW w:w="4822" w:type="dxa"/>
            <w:vAlign w:val="center"/>
          </w:tcPr>
          <w:p w14:paraId="2894F1A6">
            <w:pPr>
              <w:tabs>
                <w:tab w:val="left" w:pos="1080"/>
              </w:tabs>
              <w:snapToGrid w:val="0"/>
              <w:rPr>
                <w:color w:val="auto"/>
                <w:sz w:val="24"/>
                <w:highlight w:val="none"/>
              </w:rPr>
            </w:pPr>
            <w:r>
              <w:rPr>
                <w:color w:val="auto"/>
                <w:sz w:val="24"/>
                <w:highlight w:val="none"/>
              </w:rPr>
              <w:t>如有，见第一章《投标邀请》</w:t>
            </w:r>
          </w:p>
        </w:tc>
        <w:tc>
          <w:tcPr>
            <w:tcW w:w="1639" w:type="dxa"/>
            <w:vAlign w:val="center"/>
          </w:tcPr>
          <w:p w14:paraId="511656E2">
            <w:pPr>
              <w:tabs>
                <w:tab w:val="left" w:pos="1080"/>
              </w:tabs>
              <w:snapToGrid w:val="0"/>
              <w:rPr>
                <w:color w:val="auto"/>
                <w:sz w:val="24"/>
                <w:highlight w:val="none"/>
              </w:rPr>
            </w:pPr>
            <w:r>
              <w:rPr>
                <w:color w:val="auto"/>
                <w:sz w:val="24"/>
                <w:highlight w:val="none"/>
              </w:rPr>
              <w:t>提供证明文件的电子件或电子证照</w:t>
            </w:r>
          </w:p>
        </w:tc>
      </w:tr>
      <w:tr w14:paraId="42E2B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50F7C82">
            <w:pPr>
              <w:tabs>
                <w:tab w:val="left" w:pos="1080"/>
              </w:tabs>
              <w:snapToGrid w:val="0"/>
              <w:jc w:val="center"/>
              <w:rPr>
                <w:color w:val="auto"/>
                <w:sz w:val="24"/>
                <w:highlight w:val="none"/>
              </w:rPr>
            </w:pPr>
            <w:r>
              <w:rPr>
                <w:color w:val="auto"/>
                <w:sz w:val="24"/>
                <w:highlight w:val="none"/>
              </w:rPr>
              <w:t>4</w:t>
            </w:r>
          </w:p>
        </w:tc>
        <w:tc>
          <w:tcPr>
            <w:tcW w:w="1982" w:type="dxa"/>
            <w:vAlign w:val="center"/>
          </w:tcPr>
          <w:p w14:paraId="041E9B02">
            <w:pPr>
              <w:tabs>
                <w:tab w:val="left" w:pos="1080"/>
              </w:tabs>
              <w:snapToGrid w:val="0"/>
              <w:rPr>
                <w:color w:val="auto"/>
                <w:sz w:val="24"/>
                <w:highlight w:val="none"/>
              </w:rPr>
            </w:pPr>
            <w:r>
              <w:rPr>
                <w:color w:val="auto"/>
                <w:sz w:val="24"/>
                <w:highlight w:val="none"/>
              </w:rPr>
              <w:t>投标保证金</w:t>
            </w:r>
          </w:p>
        </w:tc>
        <w:tc>
          <w:tcPr>
            <w:tcW w:w="4822" w:type="dxa"/>
            <w:vAlign w:val="center"/>
          </w:tcPr>
          <w:p w14:paraId="262B25AC">
            <w:pPr>
              <w:tabs>
                <w:tab w:val="left" w:pos="1080"/>
              </w:tabs>
              <w:snapToGrid w:val="0"/>
              <w:rPr>
                <w:color w:val="auto"/>
                <w:sz w:val="24"/>
                <w:highlight w:val="none"/>
              </w:rPr>
            </w:pPr>
            <w:r>
              <w:rPr>
                <w:color w:val="auto"/>
                <w:kern w:val="0"/>
                <w:sz w:val="24"/>
                <w:highlight w:val="none"/>
              </w:rPr>
              <w:t>按照招标文件的规定提交投标保证金。</w:t>
            </w:r>
          </w:p>
        </w:tc>
        <w:tc>
          <w:tcPr>
            <w:tcW w:w="1639" w:type="dxa"/>
            <w:vAlign w:val="center"/>
          </w:tcPr>
          <w:p w14:paraId="637C6812">
            <w:pPr>
              <w:tabs>
                <w:tab w:val="left" w:pos="1080"/>
              </w:tabs>
              <w:snapToGrid w:val="0"/>
              <w:rPr>
                <w:color w:val="auto"/>
                <w:sz w:val="24"/>
                <w:highlight w:val="none"/>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675"/>
      <w:bookmarkEnd w:id="679"/>
    </w:tbl>
    <w:p w14:paraId="01CB8E28">
      <w:pPr>
        <w:widowControl/>
        <w:jc w:val="left"/>
        <w:rPr>
          <w:color w:val="auto"/>
          <w:sz w:val="24"/>
          <w:highlight w:val="none"/>
        </w:rPr>
      </w:pPr>
      <w:bookmarkStart w:id="680" w:name="_Hlt487900425"/>
      <w:bookmarkEnd w:id="680"/>
      <w:bookmarkStart w:id="681" w:name="_Hlt522424701"/>
      <w:bookmarkEnd w:id="681"/>
      <w:bookmarkStart w:id="682" w:name="_Toc353825550"/>
      <w:bookmarkStart w:id="683" w:name="_Toc226965858"/>
      <w:bookmarkStart w:id="684" w:name="_Toc127161490"/>
      <w:bookmarkStart w:id="685" w:name="_Toc353873940"/>
      <w:bookmarkStart w:id="686" w:name="_Toc127151779"/>
      <w:r>
        <w:rPr>
          <w:color w:val="auto"/>
          <w:sz w:val="24"/>
          <w:highlight w:val="none"/>
        </w:rPr>
        <w:br w:type="page"/>
      </w:r>
    </w:p>
    <w:p w14:paraId="772F9E6B">
      <w:pPr>
        <w:spacing w:line="360" w:lineRule="auto"/>
        <w:jc w:val="center"/>
        <w:outlineLvl w:val="0"/>
        <w:rPr>
          <w:b/>
          <w:color w:val="auto"/>
          <w:sz w:val="36"/>
          <w:szCs w:val="36"/>
          <w:highlight w:val="none"/>
        </w:rPr>
      </w:pPr>
      <w:bookmarkStart w:id="687" w:name="_Toc99301423"/>
      <w:r>
        <w:rPr>
          <w:b/>
          <w:color w:val="auto"/>
          <w:sz w:val="36"/>
          <w:szCs w:val="36"/>
          <w:highlight w:val="none"/>
        </w:rPr>
        <w:t xml:space="preserve">第四章   </w:t>
      </w:r>
      <w:bookmarkEnd w:id="682"/>
      <w:bookmarkEnd w:id="683"/>
      <w:bookmarkEnd w:id="684"/>
      <w:bookmarkEnd w:id="685"/>
      <w:bookmarkEnd w:id="686"/>
      <w:bookmarkStart w:id="688" w:name="_Hlt164229061"/>
      <w:bookmarkEnd w:id="688"/>
      <w:r>
        <w:rPr>
          <w:b/>
          <w:color w:val="auto"/>
          <w:sz w:val="36"/>
          <w:szCs w:val="36"/>
          <w:highlight w:val="none"/>
        </w:rPr>
        <w:t>评标程序、评标方法和评标标准</w:t>
      </w:r>
      <w:bookmarkEnd w:id="687"/>
    </w:p>
    <w:p w14:paraId="416BF066">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03C897C0">
      <w:pPr>
        <w:numPr>
          <w:ilvl w:val="0"/>
          <w:numId w:val="13"/>
        </w:numPr>
        <w:tabs>
          <w:tab w:val="left" w:pos="360"/>
        </w:tabs>
        <w:snapToGrid w:val="0"/>
        <w:spacing w:line="360" w:lineRule="auto"/>
        <w:outlineLvl w:val="1"/>
        <w:rPr>
          <w:color w:val="auto"/>
          <w:sz w:val="24"/>
          <w:highlight w:val="none"/>
        </w:rPr>
      </w:pPr>
      <w:bookmarkStart w:id="689" w:name="_Toc151193783"/>
      <w:bookmarkStart w:id="690" w:name="_Toc151190168"/>
      <w:bookmarkStart w:id="691" w:name="_Toc305158883"/>
      <w:bookmarkStart w:id="692" w:name="_Toc264969231"/>
      <w:bookmarkStart w:id="693" w:name="_Toc151193639"/>
      <w:bookmarkStart w:id="694" w:name="_Toc127151541"/>
      <w:bookmarkStart w:id="695" w:name="_Toc164608810"/>
      <w:bookmarkStart w:id="696" w:name="_Toc226965731"/>
      <w:bookmarkStart w:id="697" w:name="_Toc195842906"/>
      <w:bookmarkStart w:id="698" w:name="_Toc226309785"/>
      <w:bookmarkStart w:id="699" w:name="_Toc150774641"/>
      <w:bookmarkStart w:id="700" w:name="_Toc127151742"/>
      <w:bookmarkStart w:id="701" w:name="_Toc142311043"/>
      <w:bookmarkStart w:id="702" w:name="_Toc226337237"/>
      <w:bookmarkStart w:id="703" w:name="_Toc151193711"/>
      <w:bookmarkStart w:id="704" w:name="_Toc164229236"/>
      <w:bookmarkStart w:id="705" w:name="_Toc150480779"/>
      <w:bookmarkStart w:id="706" w:name="_Toc150509292"/>
      <w:bookmarkStart w:id="707" w:name="_Toc127161455"/>
      <w:bookmarkStart w:id="708" w:name="_Toc149720834"/>
      <w:bookmarkStart w:id="709" w:name="_Toc305158809"/>
      <w:bookmarkStart w:id="710" w:name="_Toc151193929"/>
      <w:bookmarkStart w:id="711" w:name="_Toc226965814"/>
      <w:bookmarkStart w:id="712" w:name="_Toc164608655"/>
      <w:bookmarkStart w:id="713" w:name="_Toc150774746"/>
      <w:bookmarkStart w:id="714" w:name="_Toc164351635"/>
      <w:bookmarkStart w:id="715" w:name="_Toc151193855"/>
      <w:bookmarkStart w:id="716" w:name="_Toc265228379"/>
      <w:bookmarkStart w:id="717" w:name="_Toc164229382"/>
      <w:bookmarkStart w:id="718" w:name="_Toc353825551"/>
      <w:bookmarkStart w:id="719" w:name="_Toc353873941"/>
      <w:bookmarkStart w:id="720" w:name="_Toc305158897"/>
      <w:bookmarkStart w:id="721" w:name="_Toc150480793"/>
      <w:bookmarkStart w:id="722" w:name="_Toc195842920"/>
      <w:bookmarkStart w:id="723" w:name="_Toc150774760"/>
      <w:bookmarkStart w:id="724" w:name="_Toc142311057"/>
      <w:bookmarkStart w:id="725" w:name="_Toc265228393"/>
      <w:bookmarkStart w:id="726" w:name="_Toc226337251"/>
      <w:bookmarkStart w:id="727" w:name="_Toc226965828"/>
      <w:bookmarkStart w:id="728" w:name="_Toc353873935"/>
      <w:bookmarkStart w:id="729" w:name="_Toc264969245"/>
      <w:bookmarkStart w:id="730" w:name="_Toc353825545"/>
      <w:bookmarkStart w:id="731" w:name="_Toc353873665"/>
      <w:bookmarkStart w:id="732" w:name="_Toc305158823"/>
      <w:bookmarkStart w:id="733" w:name="_Toc127151555"/>
      <w:r>
        <w:rPr>
          <w:color w:val="auto"/>
          <w:sz w:val="24"/>
          <w:highlight w:val="none"/>
        </w:rPr>
        <w:t>投标文件的符合性审查</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09505376">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34" w:name="_Toc520356167"/>
    </w:p>
    <w:p w14:paraId="53B60320">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4"/>
      <w:r>
        <w:rPr>
          <w:color w:val="auto"/>
          <w:sz w:val="24"/>
          <w:highlight w:val="none"/>
        </w:rPr>
        <w:t>要求的，</w:t>
      </w:r>
      <w:r>
        <w:rPr>
          <w:b/>
          <w:color w:val="auto"/>
          <w:sz w:val="24"/>
          <w:highlight w:val="none"/>
        </w:rPr>
        <w:t>投标无效</w:t>
      </w:r>
      <w:r>
        <w:rPr>
          <w:color w:val="auto"/>
          <w:sz w:val="24"/>
          <w:highlight w:val="none"/>
        </w:rPr>
        <w:t>。</w:t>
      </w:r>
    </w:p>
    <w:p w14:paraId="242E4927">
      <w:pPr>
        <w:tabs>
          <w:tab w:val="left" w:pos="900"/>
          <w:tab w:val="left" w:pos="1080"/>
          <w:tab w:val="left" w:pos="1589"/>
        </w:tabs>
        <w:snapToGrid w:val="0"/>
        <w:spacing w:line="360" w:lineRule="auto"/>
        <w:ind w:left="0" w:leftChars="-170" w:hanging="357" w:hangingChars="148"/>
        <w:jc w:val="center"/>
        <w:rPr>
          <w:b/>
          <w:color w:val="auto"/>
          <w:sz w:val="24"/>
          <w:highlight w:val="none"/>
        </w:rPr>
      </w:pPr>
      <w:r>
        <w:rPr>
          <w:b/>
          <w:color w:val="auto"/>
          <w:sz w:val="24"/>
          <w:highlight w:val="none"/>
        </w:rPr>
        <w:t>符合性审查要求</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4495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40C11950">
            <w:pPr>
              <w:widowControl/>
              <w:jc w:val="center"/>
              <w:rPr>
                <w:b/>
                <w:color w:val="auto"/>
                <w:kern w:val="0"/>
                <w:sz w:val="24"/>
                <w:highlight w:val="none"/>
              </w:rPr>
            </w:pPr>
            <w:r>
              <w:rPr>
                <w:b/>
                <w:color w:val="auto"/>
                <w:kern w:val="0"/>
                <w:sz w:val="24"/>
                <w:highlight w:val="none"/>
              </w:rPr>
              <w:t>序号</w:t>
            </w:r>
          </w:p>
        </w:tc>
        <w:tc>
          <w:tcPr>
            <w:tcW w:w="1813" w:type="dxa"/>
            <w:shd w:val="clear" w:color="auto" w:fill="auto"/>
            <w:vAlign w:val="center"/>
          </w:tcPr>
          <w:p w14:paraId="1B88A5CC">
            <w:pPr>
              <w:widowControl/>
              <w:jc w:val="center"/>
              <w:rPr>
                <w:b/>
                <w:color w:val="auto"/>
                <w:kern w:val="0"/>
                <w:sz w:val="24"/>
                <w:highlight w:val="none"/>
              </w:rPr>
            </w:pPr>
            <w:r>
              <w:rPr>
                <w:b/>
                <w:color w:val="auto"/>
                <w:kern w:val="0"/>
                <w:sz w:val="24"/>
                <w:highlight w:val="none"/>
              </w:rPr>
              <w:t>审查因素</w:t>
            </w:r>
          </w:p>
        </w:tc>
        <w:tc>
          <w:tcPr>
            <w:tcW w:w="6725" w:type="dxa"/>
            <w:shd w:val="clear" w:color="auto" w:fill="auto"/>
            <w:vAlign w:val="center"/>
          </w:tcPr>
          <w:p w14:paraId="3E7E8372">
            <w:pPr>
              <w:widowControl/>
              <w:jc w:val="center"/>
              <w:rPr>
                <w:b/>
                <w:color w:val="auto"/>
                <w:kern w:val="0"/>
                <w:sz w:val="24"/>
                <w:highlight w:val="none"/>
              </w:rPr>
            </w:pPr>
            <w:r>
              <w:rPr>
                <w:b/>
                <w:color w:val="auto"/>
                <w:kern w:val="0"/>
                <w:sz w:val="24"/>
                <w:highlight w:val="none"/>
              </w:rPr>
              <w:t>审查内容</w:t>
            </w:r>
          </w:p>
        </w:tc>
      </w:tr>
      <w:tr w14:paraId="7575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4A2171C">
            <w:pPr>
              <w:widowControl/>
              <w:jc w:val="center"/>
              <w:rPr>
                <w:color w:val="auto"/>
                <w:kern w:val="0"/>
                <w:sz w:val="24"/>
                <w:highlight w:val="none"/>
              </w:rPr>
            </w:pPr>
            <w:r>
              <w:rPr>
                <w:color w:val="auto"/>
                <w:kern w:val="0"/>
                <w:sz w:val="24"/>
                <w:highlight w:val="none"/>
              </w:rPr>
              <w:t>1</w:t>
            </w:r>
          </w:p>
        </w:tc>
        <w:tc>
          <w:tcPr>
            <w:tcW w:w="1813" w:type="dxa"/>
            <w:shd w:val="clear" w:color="auto" w:fill="auto"/>
            <w:vAlign w:val="center"/>
          </w:tcPr>
          <w:p w14:paraId="12433A35">
            <w:pPr>
              <w:widowControl/>
              <w:jc w:val="left"/>
              <w:rPr>
                <w:color w:val="auto"/>
                <w:kern w:val="0"/>
                <w:sz w:val="24"/>
                <w:highlight w:val="none"/>
              </w:rPr>
            </w:pPr>
            <w:r>
              <w:rPr>
                <w:color w:val="auto"/>
                <w:kern w:val="0"/>
                <w:sz w:val="24"/>
                <w:highlight w:val="none"/>
              </w:rPr>
              <w:t>授权委托书</w:t>
            </w:r>
          </w:p>
        </w:tc>
        <w:tc>
          <w:tcPr>
            <w:tcW w:w="6725" w:type="dxa"/>
            <w:shd w:val="clear" w:color="auto" w:fill="auto"/>
            <w:vAlign w:val="center"/>
          </w:tcPr>
          <w:p w14:paraId="35F500DE">
            <w:pPr>
              <w:widowControl/>
              <w:jc w:val="left"/>
              <w:rPr>
                <w:color w:val="auto"/>
                <w:kern w:val="0"/>
                <w:sz w:val="24"/>
                <w:highlight w:val="none"/>
              </w:rPr>
            </w:pPr>
            <w:r>
              <w:rPr>
                <w:color w:val="auto"/>
                <w:kern w:val="0"/>
                <w:sz w:val="24"/>
                <w:highlight w:val="none"/>
              </w:rPr>
              <w:t>按招标文件要求提供授权委托书；</w:t>
            </w:r>
          </w:p>
        </w:tc>
      </w:tr>
      <w:tr w14:paraId="68B8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3F7C200">
            <w:pPr>
              <w:widowControl/>
              <w:jc w:val="center"/>
              <w:rPr>
                <w:color w:val="auto"/>
                <w:kern w:val="0"/>
                <w:sz w:val="24"/>
                <w:highlight w:val="none"/>
              </w:rPr>
            </w:pPr>
            <w:r>
              <w:rPr>
                <w:color w:val="auto"/>
                <w:kern w:val="0"/>
                <w:sz w:val="24"/>
                <w:highlight w:val="none"/>
              </w:rPr>
              <w:t>2</w:t>
            </w:r>
          </w:p>
        </w:tc>
        <w:tc>
          <w:tcPr>
            <w:tcW w:w="1813" w:type="dxa"/>
            <w:shd w:val="clear" w:color="auto" w:fill="auto"/>
            <w:vAlign w:val="center"/>
          </w:tcPr>
          <w:p w14:paraId="3BFD1C38">
            <w:pPr>
              <w:widowControl/>
              <w:jc w:val="left"/>
              <w:rPr>
                <w:color w:val="auto"/>
                <w:kern w:val="0"/>
                <w:sz w:val="24"/>
                <w:highlight w:val="none"/>
              </w:rPr>
            </w:pPr>
            <w:r>
              <w:rPr>
                <w:color w:val="auto"/>
                <w:kern w:val="0"/>
                <w:sz w:val="24"/>
                <w:highlight w:val="none"/>
              </w:rPr>
              <w:t>投标完整性</w:t>
            </w:r>
          </w:p>
        </w:tc>
        <w:tc>
          <w:tcPr>
            <w:tcW w:w="6725" w:type="dxa"/>
            <w:shd w:val="clear" w:color="auto" w:fill="auto"/>
            <w:vAlign w:val="center"/>
          </w:tcPr>
          <w:p w14:paraId="4C8268BA">
            <w:pPr>
              <w:widowControl/>
              <w:jc w:val="left"/>
              <w:rPr>
                <w:color w:val="auto"/>
                <w:kern w:val="0"/>
                <w:sz w:val="24"/>
                <w:highlight w:val="none"/>
              </w:rPr>
            </w:pPr>
            <w:r>
              <w:rPr>
                <w:color w:val="auto"/>
                <w:sz w:val="24"/>
                <w:highlight w:val="none"/>
              </w:rPr>
              <w:t>未将一个采购包中的内容拆分投标；</w:t>
            </w:r>
          </w:p>
        </w:tc>
      </w:tr>
      <w:tr w14:paraId="128A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D8E1837">
            <w:pPr>
              <w:widowControl/>
              <w:jc w:val="center"/>
              <w:rPr>
                <w:color w:val="auto"/>
                <w:kern w:val="0"/>
                <w:sz w:val="24"/>
                <w:highlight w:val="none"/>
              </w:rPr>
            </w:pPr>
            <w:r>
              <w:rPr>
                <w:color w:val="auto"/>
                <w:kern w:val="0"/>
                <w:sz w:val="24"/>
                <w:highlight w:val="none"/>
              </w:rPr>
              <w:t>3</w:t>
            </w:r>
          </w:p>
        </w:tc>
        <w:tc>
          <w:tcPr>
            <w:tcW w:w="1813" w:type="dxa"/>
            <w:shd w:val="clear" w:color="auto" w:fill="auto"/>
            <w:vAlign w:val="center"/>
          </w:tcPr>
          <w:p w14:paraId="53D5D845">
            <w:pPr>
              <w:widowControl/>
              <w:jc w:val="left"/>
              <w:rPr>
                <w:color w:val="auto"/>
                <w:kern w:val="0"/>
                <w:sz w:val="24"/>
                <w:highlight w:val="none"/>
              </w:rPr>
            </w:pPr>
            <w:r>
              <w:rPr>
                <w:color w:val="auto"/>
                <w:kern w:val="0"/>
                <w:sz w:val="24"/>
                <w:highlight w:val="none"/>
              </w:rPr>
              <w:t>投标报价</w:t>
            </w:r>
          </w:p>
        </w:tc>
        <w:tc>
          <w:tcPr>
            <w:tcW w:w="6725" w:type="dxa"/>
            <w:shd w:val="clear" w:color="auto" w:fill="auto"/>
            <w:vAlign w:val="center"/>
          </w:tcPr>
          <w:p w14:paraId="05BF91F0">
            <w:pPr>
              <w:widowControl/>
              <w:jc w:val="left"/>
              <w:rPr>
                <w:color w:val="auto"/>
                <w:kern w:val="0"/>
                <w:sz w:val="24"/>
                <w:highlight w:val="none"/>
              </w:rPr>
            </w:pPr>
            <w:r>
              <w:rPr>
                <w:color w:val="auto"/>
                <w:kern w:val="0"/>
                <w:sz w:val="24"/>
                <w:highlight w:val="none"/>
              </w:rPr>
              <w:t>投标报价未</w:t>
            </w:r>
            <w:r>
              <w:rPr>
                <w:color w:val="auto"/>
                <w:sz w:val="24"/>
                <w:highlight w:val="none"/>
              </w:rPr>
              <w:t>超过招标文件中规定的项目/采购包预算金额或者项目/采购包最高限价</w:t>
            </w:r>
            <w:r>
              <w:rPr>
                <w:color w:val="auto"/>
                <w:kern w:val="0"/>
                <w:sz w:val="24"/>
                <w:highlight w:val="none"/>
              </w:rPr>
              <w:t>；</w:t>
            </w:r>
          </w:p>
        </w:tc>
      </w:tr>
      <w:tr w14:paraId="074F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C911C43">
            <w:pPr>
              <w:widowControl/>
              <w:jc w:val="center"/>
              <w:rPr>
                <w:color w:val="auto"/>
                <w:kern w:val="0"/>
                <w:sz w:val="24"/>
                <w:highlight w:val="none"/>
              </w:rPr>
            </w:pPr>
            <w:r>
              <w:rPr>
                <w:color w:val="auto"/>
                <w:kern w:val="0"/>
                <w:sz w:val="24"/>
                <w:highlight w:val="none"/>
              </w:rPr>
              <w:t>4</w:t>
            </w:r>
          </w:p>
        </w:tc>
        <w:tc>
          <w:tcPr>
            <w:tcW w:w="1813" w:type="dxa"/>
            <w:shd w:val="clear" w:color="auto" w:fill="auto"/>
            <w:vAlign w:val="center"/>
          </w:tcPr>
          <w:p w14:paraId="35635131">
            <w:pPr>
              <w:widowControl/>
              <w:jc w:val="left"/>
              <w:rPr>
                <w:color w:val="auto"/>
                <w:kern w:val="0"/>
                <w:sz w:val="24"/>
                <w:highlight w:val="none"/>
              </w:rPr>
            </w:pPr>
            <w:r>
              <w:rPr>
                <w:color w:val="auto"/>
                <w:kern w:val="0"/>
                <w:sz w:val="24"/>
                <w:highlight w:val="none"/>
              </w:rPr>
              <w:t>报价唯一性</w:t>
            </w:r>
          </w:p>
        </w:tc>
        <w:tc>
          <w:tcPr>
            <w:tcW w:w="6725" w:type="dxa"/>
            <w:shd w:val="clear" w:color="auto" w:fill="auto"/>
            <w:vAlign w:val="center"/>
          </w:tcPr>
          <w:p w14:paraId="0F13EEA5">
            <w:pPr>
              <w:widowControl/>
              <w:jc w:val="left"/>
              <w:rPr>
                <w:color w:val="auto"/>
                <w:kern w:val="0"/>
                <w:sz w:val="24"/>
                <w:highlight w:val="none"/>
              </w:rPr>
            </w:pPr>
            <w:r>
              <w:rPr>
                <w:color w:val="auto"/>
                <w:kern w:val="0"/>
                <w:sz w:val="24"/>
                <w:highlight w:val="none"/>
              </w:rPr>
              <w:t>投标文件未</w:t>
            </w:r>
            <w:r>
              <w:rPr>
                <w:color w:val="auto"/>
                <w:sz w:val="24"/>
                <w:highlight w:val="none"/>
              </w:rPr>
              <w:t>出现可选择性或可调整的报价（招标文件另有规定的除外）</w:t>
            </w:r>
            <w:r>
              <w:rPr>
                <w:color w:val="auto"/>
                <w:kern w:val="0"/>
                <w:sz w:val="24"/>
                <w:highlight w:val="none"/>
              </w:rPr>
              <w:t>；</w:t>
            </w:r>
          </w:p>
        </w:tc>
      </w:tr>
      <w:tr w14:paraId="729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50" w:type="dxa"/>
            <w:shd w:val="clear" w:color="auto" w:fill="auto"/>
            <w:vAlign w:val="center"/>
          </w:tcPr>
          <w:p w14:paraId="2EC84635">
            <w:pPr>
              <w:widowControl/>
              <w:jc w:val="center"/>
              <w:rPr>
                <w:color w:val="auto"/>
                <w:kern w:val="0"/>
                <w:sz w:val="24"/>
                <w:highlight w:val="none"/>
              </w:rPr>
            </w:pPr>
            <w:r>
              <w:rPr>
                <w:color w:val="auto"/>
                <w:kern w:val="0"/>
                <w:sz w:val="24"/>
                <w:highlight w:val="none"/>
              </w:rPr>
              <w:t>5</w:t>
            </w:r>
          </w:p>
        </w:tc>
        <w:tc>
          <w:tcPr>
            <w:tcW w:w="1813" w:type="dxa"/>
            <w:shd w:val="clear" w:color="auto" w:fill="auto"/>
            <w:vAlign w:val="center"/>
          </w:tcPr>
          <w:p w14:paraId="64E44EB6">
            <w:pPr>
              <w:widowControl/>
              <w:jc w:val="left"/>
              <w:rPr>
                <w:color w:val="auto"/>
                <w:kern w:val="0"/>
                <w:sz w:val="24"/>
                <w:highlight w:val="none"/>
              </w:rPr>
            </w:pPr>
            <w:r>
              <w:rPr>
                <w:color w:val="auto"/>
                <w:kern w:val="0"/>
                <w:sz w:val="24"/>
                <w:highlight w:val="none"/>
              </w:rPr>
              <w:t>投标有效期</w:t>
            </w:r>
          </w:p>
        </w:tc>
        <w:tc>
          <w:tcPr>
            <w:tcW w:w="6725" w:type="dxa"/>
            <w:shd w:val="clear" w:color="auto" w:fill="auto"/>
            <w:vAlign w:val="center"/>
          </w:tcPr>
          <w:p w14:paraId="33DA5E19">
            <w:pPr>
              <w:widowControl/>
              <w:jc w:val="left"/>
              <w:rPr>
                <w:color w:val="auto"/>
                <w:kern w:val="0"/>
                <w:sz w:val="24"/>
                <w:highlight w:val="none"/>
              </w:rPr>
            </w:pPr>
            <w:r>
              <w:rPr>
                <w:color w:val="auto"/>
                <w:kern w:val="0"/>
                <w:sz w:val="24"/>
                <w:highlight w:val="none"/>
              </w:rPr>
              <w:t>投标文件中承诺的投标有效期满足招标文件中载明的投标有效期的；</w:t>
            </w:r>
          </w:p>
        </w:tc>
      </w:tr>
      <w:tr w14:paraId="79CA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top"/>
          </w:tcPr>
          <w:p w14:paraId="3467023F">
            <w:pPr>
              <w:spacing w:before="249" w:line="360" w:lineRule="auto"/>
              <w:jc w:val="center"/>
              <w:rPr>
                <w:color w:val="auto"/>
                <w:kern w:val="0"/>
                <w:sz w:val="24"/>
                <w:highlight w:val="none"/>
              </w:rPr>
            </w:pPr>
            <w:r>
              <w:rPr>
                <w:rFonts w:hint="eastAsia" w:ascii="宋体" w:hAnsi="宋体" w:eastAsia="宋体" w:cs="宋体"/>
                <w:color w:val="auto"/>
                <w:sz w:val="24"/>
                <w:szCs w:val="24"/>
                <w:highlight w:val="none"/>
                <w:lang w:val="en-US" w:eastAsia="zh-CN"/>
              </w:rPr>
              <w:t>6</w:t>
            </w:r>
          </w:p>
        </w:tc>
        <w:tc>
          <w:tcPr>
            <w:tcW w:w="1813" w:type="dxa"/>
            <w:shd w:val="clear" w:color="auto" w:fill="auto"/>
            <w:vAlign w:val="center"/>
          </w:tcPr>
          <w:p w14:paraId="572330C6">
            <w:pPr>
              <w:widowControl/>
              <w:jc w:val="left"/>
              <w:rPr>
                <w:color w:val="auto"/>
                <w:kern w:val="0"/>
                <w:sz w:val="24"/>
                <w:highlight w:val="none"/>
              </w:rPr>
            </w:pPr>
            <w:r>
              <w:rPr>
                <w:rFonts w:hint="eastAsia" w:ascii="宋体" w:hAnsi="宋体" w:eastAsia="宋体" w:cs="宋体"/>
                <w:color w:val="auto"/>
                <w:spacing w:val="-2"/>
                <w:sz w:val="24"/>
                <w:szCs w:val="24"/>
                <w:highlight w:val="none"/>
              </w:rPr>
              <w:t>签署、盖章</w:t>
            </w:r>
          </w:p>
        </w:tc>
        <w:tc>
          <w:tcPr>
            <w:tcW w:w="6725" w:type="dxa"/>
            <w:shd w:val="clear" w:color="auto" w:fill="auto"/>
            <w:vAlign w:val="center"/>
          </w:tcPr>
          <w:p w14:paraId="307AD51C">
            <w:pPr>
              <w:widowControl/>
              <w:jc w:val="left"/>
              <w:rPr>
                <w:color w:val="auto"/>
                <w:kern w:val="0"/>
                <w:sz w:val="24"/>
                <w:highlight w:val="none"/>
              </w:rPr>
            </w:pPr>
            <w:r>
              <w:rPr>
                <w:rFonts w:hint="eastAsia" w:asciiTheme="minorEastAsia" w:hAnsiTheme="minorEastAsia" w:eastAsiaTheme="minorEastAsia" w:cstheme="minorEastAsia"/>
                <w:color w:val="auto"/>
                <w:kern w:val="0"/>
                <w:sz w:val="24"/>
                <w:highlight w:val="none"/>
              </w:rPr>
              <w:t>按照招标文件要求签署、盖章的；</w:t>
            </w:r>
          </w:p>
        </w:tc>
      </w:tr>
      <w:tr w14:paraId="3463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ED9DB76">
            <w:pPr>
              <w:widowControl/>
              <w:jc w:val="center"/>
              <w:rPr>
                <w:rFonts w:hint="eastAsia" w:eastAsia="宋体"/>
                <w:color w:val="auto"/>
                <w:kern w:val="0"/>
                <w:sz w:val="24"/>
                <w:highlight w:val="none"/>
                <w:lang w:eastAsia="zh-CN"/>
              </w:rPr>
            </w:pPr>
            <w:r>
              <w:rPr>
                <w:rFonts w:hint="eastAsia"/>
                <w:color w:val="auto"/>
                <w:kern w:val="0"/>
                <w:sz w:val="24"/>
                <w:highlight w:val="none"/>
                <w:lang w:val="en-US" w:eastAsia="zh-CN"/>
              </w:rPr>
              <w:t>7</w:t>
            </w:r>
          </w:p>
        </w:tc>
        <w:tc>
          <w:tcPr>
            <w:tcW w:w="1813" w:type="dxa"/>
            <w:shd w:val="clear" w:color="auto" w:fill="auto"/>
            <w:vAlign w:val="center"/>
          </w:tcPr>
          <w:p w14:paraId="76C82388">
            <w:pPr>
              <w:widowControl/>
              <w:jc w:val="left"/>
              <w:rPr>
                <w:color w:val="auto"/>
                <w:kern w:val="0"/>
                <w:sz w:val="24"/>
                <w:highlight w:val="none"/>
              </w:rPr>
            </w:pPr>
            <w:r>
              <w:rPr>
                <w:color w:val="auto"/>
                <w:kern w:val="0"/>
                <w:sz w:val="24"/>
                <w:highlight w:val="none"/>
              </w:rPr>
              <w:t>实质性格式</w:t>
            </w:r>
          </w:p>
        </w:tc>
        <w:tc>
          <w:tcPr>
            <w:tcW w:w="6725" w:type="dxa"/>
            <w:shd w:val="clear" w:color="auto" w:fill="auto"/>
            <w:vAlign w:val="center"/>
          </w:tcPr>
          <w:p w14:paraId="7B3D58ED">
            <w:pPr>
              <w:widowControl/>
              <w:jc w:val="left"/>
              <w:rPr>
                <w:color w:val="auto"/>
                <w:kern w:val="0"/>
                <w:sz w:val="24"/>
                <w:highlight w:val="none"/>
              </w:rPr>
            </w:pPr>
            <w:r>
              <w:rPr>
                <w:b/>
                <w:bCs/>
                <w:color w:val="auto"/>
                <w:kern w:val="0"/>
                <w:sz w:val="24"/>
                <w:highlight w:val="none"/>
              </w:rPr>
              <w:t>标记为“实质性格式”的文件均按招标文件要求提供且签署、盖章的；</w:t>
            </w:r>
          </w:p>
        </w:tc>
      </w:tr>
      <w:tr w14:paraId="082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FA081D0">
            <w:pPr>
              <w:widowControl/>
              <w:jc w:val="center"/>
              <w:rPr>
                <w:rFonts w:hint="eastAsia" w:eastAsia="宋体"/>
                <w:color w:val="auto"/>
                <w:kern w:val="0"/>
                <w:sz w:val="24"/>
                <w:highlight w:val="none"/>
                <w:lang w:eastAsia="zh-CN"/>
              </w:rPr>
            </w:pPr>
            <w:r>
              <w:rPr>
                <w:rFonts w:hint="eastAsia"/>
                <w:color w:val="auto"/>
                <w:kern w:val="0"/>
                <w:sz w:val="24"/>
                <w:highlight w:val="none"/>
                <w:lang w:val="en-US" w:eastAsia="zh-CN"/>
              </w:rPr>
              <w:t>8</w:t>
            </w:r>
          </w:p>
        </w:tc>
        <w:tc>
          <w:tcPr>
            <w:tcW w:w="1813" w:type="dxa"/>
            <w:shd w:val="clear" w:color="auto" w:fill="auto"/>
            <w:vAlign w:val="center"/>
          </w:tcPr>
          <w:p w14:paraId="10465CE9">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6725" w:type="dxa"/>
            <w:shd w:val="clear" w:color="auto" w:fill="auto"/>
            <w:vAlign w:val="center"/>
          </w:tcPr>
          <w:p w14:paraId="623588E9">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075F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F43417F">
            <w:pPr>
              <w:widowControl/>
              <w:jc w:val="center"/>
              <w:rPr>
                <w:rFonts w:hint="eastAsia" w:eastAsia="宋体"/>
                <w:color w:val="auto"/>
                <w:kern w:val="0"/>
                <w:sz w:val="24"/>
                <w:highlight w:val="none"/>
                <w:lang w:eastAsia="zh-CN"/>
              </w:rPr>
            </w:pPr>
            <w:r>
              <w:rPr>
                <w:rFonts w:hint="eastAsia"/>
                <w:color w:val="auto"/>
                <w:kern w:val="0"/>
                <w:sz w:val="24"/>
                <w:highlight w:val="none"/>
                <w:lang w:val="en-US" w:eastAsia="zh-CN"/>
              </w:rPr>
              <w:t>9</w:t>
            </w:r>
          </w:p>
        </w:tc>
        <w:tc>
          <w:tcPr>
            <w:tcW w:w="1813" w:type="dxa"/>
            <w:shd w:val="clear" w:color="auto" w:fill="auto"/>
            <w:vAlign w:val="center"/>
          </w:tcPr>
          <w:p w14:paraId="0FF50688">
            <w:pPr>
              <w:widowControl/>
              <w:jc w:val="left"/>
              <w:rPr>
                <w:color w:val="auto"/>
                <w:kern w:val="0"/>
                <w:sz w:val="24"/>
                <w:highlight w:val="none"/>
              </w:rPr>
            </w:pPr>
            <w:r>
              <w:rPr>
                <w:color w:val="auto"/>
                <w:sz w:val="24"/>
                <w:highlight w:val="none"/>
              </w:rPr>
              <w:t>拟分包情况说明（如有）</w:t>
            </w:r>
          </w:p>
        </w:tc>
        <w:tc>
          <w:tcPr>
            <w:tcW w:w="6725" w:type="dxa"/>
            <w:shd w:val="clear" w:color="auto" w:fill="auto"/>
            <w:vAlign w:val="center"/>
          </w:tcPr>
          <w:p w14:paraId="07956201">
            <w:pPr>
              <w:widowControl/>
              <w:jc w:val="left"/>
              <w:rPr>
                <w:color w:val="auto"/>
                <w:kern w:val="0"/>
                <w:sz w:val="24"/>
                <w:highlight w:val="none"/>
              </w:rPr>
            </w:pPr>
            <w:r>
              <w:rPr>
                <w:color w:val="auto"/>
                <w:sz w:val="24"/>
                <w:highlight w:val="none"/>
              </w:rPr>
              <w:t>如本项目（包）非因“落实政府采购政策”亦允许分包，且供应商拟进行分包时，必须提供；否则无须提供；</w:t>
            </w:r>
          </w:p>
        </w:tc>
      </w:tr>
      <w:tr w14:paraId="38F4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232CAAB">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10</w:t>
            </w:r>
          </w:p>
        </w:tc>
        <w:tc>
          <w:tcPr>
            <w:tcW w:w="1813" w:type="dxa"/>
            <w:shd w:val="clear" w:color="auto" w:fill="auto"/>
            <w:vAlign w:val="center"/>
          </w:tcPr>
          <w:p w14:paraId="7D32CCF5">
            <w:pPr>
              <w:widowControl/>
              <w:jc w:val="left"/>
              <w:rPr>
                <w:color w:val="auto"/>
                <w:kern w:val="0"/>
                <w:sz w:val="24"/>
                <w:highlight w:val="none"/>
              </w:rPr>
            </w:pPr>
            <w:r>
              <w:rPr>
                <w:color w:val="auto"/>
                <w:kern w:val="0"/>
                <w:sz w:val="24"/>
                <w:highlight w:val="none"/>
              </w:rPr>
              <w:t>分包其他要求（如有）</w:t>
            </w:r>
          </w:p>
        </w:tc>
        <w:tc>
          <w:tcPr>
            <w:tcW w:w="6725" w:type="dxa"/>
            <w:shd w:val="clear" w:color="auto" w:fill="auto"/>
            <w:vAlign w:val="center"/>
          </w:tcPr>
          <w:p w14:paraId="11BE23DF">
            <w:pPr>
              <w:widowControl/>
              <w:jc w:val="left"/>
              <w:rPr>
                <w:color w:val="auto"/>
                <w:sz w:val="24"/>
                <w:highlight w:val="none"/>
              </w:rPr>
            </w:pPr>
            <w:r>
              <w:rPr>
                <w:color w:val="auto"/>
                <w:sz w:val="24"/>
                <w:highlight w:val="none"/>
              </w:rPr>
              <w:t>分包履行的内容、金额或者比例未超出《投标人须知资料表》中的规定；</w:t>
            </w:r>
          </w:p>
          <w:p w14:paraId="3AC2942D">
            <w:pPr>
              <w:widowControl/>
              <w:jc w:val="left"/>
              <w:rPr>
                <w:color w:val="auto"/>
                <w:kern w:val="0"/>
                <w:sz w:val="24"/>
                <w:highlight w:val="none"/>
              </w:rPr>
            </w:pPr>
            <w:r>
              <w:rPr>
                <w:color w:val="auto"/>
                <w:sz w:val="24"/>
                <w:highlight w:val="none"/>
              </w:rPr>
              <w:t>分包承担主体具备《投标人须知资料表》载明的资质条件且提供了资质证书电子件（如有）；</w:t>
            </w:r>
          </w:p>
        </w:tc>
      </w:tr>
      <w:tr w14:paraId="26FB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BA73599">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11</w:t>
            </w:r>
          </w:p>
        </w:tc>
        <w:tc>
          <w:tcPr>
            <w:tcW w:w="1813" w:type="dxa"/>
            <w:shd w:val="clear" w:color="auto" w:fill="auto"/>
            <w:vAlign w:val="center"/>
          </w:tcPr>
          <w:p w14:paraId="51F28772">
            <w:pPr>
              <w:widowControl/>
              <w:jc w:val="left"/>
              <w:rPr>
                <w:color w:val="auto"/>
                <w:kern w:val="0"/>
                <w:sz w:val="24"/>
                <w:highlight w:val="none"/>
              </w:rPr>
            </w:pPr>
            <w:r>
              <w:rPr>
                <w:color w:val="auto"/>
                <w:kern w:val="0"/>
                <w:sz w:val="24"/>
                <w:highlight w:val="none"/>
              </w:rPr>
              <w:t>报价的修正（如有）</w:t>
            </w:r>
          </w:p>
        </w:tc>
        <w:tc>
          <w:tcPr>
            <w:tcW w:w="6725" w:type="dxa"/>
            <w:shd w:val="clear" w:color="auto" w:fill="auto"/>
            <w:vAlign w:val="center"/>
          </w:tcPr>
          <w:p w14:paraId="0FB911FE">
            <w:pPr>
              <w:widowControl/>
              <w:jc w:val="left"/>
              <w:rPr>
                <w:color w:val="auto"/>
                <w:kern w:val="0"/>
                <w:sz w:val="24"/>
                <w:highlight w:val="none"/>
              </w:rPr>
            </w:pPr>
            <w:r>
              <w:rPr>
                <w:color w:val="auto"/>
                <w:kern w:val="0"/>
                <w:sz w:val="24"/>
                <w:highlight w:val="none"/>
              </w:rPr>
              <w:t>不涉及报价修正，或投标文件报价出现前后不一致时，投标人对修正后的报价予以确认；（如有）</w:t>
            </w:r>
          </w:p>
        </w:tc>
      </w:tr>
      <w:tr w14:paraId="07CD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30784F">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12</w:t>
            </w:r>
          </w:p>
        </w:tc>
        <w:tc>
          <w:tcPr>
            <w:tcW w:w="1813" w:type="dxa"/>
            <w:shd w:val="clear" w:color="auto" w:fill="auto"/>
            <w:vAlign w:val="center"/>
          </w:tcPr>
          <w:p w14:paraId="22E51E7E">
            <w:pPr>
              <w:widowControl/>
              <w:jc w:val="left"/>
              <w:rPr>
                <w:color w:val="auto"/>
                <w:kern w:val="0"/>
                <w:sz w:val="24"/>
                <w:highlight w:val="none"/>
              </w:rPr>
            </w:pPr>
            <w:r>
              <w:rPr>
                <w:color w:val="auto"/>
                <w:kern w:val="0"/>
                <w:sz w:val="24"/>
                <w:highlight w:val="none"/>
              </w:rPr>
              <w:t>报价合理性</w:t>
            </w:r>
          </w:p>
        </w:tc>
        <w:tc>
          <w:tcPr>
            <w:tcW w:w="6725" w:type="dxa"/>
            <w:shd w:val="clear" w:color="auto" w:fill="auto"/>
            <w:vAlign w:val="center"/>
          </w:tcPr>
          <w:p w14:paraId="6FDFCEB0">
            <w:pPr>
              <w:widowControl/>
              <w:jc w:val="left"/>
              <w:rPr>
                <w:color w:val="auto"/>
                <w:kern w:val="0"/>
                <w:sz w:val="24"/>
                <w:highlight w:val="none"/>
              </w:rPr>
            </w:pPr>
            <w:r>
              <w:rPr>
                <w:color w:val="auto"/>
                <w:kern w:val="0"/>
                <w:sz w:val="24"/>
                <w:highlight w:val="none"/>
              </w:rPr>
              <w:t>报价合理，或</w:t>
            </w:r>
            <w:r>
              <w:rPr>
                <w:color w:val="auto"/>
                <w:sz w:val="24"/>
                <w:highlight w:val="none"/>
              </w:rPr>
              <w:t>投标人的报价明显低于其他通过符合性审查投标人的报价，有可能影响产品质量或者不能诚信履约的，能够应评标委员会要求在规定时间内证明其报价合理性的</w:t>
            </w:r>
            <w:r>
              <w:rPr>
                <w:color w:val="auto"/>
                <w:kern w:val="0"/>
                <w:sz w:val="24"/>
                <w:highlight w:val="none"/>
              </w:rPr>
              <w:t>；</w:t>
            </w:r>
          </w:p>
        </w:tc>
      </w:tr>
      <w:tr w14:paraId="16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AB75FDD">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13</w:t>
            </w:r>
          </w:p>
        </w:tc>
        <w:tc>
          <w:tcPr>
            <w:tcW w:w="1813" w:type="dxa"/>
            <w:shd w:val="clear" w:color="auto" w:fill="auto"/>
            <w:vAlign w:val="center"/>
          </w:tcPr>
          <w:p w14:paraId="6622841B">
            <w:pPr>
              <w:widowControl/>
              <w:jc w:val="left"/>
              <w:rPr>
                <w:color w:val="auto"/>
                <w:kern w:val="0"/>
                <w:sz w:val="24"/>
                <w:highlight w:val="none"/>
              </w:rPr>
            </w:pPr>
            <w:r>
              <w:rPr>
                <w:color w:val="auto"/>
                <w:kern w:val="0"/>
                <w:sz w:val="24"/>
                <w:highlight w:val="none"/>
              </w:rPr>
              <w:t>进口产品</w:t>
            </w:r>
          </w:p>
          <w:p w14:paraId="76076AC0">
            <w:pPr>
              <w:widowControl/>
              <w:jc w:val="left"/>
              <w:rPr>
                <w:color w:val="auto"/>
                <w:kern w:val="0"/>
                <w:sz w:val="24"/>
                <w:highlight w:val="none"/>
              </w:rPr>
            </w:pPr>
            <w:r>
              <w:rPr>
                <w:color w:val="auto"/>
                <w:kern w:val="0"/>
                <w:sz w:val="24"/>
                <w:highlight w:val="none"/>
              </w:rPr>
              <w:t>（如有）</w:t>
            </w:r>
          </w:p>
        </w:tc>
        <w:tc>
          <w:tcPr>
            <w:tcW w:w="6725" w:type="dxa"/>
            <w:shd w:val="clear" w:color="auto" w:fill="auto"/>
            <w:vAlign w:val="center"/>
          </w:tcPr>
          <w:p w14:paraId="695064D9">
            <w:pPr>
              <w:widowControl/>
              <w:jc w:val="left"/>
              <w:rPr>
                <w:color w:val="auto"/>
                <w:kern w:val="0"/>
                <w:sz w:val="24"/>
                <w:highlight w:val="none"/>
              </w:rPr>
            </w:pPr>
            <w:r>
              <w:rPr>
                <w:color w:val="auto"/>
                <w:sz w:val="24"/>
                <w:highlight w:val="none"/>
              </w:rPr>
              <w:t>招标文件不接受进口产品投标的内容时，投标人所投产品不含进口产品；</w:t>
            </w:r>
          </w:p>
        </w:tc>
      </w:tr>
      <w:tr w14:paraId="5383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B1D405A">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14</w:t>
            </w:r>
          </w:p>
        </w:tc>
        <w:tc>
          <w:tcPr>
            <w:tcW w:w="1813" w:type="dxa"/>
            <w:shd w:val="clear" w:color="auto" w:fill="auto"/>
            <w:vAlign w:val="center"/>
          </w:tcPr>
          <w:p w14:paraId="7FB802AD">
            <w:pPr>
              <w:widowControl/>
              <w:jc w:val="left"/>
              <w:rPr>
                <w:color w:val="auto"/>
                <w:kern w:val="0"/>
                <w:sz w:val="24"/>
                <w:highlight w:val="none"/>
              </w:rPr>
            </w:pPr>
            <w:r>
              <w:rPr>
                <w:color w:val="auto"/>
                <w:kern w:val="0"/>
                <w:sz w:val="24"/>
                <w:highlight w:val="none"/>
              </w:rPr>
              <w:t>国家有关部门对投标人的投标产品有强制性规定或要求的</w:t>
            </w:r>
          </w:p>
        </w:tc>
        <w:tc>
          <w:tcPr>
            <w:tcW w:w="6725" w:type="dxa"/>
            <w:shd w:val="clear" w:color="auto" w:fill="auto"/>
            <w:vAlign w:val="center"/>
          </w:tcPr>
          <w:p w14:paraId="22D424A5">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国家有关部门对投标人的投标产品有强制性规定或要求的（如相应技术、安全、节能和环保等），投标人的投标产品应符合相应规定或要求，并提供证明文件电子件：</w:t>
            </w:r>
          </w:p>
          <w:p w14:paraId="019FCCE1">
            <w:pPr>
              <w:widowControl/>
              <w:jc w:val="left"/>
              <w:rPr>
                <w:color w:val="auto"/>
                <w:kern w:val="0"/>
                <w:sz w:val="24"/>
                <w:highlight w:val="none"/>
              </w:rPr>
            </w:pPr>
            <w:r>
              <w:rPr>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4BCC222">
            <w:pPr>
              <w:widowControl/>
              <w:jc w:val="left"/>
              <w:rPr>
                <w:color w:val="auto"/>
                <w:sz w:val="24"/>
                <w:highlight w:val="none"/>
              </w:rPr>
            </w:pPr>
            <w:r>
              <w:rPr>
                <w:color w:val="auto"/>
                <w:kern w:val="0"/>
                <w:sz w:val="24"/>
                <w:highlight w:val="none"/>
              </w:rPr>
              <w:t>2）</w:t>
            </w:r>
            <w:r>
              <w:rPr>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highlight w:val="none"/>
              </w:rPr>
              <w:t>公安部颁发的计算机信息系统安全专用产品销售许可证</w:t>
            </w:r>
            <w:r>
              <w:rPr>
                <w:color w:val="auto"/>
                <w:sz w:val="24"/>
                <w:highlight w:val="none"/>
              </w:rPr>
              <w:t>，且在有效期内，亦视为符合要求）</w:t>
            </w:r>
          </w:p>
          <w:p w14:paraId="752E46A4">
            <w:pPr>
              <w:widowControl/>
              <w:jc w:val="left"/>
              <w:rPr>
                <w:color w:val="auto"/>
                <w:sz w:val="24"/>
                <w:highlight w:val="none"/>
              </w:rPr>
            </w:pPr>
            <w:r>
              <w:rPr>
                <w:color w:val="auto"/>
                <w:sz w:val="24"/>
                <w:highlight w:val="none"/>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52D647F">
            <w:pPr>
              <w:widowControl/>
              <w:jc w:val="left"/>
              <w:rPr>
                <w:color w:val="auto"/>
                <w:sz w:val="24"/>
                <w:highlight w:val="none"/>
              </w:rPr>
            </w:pPr>
            <w:r>
              <w:rPr>
                <w:color w:val="auto"/>
                <w:sz w:val="24"/>
                <w:highlight w:val="none"/>
              </w:rPr>
              <w:t>4）项目中涉及涂料、胶黏剂、油墨、清洗剂等挥发性有机物产品，且属于强制性标准的，供应商应执行符合本市和国家的VOCs 含量限制标准。</w:t>
            </w:r>
          </w:p>
          <w:p w14:paraId="087A4D12">
            <w:pPr>
              <w:widowControl/>
              <w:jc w:val="left"/>
              <w:rPr>
                <w:rFonts w:hint="eastAsia" w:eastAsia="宋体"/>
                <w:b/>
                <w:bCs/>
                <w:color w:val="auto"/>
                <w:sz w:val="24"/>
                <w:highlight w:val="none"/>
                <w:lang w:eastAsia="zh-CN"/>
              </w:rPr>
            </w:pPr>
            <w:r>
              <w:rPr>
                <w:rFonts w:hint="eastAsia"/>
                <w:b/>
                <w:bCs/>
                <w:color w:val="auto"/>
                <w:sz w:val="24"/>
                <w:highlight w:val="none"/>
              </w:rPr>
              <w:t>5）本项目执行《强制性产品认证管理规定》（国家质量监督检验检疫总局 总局令第117号）和《市场监督总局关于优化强制性产品认证目录的公告》（2020年第18号）的规定，本项目中投标人所投产品如涉及、列入强制性产品认证产品目录的设备，投标人必须提供对应产品型号的“3C认证证书”。</w:t>
            </w:r>
          </w:p>
        </w:tc>
      </w:tr>
      <w:tr w14:paraId="222A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D910147">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15</w:t>
            </w:r>
          </w:p>
        </w:tc>
        <w:tc>
          <w:tcPr>
            <w:tcW w:w="1813" w:type="dxa"/>
            <w:shd w:val="clear" w:color="auto" w:fill="auto"/>
            <w:vAlign w:val="center"/>
          </w:tcPr>
          <w:p w14:paraId="03FA3590">
            <w:pPr>
              <w:widowControl/>
              <w:jc w:val="left"/>
              <w:rPr>
                <w:color w:val="auto"/>
                <w:kern w:val="0"/>
                <w:sz w:val="24"/>
                <w:highlight w:val="none"/>
              </w:rPr>
            </w:pPr>
            <w:r>
              <w:rPr>
                <w:color w:val="auto"/>
                <w:kern w:val="0"/>
                <w:sz w:val="24"/>
                <w:highlight w:val="none"/>
              </w:rPr>
              <w:t>公平竞争</w:t>
            </w:r>
          </w:p>
        </w:tc>
        <w:tc>
          <w:tcPr>
            <w:tcW w:w="6725" w:type="dxa"/>
            <w:shd w:val="clear" w:color="auto" w:fill="auto"/>
            <w:vAlign w:val="center"/>
          </w:tcPr>
          <w:p w14:paraId="0258E08E">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0DD4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DE4EAED">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16</w:t>
            </w:r>
          </w:p>
        </w:tc>
        <w:tc>
          <w:tcPr>
            <w:tcW w:w="1813" w:type="dxa"/>
            <w:shd w:val="clear" w:color="auto" w:fill="auto"/>
            <w:vAlign w:val="center"/>
          </w:tcPr>
          <w:p w14:paraId="0328D193">
            <w:pPr>
              <w:widowControl/>
              <w:jc w:val="left"/>
              <w:rPr>
                <w:color w:val="auto"/>
                <w:kern w:val="0"/>
                <w:sz w:val="24"/>
                <w:highlight w:val="none"/>
              </w:rPr>
            </w:pPr>
            <w:r>
              <w:rPr>
                <w:color w:val="auto"/>
                <w:kern w:val="0"/>
                <w:sz w:val="24"/>
                <w:highlight w:val="none"/>
              </w:rPr>
              <w:t>串通投标</w:t>
            </w:r>
          </w:p>
        </w:tc>
        <w:tc>
          <w:tcPr>
            <w:tcW w:w="6725" w:type="dxa"/>
            <w:shd w:val="clear" w:color="auto" w:fill="auto"/>
            <w:vAlign w:val="center"/>
          </w:tcPr>
          <w:p w14:paraId="44AB25AB">
            <w:pPr>
              <w:widowControl/>
              <w:jc w:val="left"/>
              <w:rPr>
                <w:color w:val="auto"/>
                <w:kern w:val="0"/>
                <w:sz w:val="24"/>
                <w:highlight w:val="none"/>
              </w:rPr>
            </w:pPr>
            <w:r>
              <w:rPr>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BC8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1F24B41">
            <w:pPr>
              <w:widowControl/>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17</w:t>
            </w:r>
          </w:p>
        </w:tc>
        <w:tc>
          <w:tcPr>
            <w:tcW w:w="1813" w:type="dxa"/>
            <w:shd w:val="clear" w:color="auto" w:fill="auto"/>
            <w:vAlign w:val="center"/>
          </w:tcPr>
          <w:p w14:paraId="0B7CE8EF">
            <w:pPr>
              <w:widowControl/>
              <w:jc w:val="left"/>
              <w:rPr>
                <w:color w:val="auto"/>
                <w:kern w:val="0"/>
                <w:sz w:val="24"/>
                <w:highlight w:val="none"/>
              </w:rPr>
            </w:pPr>
            <w:r>
              <w:rPr>
                <w:color w:val="auto"/>
                <w:kern w:val="0"/>
                <w:sz w:val="24"/>
                <w:highlight w:val="none"/>
              </w:rPr>
              <w:t>附加条件</w:t>
            </w:r>
          </w:p>
        </w:tc>
        <w:tc>
          <w:tcPr>
            <w:tcW w:w="6725" w:type="dxa"/>
            <w:shd w:val="clear" w:color="auto" w:fill="auto"/>
            <w:vAlign w:val="center"/>
          </w:tcPr>
          <w:p w14:paraId="144283B3">
            <w:pPr>
              <w:widowControl/>
              <w:jc w:val="left"/>
              <w:rPr>
                <w:color w:val="auto"/>
                <w:kern w:val="0"/>
                <w:sz w:val="24"/>
                <w:highlight w:val="none"/>
              </w:rPr>
            </w:pPr>
            <w:r>
              <w:rPr>
                <w:color w:val="auto"/>
                <w:kern w:val="0"/>
                <w:sz w:val="24"/>
                <w:highlight w:val="none"/>
              </w:rPr>
              <w:t>投标文件未含有采购人不能接受的附加条件的；</w:t>
            </w:r>
          </w:p>
        </w:tc>
      </w:tr>
      <w:tr w14:paraId="40A4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FE9B40D">
            <w:pPr>
              <w:widowControl/>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8</w:t>
            </w:r>
          </w:p>
        </w:tc>
        <w:tc>
          <w:tcPr>
            <w:tcW w:w="1813" w:type="dxa"/>
            <w:shd w:val="clear" w:color="auto" w:fill="auto"/>
            <w:vAlign w:val="center"/>
          </w:tcPr>
          <w:p w14:paraId="3F774251">
            <w:pPr>
              <w:widowControl/>
              <w:jc w:val="left"/>
              <w:rPr>
                <w:color w:val="auto"/>
                <w:kern w:val="0"/>
                <w:sz w:val="24"/>
                <w:highlight w:val="none"/>
              </w:rPr>
            </w:pPr>
            <w:r>
              <w:rPr>
                <w:color w:val="auto"/>
                <w:kern w:val="0"/>
                <w:sz w:val="24"/>
                <w:highlight w:val="none"/>
              </w:rPr>
              <w:t>其他无效情形</w:t>
            </w:r>
          </w:p>
        </w:tc>
        <w:tc>
          <w:tcPr>
            <w:tcW w:w="6725" w:type="dxa"/>
            <w:shd w:val="clear" w:color="auto" w:fill="auto"/>
            <w:vAlign w:val="center"/>
          </w:tcPr>
          <w:p w14:paraId="4686514A">
            <w:pPr>
              <w:widowControl/>
              <w:jc w:val="left"/>
              <w:rPr>
                <w:color w:val="auto"/>
                <w:kern w:val="0"/>
                <w:sz w:val="24"/>
                <w:highlight w:val="none"/>
              </w:rPr>
            </w:pPr>
            <w:r>
              <w:rPr>
                <w:color w:val="auto"/>
                <w:sz w:val="24"/>
                <w:highlight w:val="none"/>
              </w:rPr>
              <w:t>投标人、投标文件不存在不符合法律、法规和招标文件规定的其他无效情形。</w:t>
            </w:r>
          </w:p>
        </w:tc>
      </w:tr>
    </w:tbl>
    <w:p w14:paraId="6B01CCAE">
      <w:pPr>
        <w:numPr>
          <w:ilvl w:val="0"/>
          <w:numId w:val="14"/>
        </w:numPr>
        <w:tabs>
          <w:tab w:val="left" w:pos="1080"/>
          <w:tab w:val="left" w:pos="1589"/>
        </w:tabs>
        <w:snapToGrid w:val="0"/>
        <w:spacing w:line="360" w:lineRule="auto"/>
        <w:rPr>
          <w:color w:val="auto"/>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bookmarkEnd w:id="718"/>
    <w:bookmarkEnd w:id="719"/>
    <w:p w14:paraId="3F8D531D">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2.投标文件有关事项的澄清或者说明</w:t>
      </w:r>
    </w:p>
    <w:p w14:paraId="2BBA48D1">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5" w:name="_Hlk144225607"/>
      <w:r>
        <w:rPr>
          <w:rFonts w:hint="eastAsia" w:cs="宋体" w:asciiTheme="minorEastAsia" w:hAnsiTheme="minorEastAsia" w:eastAsiaTheme="minorEastAsia"/>
          <w:sz w:val="24"/>
        </w:rPr>
        <w:t>若投标人为事业单位或其他组织或分支机构，可为单位负责人</w:t>
      </w:r>
      <w:bookmarkEnd w:id="735"/>
      <w:r>
        <w:rPr>
          <w:rFonts w:hint="eastAsia" w:cs="宋体" w:asciiTheme="minorEastAsia" w:hAnsiTheme="minorEastAsia" w:eastAsiaTheme="minorEastAsia"/>
          <w:sz w:val="24"/>
        </w:rPr>
        <w:t>）或其授权的代表签字。投标人的澄清、说明或者补正不得超出投标文件的范围或者改变投标文件的实质性内容。澄清文件将作为投标文件内容的一部分。</w:t>
      </w:r>
    </w:p>
    <w:p w14:paraId="24884621">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cs="宋体" w:asciiTheme="minorEastAsia" w:hAnsiTheme="minorEastAsia" w:eastAsiaTheme="minorEastAsia"/>
          <w:b/>
          <w:sz w:val="24"/>
        </w:rPr>
        <w:t>无效投标处理</w:t>
      </w:r>
      <w:r>
        <w:rPr>
          <w:rFonts w:hint="eastAsia" w:cs="宋体" w:asciiTheme="minorEastAsia" w:hAnsiTheme="minorEastAsia" w:eastAsiaTheme="minorEastAsia"/>
          <w:sz w:val="24"/>
        </w:rPr>
        <w:t>。</w:t>
      </w:r>
    </w:p>
    <w:p w14:paraId="1AF72F6A">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17E2BDAB">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2.4投标文件报价出现前后不一致的，按照下列规定修正：</w:t>
      </w:r>
    </w:p>
    <w:p w14:paraId="7092F986">
      <w:pPr>
        <w:tabs>
          <w:tab w:val="left" w:pos="1080"/>
          <w:tab w:val="left" w:pos="1589"/>
          <w:tab w:val="left" w:pos="2035"/>
          <w:tab w:val="left" w:pos="21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2.4.1招标文件对于报价修正是否另有规定：</w:t>
      </w:r>
    </w:p>
    <w:p w14:paraId="517B708E">
      <w:pPr>
        <w:tabs>
          <w:tab w:val="left" w:pos="1080"/>
          <w:tab w:val="left" w:pos="1589"/>
          <w:tab w:val="left" w:pos="2035"/>
          <w:tab w:val="left" w:pos="2114"/>
        </w:tabs>
        <w:snapToGrid w:val="0"/>
        <w:spacing w:line="360" w:lineRule="auto"/>
        <w:rPr>
          <w:rFonts w:cs="宋体" w:asciiTheme="minorEastAsia" w:hAnsiTheme="minorEastAsia" w:eastAsiaTheme="minorEastAsia"/>
          <w:sz w:val="24"/>
          <w:u w:val="single"/>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有，具体规定为：______________</w:t>
      </w:r>
    </w:p>
    <w:p w14:paraId="0799E090">
      <w:pPr>
        <w:tabs>
          <w:tab w:val="left" w:pos="1080"/>
          <w:tab w:val="left" w:pos="1589"/>
          <w:tab w:val="left" w:pos="2035"/>
          <w:tab w:val="left" w:pos="21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▇无，按下述2.4.2-2.4.8项规定修正。</w:t>
      </w:r>
    </w:p>
    <w:p w14:paraId="3548BA26">
      <w:pPr>
        <w:tabs>
          <w:tab w:val="left" w:pos="2035"/>
          <w:tab w:val="left" w:pos="2114"/>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2.4.2单独递交的开标一览表（报价表）与投标文件中开标一览表（报价表）内容不一致的，以单独递交的开标一览表（报价表）为准；</w:t>
      </w:r>
    </w:p>
    <w:p w14:paraId="421A025F">
      <w:pPr>
        <w:tabs>
          <w:tab w:val="left" w:pos="2035"/>
          <w:tab w:val="left" w:pos="2114"/>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2.4.3投标文件中开标一览表（报价表）内容与投标文件中相应内容不一致的，以开标一览表（报价表）为准；</w:t>
      </w:r>
    </w:p>
    <w:p w14:paraId="7AD9C3AF">
      <w:pPr>
        <w:tabs>
          <w:tab w:val="left" w:pos="2035"/>
          <w:tab w:val="left" w:pos="2114"/>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2.4.4大写金额和小写金额不一致的，以大写金额为准；</w:t>
      </w:r>
    </w:p>
    <w:p w14:paraId="0F35143A">
      <w:pPr>
        <w:tabs>
          <w:tab w:val="left" w:pos="2035"/>
          <w:tab w:val="left" w:pos="2114"/>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2.4.5单价金额小数点或者百分比有明显错位的，以开标一览表的总价为准，并修改单价；</w:t>
      </w:r>
    </w:p>
    <w:p w14:paraId="0255AE18">
      <w:pPr>
        <w:tabs>
          <w:tab w:val="left" w:pos="2035"/>
          <w:tab w:val="left" w:pos="2114"/>
          <w:tab w:val="left" w:pos="2977"/>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2.4.6总价金额与按单价汇总金额不一致的，以单价金额计算结果为准。</w:t>
      </w:r>
    </w:p>
    <w:p w14:paraId="2C048AF6">
      <w:pPr>
        <w:tabs>
          <w:tab w:val="left" w:pos="1080"/>
          <w:tab w:val="left" w:pos="1589"/>
          <w:tab w:val="left" w:pos="2035"/>
          <w:tab w:val="left" w:pos="21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2.4.7同时出现两种以上不一致的，按照前款规定的顺序修正。</w:t>
      </w:r>
    </w:p>
    <w:p w14:paraId="4553DAB5">
      <w:pPr>
        <w:tabs>
          <w:tab w:val="left" w:pos="1080"/>
          <w:tab w:val="left" w:pos="1589"/>
          <w:tab w:val="left" w:pos="2035"/>
          <w:tab w:val="left" w:pos="21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2.4.8修正后的报价经投标人书面确认后产生约束力，投标人不确认的，其</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3CFA2C58">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2.5落实政府采购政策的价格调整：只有符合第二章《投标人须知》5.2条规定情形的，可以享受中小企业扶持政策，用扣除后的价格参加评审；否则，评标时价格不予扣除。</w:t>
      </w:r>
    </w:p>
    <w:p w14:paraId="6483F698">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2.5.1对于未预留份额专门面向中小企业采购的采购项目，以及预留份额项目中的非预留部分采购包，对小微企业报价给予</w:t>
      </w:r>
      <w:r>
        <w:rPr>
          <w:rFonts w:hint="eastAsia" w:cs="宋体" w:asciiTheme="minorEastAsia" w:hAnsiTheme="minorEastAsia" w:eastAsiaTheme="minorEastAsia"/>
          <w:b/>
          <w:bCs/>
          <w:sz w:val="24"/>
          <w:u w:val="single"/>
        </w:rPr>
        <w:t>10%</w:t>
      </w:r>
      <w:r>
        <w:rPr>
          <w:rFonts w:hint="eastAsia" w:cs="宋体" w:asciiTheme="minorEastAsia" w:hAnsiTheme="minorEastAsia" w:eastAsiaTheme="minorEastAsia"/>
          <w:sz w:val="24"/>
        </w:rPr>
        <w:t>的扣除，用扣除后的价格参加评审。</w:t>
      </w:r>
    </w:p>
    <w:p w14:paraId="35982220">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s="宋体" w:asciiTheme="minorEastAsia" w:hAnsiTheme="minorEastAsia" w:eastAsiaTheme="minorEastAsia"/>
          <w:sz w:val="24"/>
          <w:u w:val="single"/>
        </w:rPr>
        <w:t>4</w:t>
      </w:r>
      <w:r>
        <w:rPr>
          <w:rFonts w:hint="eastAsia" w:cs="宋体" w:asciiTheme="minorEastAsia" w:hAnsiTheme="minorEastAsia" w:eastAsiaTheme="minorEastAsia"/>
          <w:sz w:val="24"/>
        </w:rPr>
        <w:t>%的扣除，用扣除后的价格参加评审。</w:t>
      </w:r>
    </w:p>
    <w:p w14:paraId="2861F799">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2.5.3组成联合体或者接受分包的小微企业与联合体内其他企业、分包企业之间存在直接控股、管理关系的，不享受价格扣除优惠政策。</w:t>
      </w:r>
    </w:p>
    <w:p w14:paraId="5164777B">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2.5.4价格扣除比例对小型企业和微型企业同等对待，不作区分。</w:t>
      </w:r>
    </w:p>
    <w:p w14:paraId="16488DCA">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2.5.5中小企业参加政府采购活动，应当按照招标文件给定的格式出具《中小企业声明函》，否则不得享受相关中小企业扶持政策。</w:t>
      </w:r>
    </w:p>
    <w:p w14:paraId="78744BA1">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2.5.6监狱企业提供了由省级以上监狱管理局、戒毒管理局（含新疆生产建设兵团）出具的属于监狱企业的证明文件的，视同小微企业。</w:t>
      </w:r>
    </w:p>
    <w:p w14:paraId="20866A1C">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2.5.7残疾人福利性单位按招标文件要求提供了《残疾人福利性单位声明函》的，视同小微企业。</w:t>
      </w:r>
    </w:p>
    <w:p w14:paraId="5FA16925">
      <w:pPr>
        <w:tabs>
          <w:tab w:val="left" w:pos="1080"/>
          <w:tab w:val="left" w:pos="1589"/>
          <w:tab w:val="left" w:pos="2014"/>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2.5.8若投标人同时属于小型或微型企业、监狱企业、残疾人福利性单位中的两种及以上，将不重复享受小微企业价格扣减的优惠政策。</w:t>
      </w:r>
    </w:p>
    <w:p w14:paraId="4E4B9A64">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3投标文件的比较和评价</w:t>
      </w:r>
    </w:p>
    <w:p w14:paraId="456EC206">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3.1评标委员会将按照招标文件中规定的评标方法和标准，对符合性审查合格的投标文件进行商务和技术评估，综合比较与评价；未通过符合性审查的投标文件不得进入比较与评价。</w:t>
      </w:r>
    </w:p>
    <w:p w14:paraId="451635E6">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3.2评标方法和评标标准</w:t>
      </w:r>
    </w:p>
    <w:p w14:paraId="001E8A9B">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3.2.1本项目采用的评标方法为：</w:t>
      </w:r>
    </w:p>
    <w:p w14:paraId="2EB80BD1">
      <w:pPr>
        <w:tabs>
          <w:tab w:val="left" w:pos="900"/>
          <w:tab w:val="left" w:pos="1589"/>
          <w:tab w:val="left" w:pos="1701"/>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5AA0A8C">
      <w:pPr>
        <w:tabs>
          <w:tab w:val="left" w:pos="900"/>
          <w:tab w:val="left" w:pos="1589"/>
          <w:tab w:val="left" w:pos="1701"/>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sym w:font="Wingdings 2" w:char="00A3"/>
      </w:r>
      <w:r>
        <w:rPr>
          <w:rFonts w:hint="eastAsia" w:cs="宋体" w:asciiTheme="minorEastAsia" w:hAnsiTheme="minorEastAsia" w:eastAsiaTheme="minorEastAsia"/>
          <w:sz w:val="24"/>
        </w:rPr>
        <w:t>最低评标价法，指投标文件满足招标文件全部实质性要求，且投标报价最低的投标人为中标候选人的评标方法。</w:t>
      </w:r>
    </w:p>
    <w:p w14:paraId="476378DF">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cs="宋体" w:asciiTheme="minorEastAsia" w:hAnsiTheme="minorEastAsia" w:eastAsiaTheme="minorEastAsia"/>
          <w:b/>
          <w:sz w:val="24"/>
        </w:rPr>
        <w:t>投标无效</w:t>
      </w:r>
      <w:r>
        <w:rPr>
          <w:rFonts w:hint="eastAsia" w:cs="宋体" w:asciiTheme="minorEastAsia" w:hAnsiTheme="minorEastAsia" w:eastAsiaTheme="minorEastAsia"/>
          <w:sz w:val="24"/>
        </w:rPr>
        <w:t>。</w:t>
      </w:r>
    </w:p>
    <w:p w14:paraId="4E20DEF3">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□随机抽取</w:t>
      </w:r>
    </w:p>
    <w:p w14:paraId="5E15E53F">
      <w:pPr>
        <w:tabs>
          <w:tab w:val="left" w:pos="1080"/>
          <w:tab w:val="left" w:pos="1589"/>
          <w:tab w:val="left" w:pos="2035"/>
        </w:tabs>
        <w:snapToGrid w:val="0"/>
        <w:spacing w:line="360" w:lineRule="auto"/>
        <w:rPr>
          <w:rFonts w:cs="宋体" w:asciiTheme="minorEastAsia" w:hAnsiTheme="minorEastAsia" w:eastAsiaTheme="minorEastAsia"/>
          <w:sz w:val="24"/>
          <w:u w:val="single"/>
        </w:rPr>
      </w:pPr>
      <w:r>
        <w:rPr>
          <w:rFonts w:hint="eastAsia" w:cs="宋体" w:asciiTheme="minorEastAsia" w:hAnsiTheme="minorEastAsia" w:eastAsiaTheme="minorEastAsia"/>
          <w:sz w:val="24"/>
        </w:rPr>
        <w:t>□其他方式，具体要求：_____</w:t>
      </w:r>
    </w:p>
    <w:p w14:paraId="09087AFB">
      <w:pPr>
        <w:tabs>
          <w:tab w:val="left" w:pos="1080"/>
          <w:tab w:val="left" w:pos="1589"/>
          <w:tab w:val="left" w:pos="2035"/>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3.2.3非政府强制采购的节能产品或环境标志产品，依据品目清单和认证证书实施政府优先采购。优先采购的具体规定（如涉及）_____。</w:t>
      </w:r>
    </w:p>
    <w:p w14:paraId="2562A18A">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4确定</w:t>
      </w:r>
      <w:bookmarkStart w:id="736" w:name="_Toc164229387"/>
      <w:bookmarkStart w:id="737" w:name="_Toc164608660"/>
      <w:bookmarkStart w:id="738" w:name="_Toc265228384"/>
      <w:bookmarkStart w:id="739" w:name="_Toc127151546"/>
      <w:bookmarkStart w:id="740" w:name="_Toc142311048"/>
      <w:bookmarkStart w:id="741" w:name="_Toc150774646"/>
      <w:bookmarkStart w:id="742" w:name="_Toc149720839"/>
      <w:bookmarkStart w:id="743" w:name="_Toc150480784"/>
      <w:bookmarkStart w:id="744" w:name="_Toc264969236"/>
      <w:bookmarkStart w:id="745" w:name="_Toc127161460"/>
      <w:bookmarkStart w:id="746" w:name="_Toc226965819"/>
      <w:bookmarkStart w:id="747" w:name="_Toc305158888"/>
      <w:bookmarkStart w:id="748" w:name="_Toc226337242"/>
      <w:bookmarkStart w:id="749" w:name="_Toc127151747"/>
      <w:bookmarkStart w:id="750" w:name="_Toc151190173"/>
      <w:bookmarkStart w:id="751" w:name="_Toc520356170"/>
      <w:bookmarkStart w:id="752" w:name="_Toc150774751"/>
      <w:bookmarkStart w:id="753" w:name="_Toc164351640"/>
      <w:bookmarkStart w:id="754" w:name="_Toc151193788"/>
      <w:bookmarkStart w:id="755" w:name="_Toc150509297"/>
      <w:bookmarkStart w:id="756" w:name="_Toc164229241"/>
      <w:bookmarkStart w:id="757" w:name="_Toc305158814"/>
      <w:bookmarkStart w:id="758" w:name="_Toc151193644"/>
      <w:bookmarkStart w:id="759" w:name="_Toc226309790"/>
      <w:bookmarkStart w:id="760" w:name="_Toc151193860"/>
      <w:bookmarkStart w:id="761" w:name="_Toc226965736"/>
      <w:bookmarkStart w:id="762" w:name="_Toc195842911"/>
      <w:bookmarkStart w:id="763" w:name="_Toc164608815"/>
      <w:bookmarkStart w:id="764" w:name="_Ref467307010"/>
      <w:bookmarkStart w:id="765" w:name="_Toc151193716"/>
      <w:bookmarkStart w:id="766" w:name="_Toc151193934"/>
      <w:r>
        <w:rPr>
          <w:rFonts w:hint="eastAsia" w:cs="宋体" w:asciiTheme="minorEastAsia" w:hAnsiTheme="minorEastAsia" w:eastAsiaTheme="minorEastAsia"/>
          <w:sz w:val="24"/>
        </w:rPr>
        <w:t>中标候选人名单</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3DBE101">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553D435">
      <w:pPr>
        <w:pStyle w:val="24"/>
        <w:tabs>
          <w:tab w:val="left" w:pos="900"/>
          <w:tab w:val="left" w:pos="2127"/>
        </w:tabs>
        <w:adjustRightInd w:val="0"/>
        <w:snapToGrid w:val="0"/>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sym w:font="Wingdings 2" w:char="00A3"/>
      </w:r>
      <w:r>
        <w:rPr>
          <w:rFonts w:cs="宋体" w:asciiTheme="minorEastAsia" w:hAnsiTheme="minorEastAsia" w:eastAsiaTheme="minorEastAsia"/>
          <w:sz w:val="24"/>
          <w:szCs w:val="24"/>
        </w:rPr>
        <w:t>随机抽取</w:t>
      </w:r>
    </w:p>
    <w:p w14:paraId="6C00BDDB">
      <w:pPr>
        <w:pStyle w:val="24"/>
        <w:tabs>
          <w:tab w:val="left" w:pos="900"/>
          <w:tab w:val="left" w:pos="2127"/>
        </w:tabs>
        <w:adjustRightInd w:val="0"/>
        <w:snapToGrid w:val="0"/>
        <w:spacing w:line="360" w:lineRule="auto"/>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▇其他方式，具体要求：</w:t>
      </w:r>
      <w:r>
        <w:rPr>
          <w:rFonts w:cs="宋体" w:asciiTheme="minorEastAsia" w:hAnsiTheme="minorEastAsia" w:eastAsiaTheme="minorEastAsia"/>
          <w:sz w:val="24"/>
          <w:szCs w:val="24"/>
          <w:u w:val="single"/>
        </w:rPr>
        <w:t>得分且投标报价均相同的，以技术部分得分高者为中标人；得分、投标报价且技术部分均相同的，则由评标委员会随机抽取</w:t>
      </w:r>
      <w:r>
        <w:rPr>
          <w:rFonts w:cs="宋体" w:asciiTheme="minorEastAsia" w:hAnsiTheme="minorEastAsia" w:eastAsiaTheme="minorEastAsia"/>
          <w:sz w:val="24"/>
          <w:szCs w:val="24"/>
        </w:rPr>
        <w:t>。</w:t>
      </w:r>
    </w:p>
    <w:p w14:paraId="73807B22">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300BBDE">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6E33F881">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4.4评标委员会要对评分汇总情况进行复核，特别是对排名第一的、报价最低的、投标或响应文件被认定为无效的情形进行重点复核。</w:t>
      </w:r>
    </w:p>
    <w:p w14:paraId="5AD16A4B">
      <w:pPr>
        <w:tabs>
          <w:tab w:val="left" w:pos="1080"/>
        </w:tabs>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4.5评标委员会将根据各投标人的评标排序，依次推荐本项目（各采购包）的中标候选人，起草并签署评标报告。本项目（各采购包）评标委员会共（各）推荐</w:t>
      </w:r>
      <w:r>
        <w:rPr>
          <w:rFonts w:hint="eastAsia" w:cs="宋体" w:asciiTheme="minorEastAsia" w:hAnsiTheme="minorEastAsia" w:eastAsiaTheme="minorEastAsia"/>
          <w:sz w:val="24"/>
          <w:u w:val="single"/>
        </w:rPr>
        <w:t>3</w:t>
      </w:r>
      <w:r>
        <w:rPr>
          <w:rFonts w:hint="eastAsia" w:cs="宋体" w:asciiTheme="minorEastAsia" w:hAnsiTheme="minorEastAsia" w:eastAsiaTheme="minorEastAsia"/>
          <w:sz w:val="24"/>
        </w:rPr>
        <w:t>名中标候选人。</w:t>
      </w:r>
    </w:p>
    <w:p w14:paraId="2EE79BC9">
      <w:pPr>
        <w:tabs>
          <w:tab w:val="left" w:pos="360"/>
        </w:tabs>
        <w:snapToGrid w:val="0"/>
        <w:spacing w:line="360" w:lineRule="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5报告违法行为</w:t>
      </w:r>
    </w:p>
    <w:p w14:paraId="1F702307">
      <w:pPr>
        <w:numPr>
          <w:ilvl w:val="0"/>
          <w:numId w:val="0"/>
        </w:numPr>
        <w:tabs>
          <w:tab w:val="left" w:pos="1080"/>
        </w:tabs>
        <w:snapToGrid w:val="0"/>
        <w:spacing w:line="360" w:lineRule="auto"/>
        <w:ind w:left="357" w:leftChars="0"/>
        <w:rPr>
          <w:color w:val="auto"/>
          <w:sz w:val="24"/>
          <w:highlight w:val="none"/>
        </w:rPr>
      </w:pPr>
      <w:r>
        <w:rPr>
          <w:rFonts w:hint="eastAsia" w:cs="宋体" w:asciiTheme="minorEastAsia" w:hAnsiTheme="minorEastAsia" w:eastAsiaTheme="minorEastAsia"/>
          <w:sz w:val="24"/>
        </w:rPr>
        <w:t>5.1评标委员会在评标过程中发现投标人有行贿、提供虚假材料或者串通等违法行为时，应当及时向财政部门报告。</w:t>
      </w:r>
    </w:p>
    <w:p w14:paraId="26B92A18">
      <w:pPr>
        <w:widowControl/>
        <w:jc w:val="left"/>
        <w:rPr>
          <w:b/>
          <w:color w:val="auto"/>
          <w:sz w:val="24"/>
          <w:highlight w:val="none"/>
        </w:rPr>
      </w:pPr>
      <w:r>
        <w:rPr>
          <w:b/>
          <w:color w:val="auto"/>
          <w:sz w:val="24"/>
          <w:highlight w:val="none"/>
        </w:rPr>
        <w:br w:type="page"/>
      </w:r>
    </w:p>
    <w:p w14:paraId="5441D628">
      <w:pPr>
        <w:tabs>
          <w:tab w:val="left" w:pos="360"/>
          <w:tab w:val="left" w:pos="900"/>
        </w:tabs>
        <w:snapToGrid w:val="0"/>
        <w:spacing w:line="360" w:lineRule="auto"/>
        <w:jc w:val="center"/>
        <w:outlineLvl w:val="1"/>
        <w:rPr>
          <w:b/>
          <w:color w:val="auto"/>
          <w:highlight w:val="none"/>
        </w:rPr>
      </w:pPr>
      <w:r>
        <w:rPr>
          <w:b/>
          <w:color w:val="auto"/>
          <w:sz w:val="24"/>
          <w:highlight w:val="none"/>
        </w:rPr>
        <w:t>二、评标标准</w:t>
      </w:r>
    </w:p>
    <w:tbl>
      <w:tblPr>
        <w:tblStyle w:val="43"/>
        <w:tblW w:w="976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5"/>
        <w:gridCol w:w="1290"/>
        <w:gridCol w:w="4185"/>
        <w:gridCol w:w="1063"/>
      </w:tblGrid>
      <w:tr w14:paraId="72FB7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3225" w:type="dxa"/>
            <w:tcBorders>
              <w:tl2br w:val="nil"/>
              <w:tr2bl w:val="nil"/>
            </w:tcBorders>
            <w:noWrap w:val="0"/>
            <w:vAlign w:val="center"/>
          </w:tcPr>
          <w:p w14:paraId="634A6AFA">
            <w:pPr>
              <w:widowControl/>
              <w:jc w:val="center"/>
              <w:textAlignment w:val="center"/>
              <w:rPr>
                <w:rFonts w:hint="eastAsia" w:ascii="宋体" w:hAnsi="宋体" w:eastAsia="宋体" w:cs="宋体"/>
                <w:b/>
                <w:bCs/>
                <w:color w:val="000000"/>
                <w:sz w:val="24"/>
                <w:szCs w:val="24"/>
              </w:rPr>
            </w:pPr>
            <w:bookmarkStart w:id="767" w:name="_Toc99301424"/>
            <w:r>
              <w:rPr>
                <w:rStyle w:val="253"/>
                <w:rFonts w:hint="default"/>
                <w:lang w:bidi="ar"/>
              </w:rPr>
              <w:t>评审因素</w:t>
            </w:r>
          </w:p>
        </w:tc>
        <w:tc>
          <w:tcPr>
            <w:tcW w:w="1290" w:type="dxa"/>
            <w:tcBorders>
              <w:tl2br w:val="nil"/>
              <w:tr2bl w:val="nil"/>
            </w:tcBorders>
            <w:noWrap w:val="0"/>
            <w:vAlign w:val="center"/>
          </w:tcPr>
          <w:p w14:paraId="3A48881B">
            <w:pPr>
              <w:widowControl/>
              <w:jc w:val="center"/>
              <w:textAlignment w:val="center"/>
              <w:rPr>
                <w:rFonts w:hint="default" w:ascii="宋体" w:hAnsi="宋体" w:eastAsia="宋体" w:cs="宋体"/>
                <w:b/>
                <w:bCs/>
                <w:color w:val="000000"/>
                <w:sz w:val="24"/>
                <w:szCs w:val="24"/>
                <w:lang w:val="en-US" w:eastAsia="zh-CN"/>
              </w:rPr>
            </w:pPr>
            <w:r>
              <w:rPr>
                <w:rStyle w:val="253"/>
                <w:rFonts w:hint="eastAsia"/>
                <w:lang w:val="en-US" w:eastAsia="zh-CN" w:bidi="ar"/>
              </w:rPr>
              <w:t>评分因素</w:t>
            </w:r>
          </w:p>
        </w:tc>
        <w:tc>
          <w:tcPr>
            <w:tcW w:w="4185" w:type="dxa"/>
            <w:tcBorders>
              <w:tl2br w:val="nil"/>
              <w:tr2bl w:val="nil"/>
            </w:tcBorders>
            <w:noWrap w:val="0"/>
            <w:vAlign w:val="center"/>
          </w:tcPr>
          <w:p w14:paraId="7384D461">
            <w:pPr>
              <w:widowControl/>
              <w:jc w:val="center"/>
              <w:textAlignment w:val="center"/>
              <w:rPr>
                <w:rFonts w:hint="eastAsia" w:ascii="宋体" w:hAnsi="宋体" w:eastAsia="宋体" w:cs="宋体"/>
                <w:b/>
                <w:bCs/>
                <w:color w:val="000000"/>
                <w:sz w:val="20"/>
                <w:szCs w:val="20"/>
              </w:rPr>
            </w:pPr>
            <w:r>
              <w:rPr>
                <w:rStyle w:val="253"/>
                <w:rFonts w:hint="eastAsia" w:ascii="宋体" w:hAnsi="宋体" w:eastAsia="宋体" w:cs="宋体"/>
                <w:sz w:val="24"/>
                <w:szCs w:val="24"/>
                <w:lang w:bidi="ar"/>
              </w:rPr>
              <w:t>评分标准</w:t>
            </w:r>
          </w:p>
        </w:tc>
        <w:tc>
          <w:tcPr>
            <w:tcW w:w="1063" w:type="dxa"/>
            <w:tcBorders>
              <w:tl2br w:val="nil"/>
              <w:tr2bl w:val="nil"/>
            </w:tcBorders>
            <w:noWrap/>
            <w:vAlign w:val="center"/>
          </w:tcPr>
          <w:p w14:paraId="41432ABC">
            <w:pPr>
              <w:widowControl/>
              <w:jc w:val="center"/>
              <w:textAlignment w:val="center"/>
              <w:rPr>
                <w:rFonts w:hint="default" w:ascii="宋体" w:hAnsi="宋体" w:eastAsia="宋体" w:cs="宋体"/>
                <w:b/>
                <w:bCs/>
                <w:color w:val="000000"/>
                <w:sz w:val="22"/>
                <w:lang w:val="en-US" w:eastAsia="zh-CN"/>
              </w:rPr>
            </w:pPr>
            <w:r>
              <w:rPr>
                <w:rFonts w:hint="eastAsia" w:ascii="宋体" w:hAnsi="宋体" w:cs="宋体"/>
                <w:b/>
                <w:bCs/>
                <w:color w:val="000000"/>
                <w:sz w:val="22"/>
                <w:lang w:val="en-US" w:eastAsia="zh-CN"/>
              </w:rPr>
              <w:t>分值</w:t>
            </w:r>
          </w:p>
        </w:tc>
      </w:tr>
      <w:tr w14:paraId="686DE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3225" w:type="dxa"/>
            <w:tcBorders>
              <w:tl2br w:val="nil"/>
              <w:tr2bl w:val="nil"/>
            </w:tcBorders>
            <w:noWrap w:val="0"/>
            <w:vAlign w:val="center"/>
          </w:tcPr>
          <w:p w14:paraId="42D27CA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一、价格部分（</w:t>
            </w:r>
            <w:r>
              <w:rPr>
                <w:rFonts w:hint="eastAsia" w:ascii="宋体" w:hAnsi="宋体" w:cs="宋体"/>
                <w:color w:val="000000"/>
                <w:kern w:val="0"/>
                <w:sz w:val="22"/>
                <w:lang w:val="en-US" w:eastAsia="zh-CN" w:bidi="ar"/>
              </w:rPr>
              <w:t>40</w:t>
            </w:r>
            <w:r>
              <w:rPr>
                <w:rFonts w:hint="eastAsia" w:ascii="宋体" w:hAnsi="宋体" w:eastAsia="宋体" w:cs="宋体"/>
                <w:color w:val="000000"/>
                <w:kern w:val="0"/>
                <w:sz w:val="22"/>
                <w:lang w:bidi="ar"/>
              </w:rPr>
              <w:t>分）</w:t>
            </w:r>
          </w:p>
        </w:tc>
        <w:tc>
          <w:tcPr>
            <w:tcW w:w="1290" w:type="dxa"/>
            <w:tcBorders>
              <w:tl2br w:val="nil"/>
              <w:tr2bl w:val="nil"/>
            </w:tcBorders>
            <w:noWrap/>
            <w:vAlign w:val="center"/>
          </w:tcPr>
          <w:p w14:paraId="37C534F5">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投标价格</w:t>
            </w:r>
          </w:p>
        </w:tc>
        <w:tc>
          <w:tcPr>
            <w:tcW w:w="4185" w:type="dxa"/>
            <w:tcBorders>
              <w:tl2br w:val="nil"/>
              <w:tr2bl w:val="nil"/>
            </w:tcBorders>
            <w:noWrap w:val="0"/>
            <w:vAlign w:val="center"/>
          </w:tcPr>
          <w:p w14:paraId="4C1606AF">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有效的最终报价中的最低价为基准价，按照下列公式计算每个投标人的报价得分。报价得分＝（基准价/最终报价）×价格权重×100。</w:t>
            </w:r>
          </w:p>
        </w:tc>
        <w:tc>
          <w:tcPr>
            <w:tcW w:w="1063" w:type="dxa"/>
            <w:tcBorders>
              <w:tl2br w:val="nil"/>
              <w:tr2bl w:val="nil"/>
            </w:tcBorders>
            <w:noWrap w:val="0"/>
            <w:vAlign w:val="center"/>
          </w:tcPr>
          <w:p w14:paraId="6488E544">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40</w:t>
            </w:r>
          </w:p>
        </w:tc>
      </w:tr>
      <w:tr w14:paraId="547E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3225" w:type="dxa"/>
            <w:tcBorders>
              <w:tl2br w:val="nil"/>
              <w:tr2bl w:val="nil"/>
            </w:tcBorders>
            <w:noWrap w:val="0"/>
            <w:vAlign w:val="center"/>
          </w:tcPr>
          <w:p w14:paraId="7C0EC6E3">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2"/>
                <w:lang w:bidi="ar"/>
              </w:rPr>
              <w:t>二、商务部分（</w:t>
            </w:r>
            <w:r>
              <w:rPr>
                <w:rFonts w:hint="eastAsia" w:ascii="宋体" w:hAnsi="宋体" w:cs="宋体"/>
                <w:color w:val="000000"/>
                <w:kern w:val="0"/>
                <w:sz w:val="22"/>
                <w:lang w:val="en-US" w:eastAsia="zh-CN" w:bidi="ar"/>
              </w:rPr>
              <w:t>10</w:t>
            </w:r>
            <w:r>
              <w:rPr>
                <w:rFonts w:hint="eastAsia" w:ascii="宋体" w:hAnsi="宋体" w:eastAsia="宋体" w:cs="宋体"/>
                <w:color w:val="000000"/>
                <w:kern w:val="0"/>
                <w:sz w:val="22"/>
                <w:lang w:bidi="ar"/>
              </w:rPr>
              <w:t>分）</w:t>
            </w:r>
          </w:p>
        </w:tc>
        <w:tc>
          <w:tcPr>
            <w:tcW w:w="1290" w:type="dxa"/>
            <w:tcBorders>
              <w:tl2br w:val="nil"/>
              <w:tr2bl w:val="nil"/>
            </w:tcBorders>
            <w:noWrap w:val="0"/>
            <w:vAlign w:val="center"/>
          </w:tcPr>
          <w:p w14:paraId="08AEC4F0">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相关业绩</w:t>
            </w:r>
          </w:p>
        </w:tc>
        <w:tc>
          <w:tcPr>
            <w:tcW w:w="4185" w:type="dxa"/>
            <w:tcBorders>
              <w:tl2br w:val="nil"/>
              <w:tr2bl w:val="nil"/>
            </w:tcBorders>
            <w:noWrap w:val="0"/>
            <w:vAlign w:val="center"/>
          </w:tcPr>
          <w:p w14:paraId="5E016125">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近三年2022年4月1日起至投标截止日止(以合同签订日期为准)的类似项目案例(须提供相应合同复印件，至少包括合同的甲乙双方、合同金额、详细标的内容和双方签章及生效时间)。每提供一个符合要求的案例得2分，最多得10分，无效合同不得分。</w:t>
            </w:r>
          </w:p>
        </w:tc>
        <w:tc>
          <w:tcPr>
            <w:tcW w:w="1063" w:type="dxa"/>
            <w:tcBorders>
              <w:tl2br w:val="nil"/>
              <w:tr2bl w:val="nil"/>
            </w:tcBorders>
            <w:noWrap/>
            <w:vAlign w:val="center"/>
          </w:tcPr>
          <w:p w14:paraId="1FBFA70B">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w:t>
            </w:r>
          </w:p>
        </w:tc>
      </w:tr>
      <w:tr w14:paraId="082D7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3225" w:type="dxa"/>
            <w:vMerge w:val="restart"/>
            <w:tcBorders>
              <w:tl2br w:val="nil"/>
              <w:tr2bl w:val="nil"/>
            </w:tcBorders>
            <w:noWrap w:val="0"/>
            <w:vAlign w:val="center"/>
          </w:tcPr>
          <w:p w14:paraId="0A44E62E">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三、技术部分（50分）</w:t>
            </w:r>
          </w:p>
        </w:tc>
        <w:tc>
          <w:tcPr>
            <w:tcW w:w="1290" w:type="dxa"/>
            <w:tcBorders>
              <w:tl2br w:val="nil"/>
              <w:tr2bl w:val="nil"/>
            </w:tcBorders>
            <w:noWrap w:val="0"/>
            <w:vAlign w:val="center"/>
          </w:tcPr>
          <w:p w14:paraId="1B60E73A">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服务方案</w:t>
            </w:r>
          </w:p>
        </w:tc>
        <w:tc>
          <w:tcPr>
            <w:tcW w:w="4185" w:type="dxa"/>
            <w:tcBorders>
              <w:tl2br w:val="nil"/>
              <w:tr2bl w:val="nil"/>
            </w:tcBorders>
            <w:noWrap w:val="0"/>
            <w:vAlign w:val="center"/>
          </w:tcPr>
          <w:p w14:paraId="0493CAE6">
            <w:pPr>
              <w:widowControl/>
              <w:jc w:val="left"/>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投标人能够</w:t>
            </w:r>
            <w:r>
              <w:rPr>
                <w:rFonts w:hint="default" w:ascii="宋体" w:hAnsi="宋体" w:eastAsia="宋体" w:cs="宋体"/>
                <w:sz w:val="20"/>
                <w:szCs w:val="20"/>
                <w:highlight w:val="none"/>
              </w:rPr>
              <w:t>提供</w:t>
            </w:r>
            <w:r>
              <w:rPr>
                <w:rFonts w:hint="eastAsia" w:ascii="宋体" w:hAnsi="宋体" w:eastAsia="宋体" w:cs="宋体"/>
                <w:sz w:val="20"/>
                <w:szCs w:val="20"/>
                <w:highlight w:val="none"/>
                <w:lang w:val="en-US" w:eastAsia="zh-CN"/>
              </w:rPr>
              <w:t>针对本项目的实施的具体方案，方案包含不限于：需求理解及需求应答、项目管理服务方案（整体设想及策划）、保洁卫生服务方案、住宿管理方案、人员培训方案</w:t>
            </w:r>
            <w:r>
              <w:rPr>
                <w:rFonts w:hint="eastAsia" w:ascii="宋体" w:hAnsi="宋体" w:cs="宋体"/>
                <w:sz w:val="20"/>
                <w:szCs w:val="20"/>
                <w:highlight w:val="none"/>
                <w:lang w:val="en-US" w:eastAsia="zh-CN"/>
              </w:rPr>
              <w:t>、安全保障方案</w:t>
            </w:r>
            <w:r>
              <w:rPr>
                <w:rFonts w:hint="eastAsia" w:ascii="宋体" w:hAnsi="宋体" w:eastAsia="宋体" w:cs="宋体"/>
                <w:sz w:val="20"/>
                <w:szCs w:val="20"/>
                <w:highlight w:val="none"/>
                <w:lang w:val="en-US" w:eastAsia="zh-CN"/>
              </w:rPr>
              <w:t>。</w:t>
            </w:r>
          </w:p>
          <w:p w14:paraId="77BD6551">
            <w:pPr>
              <w:widowControl/>
              <w:jc w:val="left"/>
              <w:textAlignment w:val="center"/>
              <w:rPr>
                <w:rFonts w:hint="eastAsia" w:ascii="宋体" w:hAnsi="宋体" w:eastAsia="宋体" w:cs="宋体"/>
                <w:b/>
                <w:bCs/>
                <w:sz w:val="20"/>
                <w:szCs w:val="20"/>
                <w:highlight w:val="none"/>
                <w:lang w:val="en-US" w:eastAsia="zh-CN"/>
              </w:rPr>
            </w:pPr>
            <w:r>
              <w:rPr>
                <w:rFonts w:hint="eastAsia" w:ascii="宋体" w:hAnsi="宋体" w:eastAsia="宋体" w:cs="宋体"/>
                <w:b/>
                <w:bCs/>
                <w:sz w:val="20"/>
                <w:szCs w:val="20"/>
                <w:highlight w:val="none"/>
                <w:lang w:val="en-US" w:eastAsia="zh-CN"/>
              </w:rPr>
              <w:t>一、需求理解及需求应答（3 分）</w:t>
            </w:r>
          </w:p>
          <w:p w14:paraId="35DBFDDD">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对本项目的需求理解深刻、全面，准确把握项目重点、难点，需求应答完整且针对性强，能切实回应招标文件的各项要求，得 3 分。</w:t>
            </w:r>
          </w:p>
          <w:p w14:paraId="01053DFD">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基本理解项目需求，应答内容基本覆盖招标文件要求，但部分内容缺乏针对性，得</w:t>
            </w:r>
            <w:r>
              <w:rPr>
                <w:rFonts w:hint="eastAsia" w:ascii="宋体" w:hAnsi="宋体" w:cs="宋体"/>
                <w:sz w:val="20"/>
                <w:szCs w:val="20"/>
                <w:highlight w:val="none"/>
                <w:lang w:val="en-US" w:eastAsia="zh-CN"/>
              </w:rPr>
              <w:t>2.5</w:t>
            </w:r>
            <w:r>
              <w:rPr>
                <w:rFonts w:hint="eastAsia" w:ascii="宋体" w:hAnsi="宋体" w:eastAsia="宋体" w:cs="宋体"/>
                <w:sz w:val="20"/>
                <w:szCs w:val="20"/>
                <w:highlight w:val="none"/>
                <w:lang w:val="en-US" w:eastAsia="zh-CN"/>
              </w:rPr>
              <w:t xml:space="preserve"> 分。</w:t>
            </w:r>
          </w:p>
          <w:p w14:paraId="51645929">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对项目需求理解模糊，应答内容不完整、缺乏针对性，得 </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分。</w:t>
            </w:r>
          </w:p>
          <w:p w14:paraId="57FE81AD">
            <w:pPr>
              <w:widowControl/>
              <w:jc w:val="left"/>
              <w:textAlignment w:val="center"/>
              <w:rPr>
                <w:rFonts w:hint="eastAsia" w:ascii="宋体" w:hAnsi="宋体" w:eastAsia="宋体" w:cs="宋体"/>
                <w:b/>
                <w:bCs/>
                <w:sz w:val="20"/>
                <w:szCs w:val="20"/>
                <w:highlight w:val="none"/>
                <w:lang w:val="en-US" w:eastAsia="zh-CN"/>
              </w:rPr>
            </w:pPr>
            <w:r>
              <w:rPr>
                <w:rFonts w:hint="eastAsia" w:ascii="宋体" w:hAnsi="宋体" w:eastAsia="宋体" w:cs="宋体"/>
                <w:b/>
                <w:bCs/>
                <w:sz w:val="20"/>
                <w:szCs w:val="20"/>
                <w:highlight w:val="none"/>
                <w:lang w:val="en-US" w:eastAsia="zh-CN"/>
              </w:rPr>
              <w:t>二、项目管理服务方案（整体设想及策划）（4 分）</w:t>
            </w:r>
          </w:p>
          <w:p w14:paraId="385D7815">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（一）整体设想（2 分）</w:t>
            </w:r>
          </w:p>
          <w:p w14:paraId="1819292B">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整体设想清晰、合理，充分考虑项目特点，具有前瞻性和创新性，能为项目实施提供明确方向，得2 分。</w:t>
            </w:r>
          </w:p>
          <w:p w14:paraId="62B184C7">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整体设想较明确，但创新性不足，得 </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 xml:space="preserve"> 分。</w:t>
            </w:r>
          </w:p>
          <w:p w14:paraId="16B57D20">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整体设想模糊，缺乏可行性，得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分。</w:t>
            </w:r>
          </w:p>
          <w:p w14:paraId="0E0C3CA3">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（二）策划内容（2 分）</w:t>
            </w:r>
          </w:p>
          <w:p w14:paraId="41027873">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策划内容详细，涵盖项目全周期管理，包括进度安排、资源调配、成本控制等，各环节衔接紧密、可操作性强，得 2 分。</w:t>
            </w:r>
          </w:p>
          <w:p w14:paraId="57F37110">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策划内容较完整，但部分环节存在不足，得 </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 xml:space="preserve"> 分。</w:t>
            </w:r>
          </w:p>
          <w:p w14:paraId="2739AC0F">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策划内容简单粗糙，缺乏关键环节，得 </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 xml:space="preserve"> 分。</w:t>
            </w:r>
          </w:p>
          <w:p w14:paraId="4E3EC326">
            <w:pPr>
              <w:widowControl/>
              <w:jc w:val="left"/>
              <w:textAlignment w:val="center"/>
              <w:rPr>
                <w:rFonts w:hint="eastAsia" w:ascii="宋体" w:hAnsi="宋体" w:eastAsia="宋体" w:cs="宋体"/>
                <w:b/>
                <w:bCs/>
                <w:sz w:val="20"/>
                <w:szCs w:val="20"/>
                <w:highlight w:val="none"/>
                <w:lang w:val="en-US" w:eastAsia="zh-CN"/>
              </w:rPr>
            </w:pPr>
            <w:r>
              <w:rPr>
                <w:rFonts w:hint="eastAsia" w:ascii="宋体" w:hAnsi="宋体" w:eastAsia="宋体" w:cs="宋体"/>
                <w:b/>
                <w:bCs/>
                <w:sz w:val="20"/>
                <w:szCs w:val="20"/>
                <w:highlight w:val="none"/>
                <w:lang w:val="en-US" w:eastAsia="zh-CN"/>
              </w:rPr>
              <w:t>三、保洁卫生服务方案（3 分）</w:t>
            </w:r>
          </w:p>
          <w:p w14:paraId="5B047559">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保洁方案针对园区建筑及区域特点，制定分区域、分时段保洁计划，明确清洁标准、操作流程、质量检查机制，配备合理清洁设备与耗材，得3 分。</w:t>
            </w:r>
          </w:p>
          <w:p w14:paraId="71AB1FB9">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保洁计划基本可行，但细节不够完善，清洁标准、流程不够清晰，得</w:t>
            </w:r>
            <w:r>
              <w:rPr>
                <w:rFonts w:hint="eastAsia" w:ascii="宋体" w:hAnsi="宋体" w:cs="宋体"/>
                <w:sz w:val="20"/>
                <w:szCs w:val="20"/>
                <w:highlight w:val="none"/>
                <w:lang w:val="en-US" w:eastAsia="zh-CN"/>
              </w:rPr>
              <w:t>2</w:t>
            </w:r>
            <w:r>
              <w:rPr>
                <w:rFonts w:hint="eastAsia" w:ascii="宋体" w:hAnsi="宋体" w:eastAsia="宋体" w:cs="宋体"/>
                <w:sz w:val="20"/>
                <w:szCs w:val="20"/>
                <w:highlight w:val="none"/>
                <w:lang w:val="en-US" w:eastAsia="zh-CN"/>
              </w:rPr>
              <w:t>分。</w:t>
            </w:r>
          </w:p>
          <w:p w14:paraId="6276E12A">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方案内容简略，缺乏针对性和可操作性，得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分。</w:t>
            </w:r>
          </w:p>
          <w:p w14:paraId="126C7C74">
            <w:pPr>
              <w:widowControl/>
              <w:jc w:val="left"/>
              <w:textAlignment w:val="center"/>
              <w:rPr>
                <w:rFonts w:hint="eastAsia" w:ascii="宋体" w:hAnsi="宋体" w:eastAsia="宋体" w:cs="宋体"/>
                <w:b/>
                <w:bCs/>
                <w:sz w:val="20"/>
                <w:szCs w:val="20"/>
                <w:highlight w:val="none"/>
                <w:lang w:val="en-US" w:eastAsia="zh-CN"/>
              </w:rPr>
            </w:pPr>
            <w:r>
              <w:rPr>
                <w:rFonts w:hint="eastAsia" w:ascii="宋体" w:hAnsi="宋体" w:eastAsia="宋体" w:cs="宋体"/>
                <w:b/>
                <w:bCs/>
                <w:sz w:val="20"/>
                <w:szCs w:val="20"/>
                <w:highlight w:val="none"/>
                <w:lang w:val="en-US" w:eastAsia="zh-CN"/>
              </w:rPr>
              <w:t>四、住宿管理方案（3 分）</w:t>
            </w:r>
          </w:p>
          <w:p w14:paraId="124AE2B7">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住宿管理方案充分考虑人员居住需求，包含人员出入管理、安全巡查、设施维护、卫生管理、纠纷处理等内容，措施具体、责任明确，得3 分。</w:t>
            </w:r>
          </w:p>
          <w:p w14:paraId="416241AC">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方案基本涵盖住宿管理主要方面，但部分措施缺乏细节，得</w:t>
            </w:r>
            <w:r>
              <w:rPr>
                <w:rFonts w:hint="eastAsia" w:ascii="宋体" w:hAnsi="宋体" w:cs="宋体"/>
                <w:sz w:val="20"/>
                <w:szCs w:val="20"/>
                <w:highlight w:val="none"/>
                <w:lang w:val="en-US" w:eastAsia="zh-CN"/>
              </w:rPr>
              <w:t>2</w:t>
            </w:r>
            <w:r>
              <w:rPr>
                <w:rFonts w:hint="eastAsia" w:ascii="宋体" w:hAnsi="宋体" w:eastAsia="宋体" w:cs="宋体"/>
                <w:sz w:val="20"/>
                <w:szCs w:val="20"/>
                <w:highlight w:val="none"/>
                <w:lang w:val="en-US" w:eastAsia="zh-CN"/>
              </w:rPr>
              <w:t xml:space="preserve"> 分。</w:t>
            </w:r>
          </w:p>
          <w:p w14:paraId="4617B4CF">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方案内容不完整，关键管理环节缺失，得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分。</w:t>
            </w:r>
          </w:p>
          <w:p w14:paraId="7C4D1734">
            <w:pPr>
              <w:widowControl/>
              <w:jc w:val="left"/>
              <w:textAlignment w:val="center"/>
              <w:rPr>
                <w:rFonts w:hint="eastAsia" w:ascii="宋体" w:hAnsi="宋体" w:eastAsia="宋体" w:cs="宋体"/>
                <w:b/>
                <w:bCs/>
                <w:sz w:val="20"/>
                <w:szCs w:val="20"/>
                <w:highlight w:val="none"/>
                <w:lang w:val="en-US" w:eastAsia="zh-CN"/>
              </w:rPr>
            </w:pPr>
            <w:r>
              <w:rPr>
                <w:rFonts w:hint="eastAsia" w:ascii="宋体" w:hAnsi="宋体" w:eastAsia="宋体" w:cs="宋体"/>
                <w:b/>
                <w:bCs/>
                <w:sz w:val="20"/>
                <w:szCs w:val="20"/>
                <w:highlight w:val="none"/>
                <w:lang w:val="en-US" w:eastAsia="zh-CN"/>
              </w:rPr>
              <w:t>五、人员培训方案（3 分）</w:t>
            </w:r>
          </w:p>
          <w:p w14:paraId="618FF82B">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培训方案涵盖项目所需各类岗位人员，培训内容丰富，包括业务技能、服务意识、安全知识等，培训方式多样（如理论授课、实操演练等），培训计划合理，有明确的考核标准和效果评估机制，得 3 分。</w:t>
            </w:r>
          </w:p>
          <w:p w14:paraId="378C43FA">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培训方案较完善，但培训内容、方式或考核机制存在一定不足，得 </w:t>
            </w:r>
            <w:r>
              <w:rPr>
                <w:rFonts w:hint="eastAsia" w:ascii="宋体" w:hAnsi="宋体" w:cs="宋体"/>
                <w:sz w:val="20"/>
                <w:szCs w:val="20"/>
                <w:highlight w:val="none"/>
                <w:lang w:val="en-US" w:eastAsia="zh-CN"/>
              </w:rPr>
              <w:t>2.5</w:t>
            </w:r>
            <w:r>
              <w:rPr>
                <w:rFonts w:hint="eastAsia" w:ascii="宋体" w:hAnsi="宋体" w:eastAsia="宋体" w:cs="宋体"/>
                <w:sz w:val="20"/>
                <w:szCs w:val="20"/>
                <w:highlight w:val="none"/>
                <w:lang w:val="en-US" w:eastAsia="zh-CN"/>
              </w:rPr>
              <w:t>分。</w:t>
            </w:r>
          </w:p>
          <w:p w14:paraId="05C63E0C">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培训方案简单或缺乏可行性，得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分。</w:t>
            </w:r>
          </w:p>
          <w:p w14:paraId="35E1DDF8">
            <w:pPr>
              <w:widowControl/>
              <w:jc w:val="left"/>
              <w:textAlignment w:val="center"/>
              <w:rPr>
                <w:rFonts w:hint="eastAsia" w:ascii="宋体" w:hAnsi="宋体" w:eastAsia="宋体" w:cs="宋体"/>
                <w:b/>
                <w:bCs/>
                <w:sz w:val="20"/>
                <w:szCs w:val="20"/>
                <w:highlight w:val="none"/>
                <w:lang w:val="en-US" w:eastAsia="zh-CN"/>
              </w:rPr>
            </w:pPr>
            <w:r>
              <w:rPr>
                <w:rFonts w:hint="eastAsia" w:ascii="宋体" w:hAnsi="宋体" w:eastAsia="宋体" w:cs="宋体"/>
                <w:b/>
                <w:bCs/>
                <w:sz w:val="20"/>
                <w:szCs w:val="20"/>
                <w:highlight w:val="none"/>
                <w:lang w:val="en-US" w:eastAsia="zh-CN"/>
              </w:rPr>
              <w:t>六、安全保障方案（4 分）</w:t>
            </w:r>
          </w:p>
          <w:p w14:paraId="202CED88">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（一）安全管理制度（2 分）</w:t>
            </w:r>
          </w:p>
          <w:p w14:paraId="08247214">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安全管理制度健全，包括消防安全、治安安全、生产安全等方面，制度内容详细、责任到人，得 2 分。</w:t>
            </w:r>
          </w:p>
          <w:p w14:paraId="2AF9566B">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安全管理制度基本完善，但部分内容不够细致，得 </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分。</w:t>
            </w:r>
          </w:p>
          <w:p w14:paraId="0388FB1B">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安全管理制度不健全，存在明显漏洞，得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分。</w:t>
            </w:r>
          </w:p>
          <w:p w14:paraId="2457AA62">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（二）保障方案（2 分）</w:t>
            </w:r>
          </w:p>
          <w:p w14:paraId="5A3E2329">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针对火灾、自然灾害、突发公共事件等制定完善的应急预案，预案内容具体，包含应急响应流程、人员疏散、救援措施等，且有定期演练计划，得 2 分。</w:t>
            </w:r>
          </w:p>
          <w:p w14:paraId="0C5A1444">
            <w:pPr>
              <w:widowControl/>
              <w:jc w:val="left"/>
              <w:textAlignment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保障方案</w:t>
            </w:r>
            <w:r>
              <w:rPr>
                <w:rFonts w:hint="eastAsia" w:ascii="宋体" w:hAnsi="宋体" w:eastAsia="宋体" w:cs="宋体"/>
                <w:sz w:val="20"/>
                <w:szCs w:val="20"/>
                <w:highlight w:val="none"/>
                <w:lang w:val="en-US" w:eastAsia="zh-CN"/>
              </w:rPr>
              <w:t>基本完整，但部分细节需要完善，演练计划不明确，得</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分。</w:t>
            </w:r>
          </w:p>
          <w:p w14:paraId="7A83D6D1">
            <w:pPr>
              <w:widowControl/>
              <w:jc w:val="left"/>
              <w:textAlignment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保障方案</w:t>
            </w:r>
            <w:r>
              <w:rPr>
                <w:rFonts w:hint="eastAsia" w:ascii="宋体" w:hAnsi="宋体" w:eastAsia="宋体" w:cs="宋体"/>
                <w:sz w:val="20"/>
                <w:szCs w:val="20"/>
                <w:highlight w:val="none"/>
                <w:lang w:val="en-US" w:eastAsia="zh-CN"/>
              </w:rPr>
              <w:t xml:space="preserve">简单粗糙，缺乏实用性和可操作性，得 </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分。</w:t>
            </w:r>
          </w:p>
          <w:p w14:paraId="6AF65151">
            <w:pPr>
              <w:widowControl/>
              <w:jc w:val="left"/>
              <w:textAlignment w:val="center"/>
              <w:rPr>
                <w:rFonts w:hint="eastAsia" w:ascii="宋体" w:hAnsi="宋体" w:eastAsia="宋体" w:cs="宋体"/>
                <w:sz w:val="20"/>
                <w:szCs w:val="20"/>
                <w:highlight w:val="none"/>
              </w:rPr>
            </w:pPr>
          </w:p>
        </w:tc>
        <w:tc>
          <w:tcPr>
            <w:tcW w:w="1063" w:type="dxa"/>
            <w:tcBorders>
              <w:tl2br w:val="nil"/>
              <w:tr2bl w:val="nil"/>
            </w:tcBorders>
            <w:noWrap/>
            <w:vAlign w:val="center"/>
          </w:tcPr>
          <w:p w14:paraId="65E9EEB9">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w:t>
            </w:r>
          </w:p>
        </w:tc>
      </w:tr>
      <w:tr w14:paraId="05F6D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1" w:hRule="atLeast"/>
        </w:trPr>
        <w:tc>
          <w:tcPr>
            <w:tcW w:w="3225" w:type="dxa"/>
            <w:vMerge w:val="continue"/>
            <w:tcBorders>
              <w:tl2br w:val="nil"/>
              <w:tr2bl w:val="nil"/>
            </w:tcBorders>
            <w:noWrap w:val="0"/>
            <w:vAlign w:val="center"/>
          </w:tcPr>
          <w:p w14:paraId="68FE1897">
            <w:pPr>
              <w:widowControl/>
              <w:jc w:val="center"/>
              <w:textAlignment w:val="center"/>
              <w:rPr>
                <w:rFonts w:hint="eastAsia" w:ascii="宋体" w:hAnsi="宋体" w:cs="宋体"/>
                <w:color w:val="000000"/>
                <w:kern w:val="0"/>
                <w:sz w:val="22"/>
                <w:lang w:val="en-US" w:eastAsia="zh-CN" w:bidi="ar"/>
              </w:rPr>
            </w:pPr>
          </w:p>
        </w:tc>
        <w:tc>
          <w:tcPr>
            <w:tcW w:w="1290" w:type="dxa"/>
            <w:tcBorders>
              <w:tl2br w:val="nil"/>
              <w:tr2bl w:val="nil"/>
            </w:tcBorders>
            <w:noWrap w:val="0"/>
            <w:vAlign w:val="center"/>
          </w:tcPr>
          <w:p w14:paraId="22C217DC">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人员配置</w:t>
            </w:r>
          </w:p>
        </w:tc>
        <w:tc>
          <w:tcPr>
            <w:tcW w:w="4185" w:type="dxa"/>
            <w:tcBorders>
              <w:tl2br w:val="nil"/>
              <w:tr2bl w:val="nil"/>
            </w:tcBorders>
            <w:noWrap w:val="0"/>
            <w:vAlign w:val="center"/>
          </w:tcPr>
          <w:p w14:paraId="54726776">
            <w:pPr>
              <w:widowControl/>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投标人根据项目规模和服务需求，进行人员选配，项目经理、文员、楼长、宿管员、保洁员的年龄、文化程度、男女配比满足采购需求前提下再从从专业证书、从业经验进行评审。</w:t>
            </w:r>
          </w:p>
          <w:p w14:paraId="6BD51E9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b/>
                <w:bCs/>
                <w:sz w:val="20"/>
                <w:szCs w:val="20"/>
                <w:highlight w:val="none"/>
                <w:lang w:val="en-US" w:eastAsia="zh-CN"/>
              </w:rPr>
            </w:pPr>
            <w:r>
              <w:rPr>
                <w:rFonts w:hint="eastAsia" w:ascii="宋体" w:hAnsi="宋体" w:cs="宋体"/>
                <w:b/>
                <w:bCs/>
                <w:sz w:val="20"/>
                <w:szCs w:val="20"/>
                <w:highlight w:val="none"/>
                <w:lang w:val="en-US" w:eastAsia="zh-CN"/>
              </w:rPr>
              <w:t>一、专业证书（10分）</w:t>
            </w:r>
          </w:p>
          <w:p w14:paraId="5709EE1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（一）项目经理（7分）</w:t>
            </w:r>
          </w:p>
          <w:p w14:paraId="1490597E">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持有高级物业管理师证书，且具备项目管理、安全管理等相关高级培训证书，得7分。</w:t>
            </w:r>
          </w:p>
          <w:p w14:paraId="2AF08DD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持有中级物业管理师证书及部分相关培训证书，得5分。</w:t>
            </w:r>
          </w:p>
          <w:p w14:paraId="6AC0297A">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仅持有初级物业管理相关证书或证书与岗位关联度低，得3分。</w:t>
            </w:r>
          </w:p>
          <w:p w14:paraId="34F00392">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没有任何相关证书不得分</w:t>
            </w:r>
          </w:p>
          <w:p w14:paraId="63C8366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（二）文员（0.8 分）</w:t>
            </w:r>
          </w:p>
          <w:p w14:paraId="0ADE6E8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拥有人力资源管理师证书、高级办公软件应用证书等，得 0.8 分。</w:t>
            </w:r>
          </w:p>
          <w:p w14:paraId="6C8C2AC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仅具备基础办公软件操作证书，得0.5 分。</w:t>
            </w:r>
          </w:p>
          <w:p w14:paraId="00546D1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无相关专业证书，不得分。</w:t>
            </w:r>
          </w:p>
          <w:p w14:paraId="1F6EAE8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（三）楼长（0.8 分）</w:t>
            </w:r>
          </w:p>
          <w:p w14:paraId="11FA891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持有社区管理师证书、物业纠纷调解培训证书等，得 0.8 分。</w:t>
            </w:r>
          </w:p>
          <w:p w14:paraId="1C7F1DD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仅持有社区服务类基础培训证书，得 0.5 分。</w:t>
            </w:r>
          </w:p>
          <w:p w14:paraId="4A47AAC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无相关专业证书，不得分。</w:t>
            </w:r>
          </w:p>
          <w:p w14:paraId="0202DEEE">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（四）宿管员（1分）</w:t>
            </w:r>
          </w:p>
          <w:p w14:paraId="4BE79CA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具备消防安全证书、心理咨询相关证书等，得 1 分。</w:t>
            </w:r>
          </w:p>
          <w:p w14:paraId="0845EF0A">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仅持有基础宿舍管理培训证书，得0.7分。</w:t>
            </w:r>
          </w:p>
          <w:p w14:paraId="3D2C7EB6">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无相关证书，得 0分。</w:t>
            </w:r>
          </w:p>
          <w:p w14:paraId="7BC24AB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（五）保洁员（0.4分）</w:t>
            </w:r>
          </w:p>
          <w:p w14:paraId="78B0685A">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拥有清洁管理师证书或有害生物防治证书，得 0.4 分。</w:t>
            </w:r>
          </w:p>
          <w:p w14:paraId="5239381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仅参加过基础清洁技能培训且有结业证明，得  0.2 分。</w:t>
            </w:r>
          </w:p>
          <w:p w14:paraId="2B8B7C75">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无相关证书，得0分。</w:t>
            </w:r>
          </w:p>
          <w:p w14:paraId="273A763B">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二、从业经验（10分）</w:t>
            </w:r>
          </w:p>
          <w:p w14:paraId="0908C74D">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（一）项目经理（5 分）</w:t>
            </w:r>
          </w:p>
          <w:p w14:paraId="387E58F1">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5 年及以上高校物业项目管理经验，得 5分。</w:t>
            </w:r>
          </w:p>
          <w:p w14:paraId="2AA14947">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3 - 5 年相关经验，得 3分。</w:t>
            </w:r>
          </w:p>
          <w:p w14:paraId="6EA2A261">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经验不足 3 年，得 1分。</w:t>
            </w:r>
          </w:p>
          <w:p w14:paraId="10A610EE">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（二）文员（2.3 分）</w:t>
            </w:r>
          </w:p>
          <w:p w14:paraId="323A8C87">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3 年及以上高校工作经验，得2.3分。</w:t>
            </w:r>
          </w:p>
          <w:p w14:paraId="2CEB2012">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1 - 3 年相关经验，得1.4分。</w:t>
            </w:r>
          </w:p>
          <w:p w14:paraId="04D638AD">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经验不足 1 年，得 0.7 分。</w:t>
            </w:r>
          </w:p>
          <w:p w14:paraId="3F56943D">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（三）楼长（0.8 分）</w:t>
            </w:r>
          </w:p>
          <w:p w14:paraId="26FCA3F5">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3 年及以上高校楼栋管理经验，得0.8 分。</w:t>
            </w:r>
          </w:p>
          <w:p w14:paraId="659B93EC">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1 - 3 年相关经验，得 0.5 分。</w:t>
            </w:r>
          </w:p>
          <w:p w14:paraId="447AB30E">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经验不足 1 年，得 0.2分。</w:t>
            </w:r>
          </w:p>
          <w:p w14:paraId="45FC8D19">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（四）宿管员（1 分）</w:t>
            </w:r>
          </w:p>
          <w:p w14:paraId="72F8D8FF">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3 年及以上宿舍管理经验，得 1分。</w:t>
            </w:r>
          </w:p>
          <w:p w14:paraId="095CD1F2">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有1- 3年相关经验，得0.7分。</w:t>
            </w:r>
          </w:p>
          <w:p w14:paraId="57595EDE">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经验不足1年，得0.3分。</w:t>
            </w:r>
          </w:p>
          <w:p w14:paraId="30533A83">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（五）保洁员（0.9分）</w:t>
            </w:r>
          </w:p>
          <w:p w14:paraId="65480415">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有3年及以上保洁工作经验，得0.9分。</w:t>
            </w:r>
          </w:p>
          <w:p w14:paraId="44D1CAD6">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有 1- 3 年相关经验，得 0.6分。</w:t>
            </w:r>
          </w:p>
          <w:p w14:paraId="1ED5C4EE">
            <w:pPr>
              <w:widowControl/>
              <w:jc w:val="left"/>
              <w:textAlignment w:val="center"/>
              <w:rPr>
                <w:rFonts w:hint="default" w:ascii="宋体" w:hAnsi="宋体" w:cs="宋体"/>
                <w:sz w:val="20"/>
                <w:szCs w:val="20"/>
                <w:highlight w:val="none"/>
                <w:lang w:val="en-US" w:eastAsia="zh-CN"/>
              </w:rPr>
            </w:pPr>
            <w:r>
              <w:rPr>
                <w:rFonts w:hint="eastAsia" w:ascii="宋体" w:hAnsi="宋体" w:eastAsia="宋体" w:cs="宋体"/>
                <w:sz w:val="20"/>
                <w:szCs w:val="20"/>
                <w:highlight w:val="none"/>
                <w:lang w:val="en-US" w:eastAsia="zh-CN"/>
              </w:rPr>
              <w:t>经验不足1年，得0.2分。</w:t>
            </w:r>
          </w:p>
        </w:tc>
        <w:tc>
          <w:tcPr>
            <w:tcW w:w="1063" w:type="dxa"/>
            <w:tcBorders>
              <w:tl2br w:val="nil"/>
              <w:tr2bl w:val="nil"/>
            </w:tcBorders>
            <w:noWrap/>
            <w:vAlign w:val="center"/>
          </w:tcPr>
          <w:p w14:paraId="25888396">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w:t>
            </w:r>
          </w:p>
        </w:tc>
      </w:tr>
      <w:tr w14:paraId="288B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3225" w:type="dxa"/>
            <w:vMerge w:val="continue"/>
            <w:tcBorders>
              <w:tl2br w:val="nil"/>
              <w:tr2bl w:val="nil"/>
            </w:tcBorders>
            <w:noWrap w:val="0"/>
            <w:vAlign w:val="center"/>
          </w:tcPr>
          <w:p w14:paraId="4499D4F1">
            <w:pPr>
              <w:widowControl/>
              <w:jc w:val="center"/>
              <w:textAlignment w:val="center"/>
              <w:rPr>
                <w:rFonts w:hint="eastAsia" w:ascii="宋体" w:hAnsi="宋体" w:cs="宋体"/>
                <w:color w:val="000000"/>
                <w:kern w:val="0"/>
                <w:sz w:val="22"/>
                <w:lang w:val="en-US" w:eastAsia="zh-CN" w:bidi="ar"/>
              </w:rPr>
            </w:pPr>
          </w:p>
        </w:tc>
        <w:tc>
          <w:tcPr>
            <w:tcW w:w="1290" w:type="dxa"/>
            <w:tcBorders>
              <w:tl2br w:val="nil"/>
              <w:tr2bl w:val="nil"/>
            </w:tcBorders>
            <w:noWrap w:val="0"/>
            <w:vAlign w:val="center"/>
          </w:tcPr>
          <w:p w14:paraId="7E520B29">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应急预案</w:t>
            </w:r>
          </w:p>
        </w:tc>
        <w:tc>
          <w:tcPr>
            <w:tcW w:w="4185" w:type="dxa"/>
            <w:tcBorders>
              <w:tl2br w:val="nil"/>
              <w:tr2bl w:val="nil"/>
            </w:tcBorders>
            <w:noWrap w:val="0"/>
            <w:vAlign w:val="center"/>
          </w:tcPr>
          <w:p w14:paraId="19337157">
            <w:pPr>
              <w:widowControl/>
              <w:jc w:val="left"/>
              <w:textAlignment w:val="center"/>
              <w:rPr>
                <w:rFonts w:hint="eastAsia" w:ascii="宋体" w:hAnsi="宋体" w:cs="宋体"/>
                <w:sz w:val="20"/>
                <w:szCs w:val="20"/>
                <w:highlight w:val="none"/>
                <w:lang w:val="en-US" w:eastAsia="zh-CN"/>
              </w:rPr>
            </w:pPr>
            <w:r>
              <w:rPr>
                <w:rFonts w:hint="eastAsia" w:ascii="宋体" w:hAnsi="宋体" w:eastAsia="宋体" w:cs="宋体"/>
                <w:sz w:val="20"/>
                <w:szCs w:val="20"/>
                <w:highlight w:val="none"/>
              </w:rPr>
              <w:t>对各种突发事件的应急预案，内容是否全面、具体、具有</w:t>
            </w:r>
            <w:r>
              <w:rPr>
                <w:rFonts w:hint="eastAsia" w:ascii="宋体" w:hAnsi="宋体" w:cs="宋体"/>
                <w:sz w:val="20"/>
                <w:szCs w:val="20"/>
                <w:highlight w:val="none"/>
                <w:lang w:val="en-US" w:eastAsia="zh-CN"/>
              </w:rPr>
              <w:t>针对性</w:t>
            </w:r>
            <w:r>
              <w:rPr>
                <w:rFonts w:hint="eastAsia" w:ascii="宋体" w:hAnsi="宋体" w:eastAsia="宋体" w:cs="宋体"/>
                <w:sz w:val="20"/>
                <w:szCs w:val="20"/>
                <w:highlight w:val="none"/>
              </w:rPr>
              <w:t>等。</w:t>
            </w:r>
            <w:r>
              <w:rPr>
                <w:rFonts w:hint="eastAsia" w:ascii="宋体" w:hAnsi="宋体" w:eastAsia="宋体" w:cs="宋体"/>
                <w:sz w:val="20"/>
                <w:szCs w:val="20"/>
                <w:highlight w:val="none"/>
                <w:lang w:val="en-US" w:eastAsia="zh-CN"/>
              </w:rPr>
              <w:t>针对火灾、自然灾害、突发公共事件等制定完善的应急预案</w:t>
            </w:r>
            <w:r>
              <w:rPr>
                <w:rFonts w:hint="eastAsia" w:ascii="宋体" w:hAnsi="宋体" w:cs="宋体"/>
                <w:sz w:val="20"/>
                <w:szCs w:val="20"/>
                <w:highlight w:val="none"/>
                <w:lang w:val="en-US" w:eastAsia="zh-CN"/>
              </w:rPr>
              <w:t>。</w:t>
            </w:r>
          </w:p>
          <w:p w14:paraId="466B28D9">
            <w:pPr>
              <w:widowControl/>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预案内容具体，包含应急响应流程、人员疏散、救援措施等，且有定期演练计划，得 </w:t>
            </w:r>
            <w:r>
              <w:rPr>
                <w:rFonts w:hint="eastAsia" w:ascii="宋体" w:hAnsi="宋体" w:cs="宋体"/>
                <w:sz w:val="20"/>
                <w:szCs w:val="20"/>
                <w:highlight w:val="none"/>
                <w:lang w:val="en-US" w:eastAsia="zh-CN"/>
              </w:rPr>
              <w:t>5</w:t>
            </w:r>
            <w:r>
              <w:rPr>
                <w:rFonts w:hint="eastAsia" w:ascii="宋体" w:hAnsi="宋体" w:eastAsia="宋体" w:cs="宋体"/>
                <w:sz w:val="20"/>
                <w:szCs w:val="20"/>
                <w:highlight w:val="none"/>
                <w:lang w:val="en-US" w:eastAsia="zh-CN"/>
              </w:rPr>
              <w:t xml:space="preserve"> 分。</w:t>
            </w:r>
            <w:r>
              <w:rPr>
                <w:rFonts w:hint="eastAsia" w:ascii="宋体" w:hAnsi="宋体" w:cs="宋体"/>
                <w:sz w:val="20"/>
                <w:szCs w:val="20"/>
                <w:highlight w:val="none"/>
                <w:lang w:val="en-US" w:eastAsia="zh-CN"/>
              </w:rPr>
              <w:t>预案</w:t>
            </w:r>
            <w:r>
              <w:rPr>
                <w:rFonts w:hint="eastAsia" w:ascii="宋体" w:hAnsi="宋体" w:eastAsia="宋体" w:cs="宋体"/>
                <w:sz w:val="20"/>
                <w:szCs w:val="20"/>
                <w:highlight w:val="none"/>
                <w:lang w:val="en-US" w:eastAsia="zh-CN"/>
              </w:rPr>
              <w:t xml:space="preserve">基本完整，但部分细节需要完善，演练计划不明确，得 </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val="en-US" w:eastAsia="zh-CN"/>
              </w:rPr>
              <w:t xml:space="preserve"> 分。</w:t>
            </w:r>
            <w:r>
              <w:rPr>
                <w:rFonts w:hint="eastAsia" w:ascii="宋体" w:hAnsi="宋体" w:cs="宋体"/>
                <w:sz w:val="20"/>
                <w:szCs w:val="20"/>
                <w:highlight w:val="none"/>
                <w:lang w:val="en-US" w:eastAsia="zh-CN"/>
              </w:rPr>
              <w:t>预案</w:t>
            </w:r>
            <w:r>
              <w:rPr>
                <w:rFonts w:hint="eastAsia" w:ascii="宋体" w:hAnsi="宋体" w:eastAsia="宋体" w:cs="宋体"/>
                <w:sz w:val="20"/>
                <w:szCs w:val="20"/>
                <w:highlight w:val="none"/>
                <w:lang w:val="en-US" w:eastAsia="zh-CN"/>
              </w:rPr>
              <w:t xml:space="preserve">简单粗糙，缺乏实用性和可操作性，得 </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 xml:space="preserve"> 分。</w:t>
            </w:r>
          </w:p>
          <w:p w14:paraId="262405AA">
            <w:pPr>
              <w:widowControl/>
              <w:jc w:val="left"/>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rPr>
              <w:t>未提供得0分</w:t>
            </w:r>
          </w:p>
        </w:tc>
        <w:tc>
          <w:tcPr>
            <w:tcW w:w="1063" w:type="dxa"/>
            <w:tcBorders>
              <w:tl2br w:val="nil"/>
              <w:tr2bl w:val="nil"/>
            </w:tcBorders>
            <w:noWrap/>
            <w:vAlign w:val="center"/>
          </w:tcPr>
          <w:p w14:paraId="10A34458">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w:t>
            </w:r>
          </w:p>
        </w:tc>
      </w:tr>
      <w:tr w14:paraId="43A42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3225" w:type="dxa"/>
            <w:vMerge w:val="continue"/>
            <w:tcBorders>
              <w:tl2br w:val="nil"/>
              <w:tr2bl w:val="nil"/>
            </w:tcBorders>
            <w:noWrap w:val="0"/>
            <w:vAlign w:val="center"/>
          </w:tcPr>
          <w:p w14:paraId="335A8B95">
            <w:pPr>
              <w:widowControl/>
              <w:jc w:val="center"/>
              <w:textAlignment w:val="center"/>
              <w:rPr>
                <w:rFonts w:hint="eastAsia" w:ascii="宋体" w:hAnsi="宋体" w:cs="宋体"/>
                <w:color w:val="000000"/>
                <w:kern w:val="0"/>
                <w:sz w:val="22"/>
                <w:lang w:val="en-US" w:eastAsia="zh-CN" w:bidi="ar"/>
              </w:rPr>
            </w:pPr>
          </w:p>
        </w:tc>
        <w:tc>
          <w:tcPr>
            <w:tcW w:w="1290" w:type="dxa"/>
            <w:tcBorders>
              <w:tl2br w:val="nil"/>
              <w:tr2bl w:val="nil"/>
            </w:tcBorders>
            <w:noWrap w:val="0"/>
            <w:vAlign w:val="center"/>
          </w:tcPr>
          <w:p w14:paraId="2B46BE92">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服务质量</w:t>
            </w:r>
          </w:p>
        </w:tc>
        <w:tc>
          <w:tcPr>
            <w:tcW w:w="4185" w:type="dxa"/>
            <w:tcBorders>
              <w:tl2br w:val="nil"/>
              <w:tr2bl w:val="nil"/>
            </w:tcBorders>
            <w:noWrap w:val="0"/>
            <w:vAlign w:val="center"/>
          </w:tcPr>
          <w:p w14:paraId="5EEDD74A">
            <w:pPr>
              <w:widowControl/>
              <w:jc w:val="left"/>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建立完善的内部质量监督机制，有定期检查、客户反馈收集与处理流程，能有效提升服务质量，得 </w:t>
            </w:r>
            <w:r>
              <w:rPr>
                <w:rFonts w:hint="eastAsia" w:ascii="宋体" w:hAnsi="宋体" w:cs="宋体"/>
                <w:sz w:val="20"/>
                <w:szCs w:val="20"/>
                <w:highlight w:val="none"/>
                <w:lang w:val="en-US" w:eastAsia="zh-CN"/>
              </w:rPr>
              <w:t>5</w:t>
            </w:r>
            <w:r>
              <w:rPr>
                <w:rFonts w:hint="eastAsia" w:ascii="宋体" w:hAnsi="宋体" w:eastAsia="宋体" w:cs="宋体"/>
                <w:sz w:val="20"/>
                <w:szCs w:val="20"/>
                <w:highlight w:val="none"/>
              </w:rPr>
              <w:t>分。</w:t>
            </w:r>
            <w:r>
              <w:rPr>
                <w:rFonts w:hint="eastAsia" w:ascii="宋体" w:hAnsi="宋体" w:cs="宋体"/>
                <w:sz w:val="20"/>
                <w:szCs w:val="20"/>
                <w:highlight w:val="none"/>
                <w:lang w:val="en-US" w:eastAsia="zh-CN"/>
              </w:rPr>
              <w:t>服务质量</w:t>
            </w:r>
            <w:r>
              <w:rPr>
                <w:rFonts w:hint="eastAsia" w:ascii="宋体" w:hAnsi="宋体" w:eastAsia="宋体" w:cs="宋体"/>
                <w:sz w:val="20"/>
                <w:szCs w:val="20"/>
                <w:highlight w:val="none"/>
              </w:rPr>
              <w:t>基本健全，能开展常规检查，得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分。</w:t>
            </w:r>
            <w:r>
              <w:rPr>
                <w:rFonts w:hint="eastAsia" w:ascii="宋体" w:hAnsi="宋体" w:cs="宋体"/>
                <w:sz w:val="20"/>
                <w:szCs w:val="20"/>
                <w:highlight w:val="none"/>
                <w:lang w:val="en-US" w:eastAsia="zh-CN"/>
              </w:rPr>
              <w:t>服务质量</w:t>
            </w:r>
            <w:r>
              <w:rPr>
                <w:rFonts w:hint="eastAsia" w:ascii="宋体" w:hAnsi="宋体" w:eastAsia="宋体" w:cs="宋体"/>
                <w:sz w:val="20"/>
                <w:szCs w:val="20"/>
                <w:highlight w:val="none"/>
              </w:rPr>
              <w:t>不完善，缺乏有效监督手段，得</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分。</w:t>
            </w:r>
          </w:p>
          <w:p w14:paraId="73C9E866">
            <w:pPr>
              <w:widowControl/>
              <w:jc w:val="left"/>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rPr>
              <w:t>未提供此项评审得0分。</w:t>
            </w:r>
          </w:p>
        </w:tc>
        <w:tc>
          <w:tcPr>
            <w:tcW w:w="1063" w:type="dxa"/>
            <w:tcBorders>
              <w:tl2br w:val="nil"/>
              <w:tr2bl w:val="nil"/>
            </w:tcBorders>
            <w:noWrap/>
            <w:vAlign w:val="center"/>
          </w:tcPr>
          <w:p w14:paraId="40AD2E42">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w:t>
            </w:r>
          </w:p>
        </w:tc>
      </w:tr>
    </w:tbl>
    <w:p w14:paraId="33C5605B">
      <w:pPr>
        <w:pStyle w:val="252"/>
        <w:snapToGrid/>
        <w:spacing w:before="0" w:after="0"/>
        <w:jc w:val="left"/>
        <w:rPr>
          <w:rFonts w:ascii="宋体" w:hAnsi="宋体" w:cs="宋体"/>
          <w:color w:val="auto"/>
          <w:kern w:val="2"/>
          <w:highlight w:val="none"/>
        </w:rPr>
      </w:pPr>
      <w:r>
        <w:rPr>
          <w:rFonts w:hint="eastAsia" w:ascii="宋体" w:hAnsi="宋体" w:cs="宋体"/>
          <w:color w:val="auto"/>
          <w:kern w:val="2"/>
          <w:highlight w:val="none"/>
        </w:rPr>
        <w:t>注：评分分值计算保留小数点后两位，小数点后第三位“四舍五入”。</w:t>
      </w:r>
    </w:p>
    <w:p w14:paraId="1A70E6F1">
      <w:pPr>
        <w:pStyle w:val="12"/>
        <w:rPr>
          <w:color w:val="auto"/>
          <w:highlight w:val="none"/>
        </w:rPr>
        <w:sectPr>
          <w:headerReference r:id="rId11" w:type="default"/>
          <w:footerReference r:id="rId12" w:type="default"/>
          <w:pgSz w:w="11907" w:h="16840"/>
          <w:pgMar w:top="1117" w:right="680" w:bottom="1060" w:left="1588" w:header="878" w:footer="886" w:gutter="0"/>
          <w:pgBorders>
            <w:top w:val="none" w:sz="0" w:space="0"/>
            <w:left w:val="none" w:sz="0" w:space="0"/>
            <w:bottom w:val="none" w:sz="0" w:space="0"/>
            <w:right w:val="none" w:sz="0" w:space="0"/>
          </w:pgBorders>
          <w:pgNumType w:fmt="decimal"/>
          <w:cols w:space="720" w:num="1"/>
        </w:sectPr>
      </w:pPr>
    </w:p>
    <w:p w14:paraId="6105219B">
      <w:pPr>
        <w:spacing w:line="360" w:lineRule="auto"/>
        <w:jc w:val="center"/>
        <w:outlineLvl w:val="0"/>
        <w:rPr>
          <w:b/>
          <w:color w:val="auto"/>
          <w:sz w:val="36"/>
          <w:szCs w:val="36"/>
          <w:highlight w:val="none"/>
        </w:rPr>
      </w:pPr>
      <w:r>
        <w:rPr>
          <w:b/>
          <w:color w:val="auto"/>
          <w:sz w:val="36"/>
          <w:szCs w:val="36"/>
          <w:highlight w:val="none"/>
        </w:rPr>
        <w:t>第五章   采购需求</w:t>
      </w:r>
      <w:bookmarkEnd w:id="767"/>
    </w:p>
    <w:p w14:paraId="6698CE85">
      <w:pPr>
        <w:spacing w:line="480" w:lineRule="auto"/>
        <w:jc w:val="left"/>
        <w:rPr>
          <w:rFonts w:ascii="宋体" w:hAnsi="宋体"/>
          <w:b/>
          <w:bCs/>
          <w:sz w:val="24"/>
        </w:rPr>
      </w:pPr>
      <w:bookmarkStart w:id="768" w:name="_Toc99301425"/>
      <w:r>
        <w:rPr>
          <w:rFonts w:hint="eastAsia" w:ascii="宋体" w:hAnsi="宋体"/>
          <w:b/>
          <w:bCs/>
          <w:sz w:val="24"/>
        </w:rPr>
        <w:t>一、项目概述</w:t>
      </w:r>
    </w:p>
    <w:p w14:paraId="6A02C6B9">
      <w:pPr>
        <w:spacing w:line="440" w:lineRule="exact"/>
        <w:ind w:firstLine="240" w:firstLineChars="100"/>
        <w:jc w:val="left"/>
        <w:rPr>
          <w:rFonts w:ascii="宋体" w:hAnsi="宋体" w:cs="宋体"/>
          <w:bCs/>
          <w:sz w:val="24"/>
        </w:rPr>
      </w:pPr>
      <w:r>
        <w:rPr>
          <w:rFonts w:hint="eastAsia" w:ascii="宋体" w:hAnsi="宋体" w:cs="宋体"/>
          <w:bCs/>
          <w:sz w:val="24"/>
        </w:rPr>
        <w:t>（一）项目介绍</w:t>
      </w:r>
    </w:p>
    <w:p w14:paraId="4C4771CB">
      <w:pPr>
        <w:spacing w:line="440" w:lineRule="exact"/>
        <w:ind w:firstLine="480" w:firstLineChars="200"/>
        <w:jc w:val="left"/>
        <w:rPr>
          <w:rFonts w:ascii="宋体" w:hAnsi="宋体" w:cs="宋体"/>
          <w:bCs/>
          <w:sz w:val="24"/>
        </w:rPr>
      </w:pPr>
      <w:r>
        <w:rPr>
          <w:rFonts w:hint="eastAsia" w:ascii="宋体" w:hAnsi="宋体" w:cs="宋体"/>
          <w:bCs/>
          <w:sz w:val="24"/>
        </w:rPr>
        <w:t>按照</w:t>
      </w:r>
      <w:r>
        <w:rPr>
          <w:rFonts w:hint="eastAsia" w:ascii="宋体" w:hAnsi="宋体" w:cs="宋体"/>
          <w:sz w:val="24"/>
        </w:rPr>
        <w:t>北京市教育委员会关于印发《北京高等学校学生公寓管理办法（试行）》的通知【京教勤（2021）11号】、</w:t>
      </w:r>
      <w:r>
        <w:rPr>
          <w:rFonts w:hint="eastAsia" w:ascii="宋体" w:hAnsi="宋体" w:cs="宋体"/>
          <w:bCs/>
          <w:sz w:val="24"/>
        </w:rPr>
        <w:t>《北京高校标准化学生公寓（2016版）》验收标准进行达标服务，住宿学生实行学习、住宿、教育等一体标准化管理模式，开展住宿服务、楼内公共区域保洁服务、综合维修巡视上报服务、安全保障及维稳服务、共同管理及其它服务，妥善处理学生的投诉建议以及问题整改等工作。并依据成年和未成年学生的特点，依据教委文件要求制定公寓管理制度，做好差异化服务，推进学生公寓标准化建设，确保学生公寓安全运行。</w:t>
      </w:r>
    </w:p>
    <w:p w14:paraId="2BF732F5">
      <w:pPr>
        <w:spacing w:line="440" w:lineRule="exact"/>
        <w:ind w:firstLine="240" w:firstLineChars="100"/>
        <w:jc w:val="left"/>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二</w:t>
      </w:r>
      <w:r>
        <w:rPr>
          <w:rFonts w:hint="eastAsia" w:ascii="宋体" w:hAnsi="宋体" w:cs="宋体"/>
          <w:bCs/>
          <w:sz w:val="24"/>
        </w:rPr>
        <w:t>）服务对象：高职学生、贯培学生</w:t>
      </w:r>
      <w:r>
        <w:rPr>
          <w:rFonts w:hint="eastAsia" w:ascii="宋体" w:hAnsi="宋体" w:cs="宋体"/>
          <w:bCs/>
          <w:sz w:val="24"/>
          <w:lang w:eastAsia="zh-CN"/>
        </w:rPr>
        <w:t>、</w:t>
      </w:r>
      <w:r>
        <w:rPr>
          <w:rFonts w:hint="eastAsia" w:ascii="宋体" w:hAnsi="宋体" w:cs="宋体"/>
          <w:bCs/>
          <w:sz w:val="24"/>
        </w:rPr>
        <w:t>技校学生</w:t>
      </w:r>
      <w:r>
        <w:rPr>
          <w:rFonts w:hint="eastAsia" w:ascii="宋体" w:hAnsi="宋体" w:cs="宋体"/>
          <w:bCs/>
          <w:sz w:val="24"/>
          <w:lang w:val="en-US" w:eastAsia="zh-CN"/>
        </w:rPr>
        <w:t>及留学生</w:t>
      </w:r>
      <w:r>
        <w:rPr>
          <w:rFonts w:hint="eastAsia" w:ascii="宋体" w:hAnsi="宋体" w:cs="宋体"/>
          <w:bCs/>
          <w:sz w:val="24"/>
        </w:rPr>
        <w:t>，其中，贯培学生前三年及技校学生为未成年学生。</w:t>
      </w:r>
    </w:p>
    <w:p w14:paraId="1A6BFC15">
      <w:pPr>
        <w:spacing w:line="440" w:lineRule="exact"/>
        <w:ind w:firstLine="240" w:firstLineChars="100"/>
        <w:jc w:val="left"/>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三</w:t>
      </w:r>
      <w:r>
        <w:rPr>
          <w:rFonts w:hint="eastAsia" w:ascii="宋体" w:hAnsi="宋体" w:cs="宋体"/>
          <w:bCs/>
          <w:sz w:val="24"/>
        </w:rPr>
        <w:t>）服务范围：南、北校区</w:t>
      </w:r>
      <w:r>
        <w:rPr>
          <w:rFonts w:hint="eastAsia" w:ascii="宋体" w:hAnsi="宋体" w:cs="宋体"/>
          <w:bCs/>
          <w:sz w:val="24"/>
          <w:lang w:val="en-US" w:eastAsia="zh-CN"/>
        </w:rPr>
        <w:t>5</w:t>
      </w:r>
      <w:r>
        <w:rPr>
          <w:rFonts w:hint="eastAsia" w:ascii="宋体" w:hAnsi="宋体" w:cs="宋体"/>
          <w:bCs/>
          <w:sz w:val="24"/>
        </w:rPr>
        <w:t>栋学生公寓</w:t>
      </w:r>
      <w:r>
        <w:rPr>
          <w:rFonts w:hint="eastAsia" w:ascii="宋体" w:hAnsi="宋体" w:cs="宋体"/>
          <w:bCs/>
          <w:sz w:val="24"/>
          <w:lang w:eastAsia="zh-CN"/>
        </w:rPr>
        <w:t>、</w:t>
      </w:r>
      <w:r>
        <w:rPr>
          <w:rFonts w:hint="eastAsia" w:ascii="宋体" w:hAnsi="宋体" w:cs="宋体"/>
          <w:bCs/>
          <w:sz w:val="24"/>
          <w:lang w:val="en-US" w:eastAsia="zh-CN"/>
        </w:rPr>
        <w:t>博学苑留学生</w:t>
      </w:r>
      <w:r>
        <w:rPr>
          <w:rFonts w:hint="eastAsia" w:ascii="宋体" w:hAnsi="宋体" w:cs="宋体"/>
          <w:bCs/>
          <w:sz w:val="24"/>
        </w:rPr>
        <w:t>日常管理服务。</w:t>
      </w:r>
    </w:p>
    <w:p w14:paraId="2D35825A">
      <w:pPr>
        <w:snapToGrid w:val="0"/>
        <w:spacing w:line="440" w:lineRule="exact"/>
        <w:ind w:firstLine="480" w:firstLineChars="200"/>
        <w:jc w:val="left"/>
        <w:rPr>
          <w:rFonts w:hint="eastAsia" w:ascii="宋体" w:hAnsi="宋体" w:eastAsia="宋体" w:cs="宋体"/>
          <w:bCs/>
          <w:sz w:val="24"/>
          <w:lang w:eastAsia="zh-CN"/>
        </w:rPr>
      </w:pPr>
      <w:r>
        <w:rPr>
          <w:rFonts w:hint="eastAsia" w:ascii="宋体" w:hAnsi="宋体" w:cs="宋体"/>
          <w:bCs/>
          <w:sz w:val="24"/>
        </w:rPr>
        <w:t>南校区：主要包括学生公寓</w:t>
      </w:r>
      <w:r>
        <w:rPr>
          <w:rFonts w:hint="eastAsia" w:ascii="宋体" w:hAnsi="宋体" w:cs="宋体"/>
          <w:bCs/>
          <w:sz w:val="24"/>
          <w:lang w:val="en-US" w:eastAsia="zh-CN"/>
        </w:rPr>
        <w:t>1</w:t>
      </w:r>
      <w:r>
        <w:rPr>
          <w:rFonts w:hint="eastAsia" w:ascii="宋体" w:hAnsi="宋体" w:cs="宋体"/>
          <w:bCs/>
          <w:sz w:val="24"/>
        </w:rPr>
        <w:t>栋，5号楼（男女生混楼），面积2415㎡，89间，可安排约623人住宿</w:t>
      </w:r>
      <w:r>
        <w:rPr>
          <w:rFonts w:hint="eastAsia" w:ascii="宋体" w:hAnsi="宋体" w:cs="宋体"/>
          <w:bCs/>
          <w:sz w:val="24"/>
          <w:lang w:val="en-US" w:eastAsia="zh-CN"/>
        </w:rPr>
        <w:t>；博学苑根据招收留学生人数而定</w:t>
      </w:r>
      <w:r>
        <w:rPr>
          <w:rFonts w:hint="eastAsia" w:ascii="宋体" w:hAnsi="宋体" w:cs="宋体"/>
          <w:bCs/>
          <w:sz w:val="24"/>
          <w:lang w:eastAsia="zh-CN"/>
        </w:rPr>
        <w:t>。</w:t>
      </w:r>
    </w:p>
    <w:p w14:paraId="56CDE0B5">
      <w:pPr>
        <w:spacing w:line="440" w:lineRule="exact"/>
        <w:ind w:firstLine="480" w:firstLineChars="200"/>
        <w:jc w:val="left"/>
        <w:rPr>
          <w:rFonts w:ascii="宋体" w:hAnsi="宋体" w:cs="宋体"/>
          <w:bCs/>
          <w:sz w:val="24"/>
        </w:rPr>
      </w:pPr>
      <w:r>
        <w:rPr>
          <w:rFonts w:hint="eastAsia" w:ascii="宋体" w:hAnsi="宋体" w:cs="宋体"/>
          <w:bCs/>
          <w:sz w:val="24"/>
        </w:rPr>
        <w:t>北校区：主要包括学生公寓4栋，面积约20453㎡，共计489间，可安排约3106人住宿。其中：1号楼（男生）面积3929㎡，66间，可安排约462人住宿；2号楼（男生）面积4078㎡，106间，可安排约742人住宿；3号楼（女生）面积7711㎡，196间，可安排约1176人住宿；4号楼（未成年学生，男女生混楼）面积4735㎡，121间，可安排约726人住宿。</w:t>
      </w:r>
    </w:p>
    <w:p w14:paraId="45C8C263">
      <w:pPr>
        <w:spacing w:line="440" w:lineRule="exact"/>
        <w:ind w:firstLine="240" w:firstLineChars="100"/>
        <w:contextualSpacing/>
        <w:jc w:val="left"/>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四</w:t>
      </w:r>
      <w:r>
        <w:rPr>
          <w:rFonts w:hint="eastAsia" w:ascii="宋体" w:hAnsi="宋体" w:cs="宋体"/>
          <w:bCs/>
          <w:sz w:val="24"/>
        </w:rPr>
        <w:t>）服务地点：北京市朝阳区惠新东街5号（南校区）、北京市昌平区南口路32号（北校区）。</w:t>
      </w:r>
    </w:p>
    <w:p w14:paraId="47262DA4">
      <w:pPr>
        <w:spacing w:line="440" w:lineRule="exact"/>
        <w:jc w:val="left"/>
        <w:rPr>
          <w:rFonts w:ascii="宋体" w:hAnsi="宋体" w:cs="宋体"/>
          <w:b/>
          <w:sz w:val="24"/>
        </w:rPr>
      </w:pPr>
      <w:r>
        <w:rPr>
          <w:rFonts w:hint="eastAsia" w:ascii="宋体" w:hAnsi="宋体" w:cs="宋体"/>
          <w:b/>
          <w:sz w:val="24"/>
        </w:rPr>
        <w:t>二、工作内容</w:t>
      </w:r>
    </w:p>
    <w:p w14:paraId="2D541216">
      <w:pPr>
        <w:pStyle w:val="259"/>
        <w:autoSpaceDE w:val="0"/>
        <w:autoSpaceDN w:val="0"/>
        <w:adjustRightInd w:val="0"/>
        <w:snapToGrid w:val="0"/>
        <w:spacing w:line="440" w:lineRule="exact"/>
        <w:ind w:firstLine="240" w:firstLineChars="100"/>
        <w:jc w:val="left"/>
        <w:rPr>
          <w:rFonts w:ascii="宋体" w:hAnsi="宋体" w:cs="宋体"/>
          <w:bCs/>
          <w:sz w:val="24"/>
          <w:szCs w:val="24"/>
        </w:rPr>
      </w:pPr>
      <w:r>
        <w:rPr>
          <w:rFonts w:hint="eastAsia" w:ascii="宋体" w:hAnsi="宋体" w:cs="宋体"/>
          <w:bCs/>
          <w:sz w:val="24"/>
          <w:szCs w:val="24"/>
        </w:rPr>
        <w:t>（一）住宿服务：主要是指按照二级学院集中、专业集中、班级集中</w:t>
      </w:r>
      <w:r>
        <w:rPr>
          <w:rFonts w:hint="eastAsia" w:ascii="宋体" w:hAnsi="宋体" w:cs="宋体"/>
          <w:bCs/>
          <w:sz w:val="24"/>
          <w:szCs w:val="24"/>
          <w:lang w:eastAsia="zh-CN"/>
        </w:rPr>
        <w:t>、</w:t>
      </w:r>
      <w:r>
        <w:rPr>
          <w:rFonts w:hint="eastAsia" w:ascii="宋体" w:hAnsi="宋体" w:cs="宋体"/>
          <w:bCs/>
          <w:sz w:val="24"/>
          <w:szCs w:val="24"/>
          <w:lang w:val="en-US" w:eastAsia="zh-CN"/>
        </w:rPr>
        <w:t>男女生分楼层</w:t>
      </w:r>
      <w:r>
        <w:rPr>
          <w:rFonts w:hint="eastAsia" w:ascii="宋体" w:hAnsi="宋体" w:cs="宋体"/>
          <w:bCs/>
          <w:sz w:val="24"/>
          <w:szCs w:val="24"/>
        </w:rPr>
        <w:t>的原则做好入住服务、住宿过程服务、退宿服务。入住服务包括依据学校相关部门提供的新老生名单根据宿舍实际住宿资源制定住宿计划及工作预案，住宿新生入住排宿、打扫宿舍及公区卫生，检查设备设施、报修、配合维修，张贴宿舍导引安排表、办理入住手续发钥匙、安排入住；住宿过程服务包括日常生活、内务卫生、基础文明教育及文化建设活动、学生容貌、大型活动组织、素质拓展、升旗仪式、安全管理、住宿调整（含南北校学生因大赛等事项安排的临时住宿）等管理；退宿服务包括办理退宿、配合财务处办理退费手续；学期末按时上报开学前学生公寓楼住宿资源情况。</w:t>
      </w:r>
    </w:p>
    <w:p w14:paraId="223185D1">
      <w:pPr>
        <w:pStyle w:val="259"/>
        <w:autoSpaceDE w:val="0"/>
        <w:autoSpaceDN w:val="0"/>
        <w:adjustRightInd w:val="0"/>
        <w:snapToGrid w:val="0"/>
        <w:spacing w:line="440" w:lineRule="exact"/>
        <w:ind w:firstLine="240" w:firstLineChars="100"/>
        <w:jc w:val="left"/>
        <w:rPr>
          <w:rFonts w:ascii="宋体" w:hAnsi="宋体" w:cs="宋体"/>
          <w:bCs/>
          <w:sz w:val="24"/>
          <w:szCs w:val="24"/>
        </w:rPr>
      </w:pPr>
      <w:r>
        <w:rPr>
          <w:rFonts w:hint="eastAsia" w:ascii="宋体" w:hAnsi="宋体" w:cs="宋体"/>
          <w:bCs/>
          <w:sz w:val="24"/>
          <w:szCs w:val="24"/>
        </w:rPr>
        <w:t>（二）楼内公共区域保洁服务：主要是指公寓内的门厅、楼道、走廊、洗漱间、淋浴间、卫生间、爱心室、辅导员值班室等门窗、地面、墙面、顶面保洁服务工作，做好垃圾分类并及时清运到楼外指定地点。</w:t>
      </w:r>
    </w:p>
    <w:p w14:paraId="3C69567D">
      <w:pPr>
        <w:snapToGrid w:val="0"/>
        <w:spacing w:line="440" w:lineRule="exact"/>
        <w:ind w:firstLine="240" w:firstLineChars="100"/>
        <w:jc w:val="left"/>
        <w:rPr>
          <w:rFonts w:hint="default" w:ascii="宋体" w:hAnsi="宋体" w:eastAsia="宋体" w:cs="宋体"/>
          <w:bCs/>
          <w:sz w:val="24"/>
          <w:lang w:val="en-US" w:eastAsia="zh-CN"/>
        </w:rPr>
      </w:pPr>
      <w:r>
        <w:rPr>
          <w:rFonts w:hint="eastAsia" w:ascii="宋体" w:hAnsi="宋体" w:cs="宋体"/>
          <w:bCs/>
          <w:sz w:val="24"/>
        </w:rPr>
        <w:t>（三）</w:t>
      </w:r>
      <w:r>
        <w:rPr>
          <w:rFonts w:hint="eastAsia" w:ascii="宋体" w:hAnsi="宋体" w:cs="宋体"/>
          <w:bCs/>
          <w:color w:val="auto"/>
          <w:sz w:val="24"/>
          <w:highlight w:val="none"/>
          <w:lang w:val="en-US" w:eastAsia="zh-CN"/>
        </w:rPr>
        <w:t>楼内专项保洁服务：主要是指寒暑期对公寓楼内所有宿舍保洁一次，暑期对宿舍窗帘清洗一次（含拆装）；对公寓楼内所有宿舍窗户玻璃（含内外）、窗框、滑轨清洗一次，此项服务含公共区域。</w:t>
      </w:r>
    </w:p>
    <w:p w14:paraId="2C81B11A">
      <w:pPr>
        <w:snapToGrid w:val="0"/>
        <w:spacing w:line="440" w:lineRule="exact"/>
        <w:ind w:firstLine="240" w:firstLineChars="100"/>
        <w:jc w:val="left"/>
        <w:rPr>
          <w:rFonts w:ascii="宋体" w:hAnsi="宋体" w:cs="宋体"/>
          <w:bCs/>
          <w:sz w:val="24"/>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四</w:t>
      </w:r>
      <w:r>
        <w:rPr>
          <w:rFonts w:hint="eastAsia" w:ascii="宋体" w:hAnsi="宋体" w:cs="宋体"/>
          <w:bCs/>
          <w:sz w:val="24"/>
          <w:highlight w:val="none"/>
          <w:lang w:eastAsia="zh-CN"/>
        </w:rPr>
        <w:t>）</w:t>
      </w:r>
      <w:r>
        <w:rPr>
          <w:rFonts w:hint="eastAsia" w:ascii="宋体" w:hAnsi="宋体" w:cs="宋体"/>
          <w:bCs/>
          <w:sz w:val="24"/>
        </w:rPr>
        <w:t>综合维修巡视上报服务：主要是指公寓楼内所有设备设施的是否正常运行情况的上报，便于及时维修，设备包括：安防系统、消防系统、上下水系统、供暖系统、水控电控及节水节电系统、门禁系统、室内家具、玻璃门窗、吊顶墙壁地面、楼梯扶手、卫生洁具、电器（热水器、微波炉、空调、照明灯具、插座开关等）；楼体结构如墙面、保温墙、承重墙、阳台等基础部位的检查上报；第三方公司放置的洗衣机、自动售货机等设施设备的管理。</w:t>
      </w:r>
    </w:p>
    <w:p w14:paraId="1EFF8040">
      <w:pPr>
        <w:snapToGrid w:val="0"/>
        <w:spacing w:line="440" w:lineRule="exact"/>
        <w:ind w:firstLine="240" w:firstLineChars="100"/>
        <w:jc w:val="left"/>
        <w:rPr>
          <w:rFonts w:ascii="宋体" w:hAnsi="宋体" w:cs="宋体"/>
          <w:bCs/>
          <w:sz w:val="24"/>
        </w:rPr>
      </w:pPr>
      <w:r>
        <w:rPr>
          <w:rFonts w:hint="eastAsia" w:ascii="宋体" w:hAnsi="宋体" w:cs="宋体"/>
          <w:bCs/>
          <w:sz w:val="24"/>
          <w:highlight w:val="none"/>
        </w:rPr>
        <w:t>（</w:t>
      </w:r>
      <w:r>
        <w:rPr>
          <w:rFonts w:hint="eastAsia" w:ascii="宋体" w:hAnsi="宋体" w:cs="宋体"/>
          <w:bCs/>
          <w:sz w:val="24"/>
          <w:highlight w:val="none"/>
          <w:lang w:val="en-US" w:eastAsia="zh-CN"/>
        </w:rPr>
        <w:t>五</w:t>
      </w:r>
      <w:r>
        <w:rPr>
          <w:rFonts w:hint="eastAsia" w:ascii="宋体" w:hAnsi="宋体" w:cs="宋体"/>
          <w:bCs/>
          <w:sz w:val="24"/>
          <w:highlight w:val="none"/>
        </w:rPr>
        <w:t>）</w:t>
      </w:r>
      <w:r>
        <w:rPr>
          <w:rFonts w:hint="eastAsia" w:ascii="宋体" w:hAnsi="宋体" w:cs="宋体"/>
          <w:bCs/>
          <w:sz w:val="24"/>
        </w:rPr>
        <w:t>安全保障及维稳服务：主要是指防火防盗、宿舍治安、转租留宿、控烟控酒、安全检查、卫生防疫、极端天气的防范。防火防盗包括防范火灾事故发生，每月定期对消防设施、设备进行安全检查并有安全检查记录，按要求对管理、服务人员及学生进行安全防范意识教育，制定突发事件的应急预案,并定期进行落实演练；宿舍治安包括加强门口值班管理，制定执行来客登记制度及巡查制度，杜绝闲杂人等进入公寓，防止偷盗事件发生；加强巡视检查多与学生交流沟通，及时发现学生群体的矛盾隐患，杜绝公寓内部发生打架斗殴等治安事件；加强学生用电检查，主要包括乱拉电线、无人充电、使用大功率电器等；加强易燃易爆、剧毒等危险品的检查，主要包括酒精炉、硫酸、火药、仿真枪、管制刀具等；加强宿舍内吸烟、喝酒的检查，一经发现立即没收相关物品，并以文字形式报相关管理部门；加强学生住宿检查，严查夜不归宿及晚归的学生，并及时上报；加强转租留宿管理，主要包括禁止空房间及床位的转租、留宿非学院学生人员住宿及串宿室住宿等；加强宿舍内传销、黄赌毒、邪教等违法行为的管理；加强宿舍内学生商业行为的监督管理；加强宿舍内不能饲养宠物的管理；加强定期组织安全检查的管理，主要包括并配合学校相关部门及其它上级部门的安全检查工作，配合辅导员（班主任、学生事务管理员）进行学生寝室内务、安全检查及评比工作。</w:t>
      </w:r>
    </w:p>
    <w:p w14:paraId="3BA379DF">
      <w:pPr>
        <w:spacing w:line="440" w:lineRule="exact"/>
        <w:ind w:firstLine="240" w:firstLineChars="100"/>
        <w:jc w:val="left"/>
        <w:rPr>
          <w:rFonts w:ascii="宋体" w:hAnsi="宋体" w:cs="宋体"/>
          <w:bCs/>
          <w:sz w:val="24"/>
        </w:rPr>
      </w:pPr>
      <w:r>
        <w:rPr>
          <w:rFonts w:hint="eastAsia" w:ascii="宋体" w:hAnsi="宋体" w:cs="宋体"/>
          <w:bCs/>
          <w:sz w:val="24"/>
          <w:highlight w:val="none"/>
        </w:rPr>
        <w:t>（</w:t>
      </w:r>
      <w:r>
        <w:rPr>
          <w:rFonts w:hint="eastAsia" w:ascii="宋体" w:hAnsi="宋体" w:cs="宋体"/>
          <w:bCs/>
          <w:sz w:val="24"/>
          <w:highlight w:val="none"/>
          <w:lang w:val="en-US" w:eastAsia="zh-CN"/>
        </w:rPr>
        <w:t>六</w:t>
      </w:r>
      <w:r>
        <w:rPr>
          <w:rFonts w:hint="eastAsia" w:ascii="宋体" w:hAnsi="宋体" w:cs="宋体"/>
          <w:bCs/>
          <w:sz w:val="24"/>
          <w:highlight w:val="none"/>
        </w:rPr>
        <w:t>）</w:t>
      </w:r>
      <w:r>
        <w:rPr>
          <w:rFonts w:hint="eastAsia" w:ascii="宋体" w:hAnsi="宋体" w:cs="宋体"/>
          <w:bCs/>
          <w:sz w:val="24"/>
        </w:rPr>
        <w:t>共同管理：配合学校建立学生公寓管理委员会，明确各职能部门对学生公寓齐抓共管的职责；明确各相关职能部门联络人；每学年至少召开两次会议，研究学生公寓建设和管理的重大事项及问题;积极主动配合学工部等相关部门建立“学生自律委员会”，组织学生参与学生公寓的管理与服务工作,信息反馈及处理机制，及时收集、听取和反馈学生的意见和建议,监督学生各项规章制度的执行，积极培养学生自我管理、自我教育、自我服务的能力；特殊学生日常管理服务工作。与保卫、后勤、学生宿舍管理服务中心、辅导员、值班老师，学生自律管理委员会，联合安全大检查工作组构建宿舍安全卫生联动机制。</w:t>
      </w:r>
    </w:p>
    <w:p w14:paraId="46E73CCB">
      <w:pPr>
        <w:snapToGrid w:val="0"/>
        <w:spacing w:line="440" w:lineRule="exact"/>
        <w:ind w:firstLine="480" w:firstLineChars="200"/>
        <w:jc w:val="left"/>
        <w:rPr>
          <w:rFonts w:ascii="宋体" w:hAnsi="宋体" w:cs="宋体"/>
          <w:bCs/>
          <w:sz w:val="24"/>
        </w:rPr>
      </w:pPr>
      <w:r>
        <w:rPr>
          <w:rFonts w:hint="eastAsia" w:ascii="宋体" w:hAnsi="宋体" w:cs="宋体"/>
          <w:bCs/>
          <w:sz w:val="24"/>
          <w:highlight w:val="none"/>
        </w:rPr>
        <w:t>（</w:t>
      </w:r>
      <w:r>
        <w:rPr>
          <w:rFonts w:hint="eastAsia" w:ascii="宋体" w:hAnsi="宋体" w:cs="宋体"/>
          <w:bCs/>
          <w:sz w:val="24"/>
          <w:highlight w:val="none"/>
          <w:lang w:val="en-US" w:eastAsia="zh-CN"/>
        </w:rPr>
        <w:t>七</w:t>
      </w:r>
      <w:r>
        <w:rPr>
          <w:rFonts w:hint="eastAsia" w:ascii="宋体" w:hAnsi="宋体" w:cs="宋体"/>
          <w:bCs/>
          <w:sz w:val="24"/>
          <w:highlight w:val="none"/>
        </w:rPr>
        <w:t>）</w:t>
      </w:r>
      <w:r>
        <w:rPr>
          <w:rFonts w:hint="eastAsia" w:ascii="宋体" w:hAnsi="宋体" w:cs="宋体"/>
          <w:bCs/>
          <w:sz w:val="24"/>
        </w:rPr>
        <w:t>其它服务：主要包括接待临时性的参观等；因学生参加各类活动，需临时住宿安排事宜；北校学生转南校住宿服务；住宿生水补、</w:t>
      </w:r>
      <w:r>
        <w:rPr>
          <w:rFonts w:hint="eastAsia" w:ascii="宋体" w:hAnsi="宋体" w:cs="宋体"/>
          <w:bCs/>
          <w:sz w:val="24"/>
          <w:lang w:val="en-US" w:eastAsia="zh-CN"/>
        </w:rPr>
        <w:t>电补、</w:t>
      </w:r>
      <w:r>
        <w:rPr>
          <w:rFonts w:hint="eastAsia" w:ascii="宋体" w:hAnsi="宋体" w:cs="宋体"/>
          <w:bCs/>
          <w:sz w:val="24"/>
        </w:rPr>
        <w:t>退费、住宿调查等统计、制作表格等；针对学生的实际住宿表现，有建议奖励和处罚的权力；针对疫情常态化管理，依据上级要求制定学生宿舍防疫防控预案及日常预防措施；引导学生按照北京市生活垃圾分类等相关要求进行生活垃圾正确分类投放;门禁、限电、节水系统的使用、日常维护；完成学院交办的其它任务。</w:t>
      </w:r>
    </w:p>
    <w:p w14:paraId="133CD2A9">
      <w:pPr>
        <w:spacing w:line="440" w:lineRule="exact"/>
        <w:jc w:val="left"/>
        <w:rPr>
          <w:rFonts w:ascii="宋体" w:hAnsi="宋体" w:cs="宋体"/>
          <w:b/>
          <w:sz w:val="24"/>
        </w:rPr>
      </w:pPr>
      <w:r>
        <w:rPr>
          <w:rFonts w:hint="eastAsia" w:ascii="宋体" w:hAnsi="宋体" w:cs="宋体"/>
          <w:b/>
          <w:sz w:val="24"/>
        </w:rPr>
        <w:t>三、服务人员</w:t>
      </w:r>
    </w:p>
    <w:p w14:paraId="5064CBAF">
      <w:pPr>
        <w:spacing w:line="440" w:lineRule="exact"/>
        <w:ind w:firstLine="240" w:firstLineChars="100"/>
        <w:jc w:val="left"/>
        <w:rPr>
          <w:rFonts w:ascii="宋体" w:hAnsi="宋体" w:cs="宋体"/>
          <w:sz w:val="24"/>
        </w:rPr>
      </w:pPr>
      <w:r>
        <w:rPr>
          <w:rFonts w:hint="eastAsia" w:ascii="宋体" w:hAnsi="宋体" w:cs="宋体"/>
          <w:sz w:val="24"/>
        </w:rPr>
        <w:t>（一）人员配备</w:t>
      </w:r>
    </w:p>
    <w:p w14:paraId="26443BF8">
      <w:pPr>
        <w:spacing w:line="440" w:lineRule="exact"/>
        <w:ind w:firstLine="480" w:firstLineChars="200"/>
        <w:jc w:val="left"/>
        <w:rPr>
          <w:rFonts w:ascii="宋体" w:hAnsi="宋体" w:cs="宋体"/>
          <w:sz w:val="24"/>
        </w:rPr>
      </w:pPr>
      <w:r>
        <w:rPr>
          <w:rFonts w:hint="eastAsia" w:ascii="宋体" w:hAnsi="宋体" w:cs="宋体"/>
          <w:sz w:val="24"/>
        </w:rPr>
        <w:t>分时段安排人员</w:t>
      </w:r>
      <w:r>
        <w:rPr>
          <w:rFonts w:hint="eastAsia" w:ascii="宋体" w:hAnsi="宋体" w:cs="宋体"/>
          <w:bCs/>
          <w:sz w:val="24"/>
        </w:rPr>
        <w:t>，南</w:t>
      </w:r>
      <w:r>
        <w:rPr>
          <w:rFonts w:ascii="宋体" w:hAnsi="宋体" w:cs="宋体"/>
          <w:bCs/>
          <w:sz w:val="24"/>
        </w:rPr>
        <w:t>北校区人员可调换。</w:t>
      </w:r>
      <w:r>
        <w:rPr>
          <w:rFonts w:hint="eastAsia" w:ascii="宋体" w:hAnsi="宋体" w:cs="宋体"/>
          <w:bCs/>
          <w:sz w:val="24"/>
        </w:rPr>
        <w:t>其中：教学期间不少于39人（南校宿管不少于</w:t>
      </w:r>
      <w:r>
        <w:rPr>
          <w:rFonts w:hint="eastAsia" w:ascii="宋体" w:hAnsi="宋体" w:cs="宋体"/>
          <w:bCs/>
          <w:sz w:val="24"/>
          <w:lang w:val="en-US" w:eastAsia="zh-CN"/>
        </w:rPr>
        <w:t>7</w:t>
      </w:r>
      <w:r>
        <w:rPr>
          <w:rFonts w:hint="eastAsia" w:ascii="宋体" w:hAnsi="宋体" w:cs="宋体"/>
          <w:bCs/>
          <w:sz w:val="24"/>
        </w:rPr>
        <w:t>人，保洁2人；北校宿管不少于2</w:t>
      </w:r>
      <w:r>
        <w:rPr>
          <w:rFonts w:hint="eastAsia" w:ascii="宋体" w:hAnsi="宋体" w:cs="宋体"/>
          <w:bCs/>
          <w:sz w:val="24"/>
          <w:lang w:val="en-US" w:eastAsia="zh-CN"/>
        </w:rPr>
        <w:t>2</w:t>
      </w:r>
      <w:r>
        <w:rPr>
          <w:rFonts w:hint="eastAsia" w:ascii="宋体" w:hAnsi="宋体" w:cs="宋体"/>
          <w:bCs/>
          <w:sz w:val="24"/>
        </w:rPr>
        <w:t>人，保洁8人）；假期不少于1</w:t>
      </w:r>
      <w:r>
        <w:rPr>
          <w:rFonts w:hint="eastAsia" w:ascii="宋体" w:hAnsi="宋体" w:cs="宋体"/>
          <w:bCs/>
          <w:sz w:val="24"/>
          <w:lang w:val="en-US" w:eastAsia="zh-CN"/>
        </w:rPr>
        <w:t>2</w:t>
      </w:r>
      <w:r>
        <w:rPr>
          <w:rFonts w:hint="eastAsia" w:ascii="宋体" w:hAnsi="宋体" w:cs="宋体"/>
          <w:bCs/>
          <w:sz w:val="24"/>
        </w:rPr>
        <w:t>人（南校不少于</w:t>
      </w:r>
      <w:r>
        <w:rPr>
          <w:rFonts w:hint="eastAsia" w:ascii="宋体" w:hAnsi="宋体" w:cs="宋体"/>
          <w:bCs/>
          <w:sz w:val="24"/>
          <w:lang w:val="en-US" w:eastAsia="zh-CN"/>
        </w:rPr>
        <w:t>3</w:t>
      </w:r>
      <w:r>
        <w:rPr>
          <w:rFonts w:hint="eastAsia" w:ascii="宋体" w:hAnsi="宋体" w:cs="宋体"/>
          <w:bCs/>
          <w:sz w:val="24"/>
        </w:rPr>
        <w:t>人，北校不少于9人），详见附件。</w:t>
      </w:r>
    </w:p>
    <w:p w14:paraId="3F8B02AF">
      <w:pPr>
        <w:spacing w:line="520" w:lineRule="exact"/>
        <w:ind w:firstLine="240" w:firstLineChars="100"/>
        <w:rPr>
          <w:rFonts w:ascii="宋体" w:hAnsi="宋体" w:cs="宋体"/>
          <w:sz w:val="24"/>
        </w:rPr>
      </w:pPr>
      <w:r>
        <w:rPr>
          <w:rFonts w:hint="eastAsia" w:ascii="宋体" w:hAnsi="宋体" w:cs="宋体"/>
          <w:sz w:val="24"/>
        </w:rPr>
        <w:t>（二）人员基本要求</w:t>
      </w:r>
    </w:p>
    <w:p w14:paraId="0D21368E">
      <w:pPr>
        <w:spacing w:line="440" w:lineRule="exact"/>
        <w:ind w:firstLine="480" w:firstLineChars="200"/>
        <w:jc w:val="left"/>
        <w:rPr>
          <w:rFonts w:ascii="宋体" w:hAnsi="宋体" w:cs="宋体"/>
          <w:bCs/>
          <w:sz w:val="24"/>
        </w:rPr>
      </w:pPr>
      <w:r>
        <w:rPr>
          <w:rFonts w:hint="eastAsia" w:ascii="宋体" w:hAnsi="宋体" w:cs="宋体"/>
          <w:bCs/>
          <w:sz w:val="24"/>
        </w:rPr>
        <w:t>遵守国家法律法规和学院各项规章制度，熟悉掌握北京市教育委员会关于《北京高校标准化学生公寓（2016版）》验收标准，接受上级部门及学院管理、监督、检查，根据上级指示和要求高标准完成各项任务。</w:t>
      </w:r>
    </w:p>
    <w:p w14:paraId="5CD96D0F">
      <w:pPr>
        <w:spacing w:line="440" w:lineRule="exact"/>
        <w:ind w:firstLine="480" w:firstLineChars="200"/>
        <w:jc w:val="left"/>
        <w:rPr>
          <w:rFonts w:ascii="宋体" w:hAnsi="宋体" w:cs="宋体"/>
          <w:sz w:val="24"/>
        </w:rPr>
      </w:pPr>
      <w:r>
        <w:rPr>
          <w:rFonts w:hint="eastAsia" w:ascii="宋体" w:hAnsi="宋体" w:cs="宋体"/>
          <w:sz w:val="24"/>
        </w:rPr>
        <w:t>项目经理、文员、楼长要求45岁以下，</w:t>
      </w:r>
      <w:r>
        <w:rPr>
          <w:rFonts w:hint="eastAsia" w:ascii="宋体" w:hAnsi="宋体" w:cs="宋体"/>
          <w:bCs/>
          <w:sz w:val="24"/>
        </w:rPr>
        <w:t>身体健康、五官端正，持有效健康证</w:t>
      </w:r>
      <w:r>
        <w:rPr>
          <w:rFonts w:hint="eastAsia" w:ascii="宋体" w:hAnsi="宋体" w:cs="宋体"/>
          <w:sz w:val="24"/>
        </w:rPr>
        <w:t>，具有大专以上文化程度，熟练运用计算机办公。宿管员、保洁员要求</w:t>
      </w:r>
      <w:r>
        <w:rPr>
          <w:rFonts w:hint="eastAsia" w:ascii="宋体" w:hAnsi="宋体" w:cs="宋体"/>
          <w:sz w:val="24"/>
          <w:highlight w:val="none"/>
          <w:lang w:val="en-US" w:eastAsia="zh-CN"/>
        </w:rPr>
        <w:t>48</w:t>
      </w:r>
      <w:r>
        <w:rPr>
          <w:rFonts w:hint="eastAsia" w:ascii="宋体" w:hAnsi="宋体" w:cs="宋体"/>
          <w:sz w:val="24"/>
        </w:rPr>
        <w:t>岁以下不低于</w:t>
      </w:r>
      <w:r>
        <w:rPr>
          <w:rFonts w:hint="eastAsia" w:ascii="宋体" w:hAnsi="宋体" w:cs="宋体"/>
          <w:sz w:val="24"/>
          <w:highlight w:val="none"/>
          <w:lang w:val="en-US" w:eastAsia="zh-CN"/>
        </w:rPr>
        <w:t>6</w:t>
      </w:r>
      <w:r>
        <w:rPr>
          <w:rFonts w:hint="eastAsia" w:ascii="宋体" w:hAnsi="宋体" w:cs="宋体"/>
          <w:sz w:val="24"/>
          <w:highlight w:val="none"/>
        </w:rPr>
        <w:t>0%</w:t>
      </w:r>
      <w:r>
        <w:rPr>
          <w:rFonts w:hint="eastAsia" w:ascii="宋体" w:hAnsi="宋体" w:cs="宋体"/>
          <w:sz w:val="24"/>
        </w:rPr>
        <w:t>，</w:t>
      </w:r>
      <w:r>
        <w:rPr>
          <w:rFonts w:hint="eastAsia" w:ascii="宋体" w:hAnsi="宋体" w:cs="宋体"/>
          <w:sz w:val="24"/>
          <w:highlight w:val="none"/>
          <w:lang w:val="en-US" w:eastAsia="zh-CN"/>
        </w:rPr>
        <w:t>48</w:t>
      </w:r>
      <w:r>
        <w:rPr>
          <w:rFonts w:hint="eastAsia" w:ascii="宋体" w:hAnsi="宋体" w:cs="宋体"/>
          <w:sz w:val="24"/>
        </w:rPr>
        <w:t>岁以上不高于</w:t>
      </w:r>
      <w:r>
        <w:rPr>
          <w:rFonts w:hint="eastAsia" w:ascii="宋体" w:hAnsi="宋体" w:cs="宋体"/>
          <w:sz w:val="24"/>
          <w:highlight w:val="none"/>
          <w:lang w:val="en-US" w:eastAsia="zh-CN"/>
        </w:rPr>
        <w:t>4</w:t>
      </w:r>
      <w:r>
        <w:rPr>
          <w:rFonts w:hint="eastAsia" w:ascii="宋体" w:hAnsi="宋体" w:cs="宋体"/>
          <w:sz w:val="24"/>
          <w:highlight w:val="none"/>
        </w:rPr>
        <w:t>0%</w:t>
      </w:r>
      <w:r>
        <w:rPr>
          <w:rFonts w:hint="eastAsia" w:ascii="宋体" w:hAnsi="宋体" w:cs="宋体"/>
          <w:sz w:val="24"/>
        </w:rPr>
        <w:t>，总体控制男不超过60岁、女不超过55岁，</w:t>
      </w:r>
      <w:r>
        <w:rPr>
          <w:rFonts w:hint="eastAsia" w:ascii="宋体" w:hAnsi="宋体" w:cs="宋体"/>
          <w:bCs/>
          <w:sz w:val="24"/>
        </w:rPr>
        <w:t>身体健康、五官端正，持有效健康证</w:t>
      </w:r>
      <w:r>
        <w:rPr>
          <w:rFonts w:hint="eastAsia" w:ascii="宋体" w:hAnsi="宋体" w:cs="宋体"/>
          <w:sz w:val="24"/>
        </w:rPr>
        <w:t>，具有高中及以上文化程度。具备较强的责任心、具备较强的管理能力、沟通能力，有高校类似工作经历优先。</w:t>
      </w:r>
      <w:r>
        <w:rPr>
          <w:rFonts w:hint="eastAsia" w:ascii="宋体" w:hAnsi="宋体" w:cs="宋体"/>
          <w:bCs/>
          <w:sz w:val="24"/>
        </w:rPr>
        <w:t>按照岗位要求，统一着装，佩戴工牌。管理队伍须保持一定的稳定性，管理员每年流失率不高于百分之二十，不缺岗运行。</w:t>
      </w:r>
    </w:p>
    <w:p w14:paraId="6799B89A">
      <w:pPr>
        <w:spacing w:line="440" w:lineRule="exact"/>
        <w:ind w:firstLine="240" w:firstLineChars="100"/>
        <w:jc w:val="left"/>
        <w:rPr>
          <w:rFonts w:ascii="宋体" w:hAnsi="宋体" w:cs="宋体"/>
          <w:bCs/>
          <w:sz w:val="24"/>
        </w:rPr>
      </w:pPr>
      <w:r>
        <w:rPr>
          <w:rFonts w:hint="eastAsia" w:ascii="宋体" w:hAnsi="宋体" w:cs="宋体"/>
          <w:bCs/>
          <w:sz w:val="24"/>
        </w:rPr>
        <w:t>（三）宿管人员主要职责</w:t>
      </w:r>
    </w:p>
    <w:p w14:paraId="51A87244">
      <w:pPr>
        <w:spacing w:line="440" w:lineRule="exact"/>
        <w:ind w:firstLine="240" w:firstLineChars="100"/>
        <w:jc w:val="left"/>
        <w:rPr>
          <w:rFonts w:ascii="宋体" w:hAnsi="宋体" w:cs="宋体"/>
          <w:b/>
          <w:bCs/>
          <w:kern w:val="0"/>
          <w:sz w:val="24"/>
        </w:rPr>
      </w:pPr>
      <w:r>
        <w:rPr>
          <w:rFonts w:hint="eastAsia" w:ascii="宋体" w:hAnsi="宋体" w:cs="宋体"/>
          <w:bCs/>
          <w:sz w:val="24"/>
        </w:rPr>
        <w:t>1.项目经理岗位职责</w:t>
      </w:r>
    </w:p>
    <w:p w14:paraId="38917B30">
      <w:pPr>
        <w:widowControl/>
        <w:spacing w:line="440" w:lineRule="exact"/>
        <w:jc w:val="left"/>
        <w:rPr>
          <w:rFonts w:ascii="宋体" w:hAnsi="宋体" w:cs="宋体"/>
          <w:sz w:val="24"/>
        </w:rPr>
      </w:pPr>
      <w:r>
        <w:rPr>
          <w:rFonts w:hint="eastAsia" w:ascii="宋体" w:hAnsi="宋体" w:cs="宋体"/>
          <w:kern w:val="0"/>
          <w:sz w:val="24"/>
        </w:rPr>
        <w:t xml:space="preserve">（1）全面负责学生公寓日常管理工作。 </w:t>
      </w:r>
    </w:p>
    <w:p w14:paraId="3E9FBCBA">
      <w:pPr>
        <w:widowControl/>
        <w:spacing w:line="440" w:lineRule="exact"/>
        <w:jc w:val="left"/>
        <w:rPr>
          <w:rFonts w:ascii="宋体" w:hAnsi="宋体" w:cs="宋体"/>
          <w:sz w:val="24"/>
        </w:rPr>
      </w:pPr>
      <w:r>
        <w:rPr>
          <w:rFonts w:hint="eastAsia" w:ascii="宋体" w:hAnsi="宋体" w:cs="宋体"/>
          <w:kern w:val="0"/>
          <w:sz w:val="24"/>
        </w:rPr>
        <w:t xml:space="preserve">（2）负责学生宿舍的住宿安排、床位调整、退费、卫生、安全防范等后勤保障服务工作。 </w:t>
      </w:r>
    </w:p>
    <w:p w14:paraId="7E06059C">
      <w:pPr>
        <w:widowControl/>
        <w:spacing w:line="440" w:lineRule="exact"/>
        <w:jc w:val="left"/>
        <w:rPr>
          <w:rFonts w:ascii="宋体" w:hAnsi="宋体" w:cs="宋体"/>
          <w:sz w:val="24"/>
        </w:rPr>
      </w:pPr>
      <w:r>
        <w:rPr>
          <w:rFonts w:hint="eastAsia" w:ascii="宋体" w:hAnsi="宋体" w:cs="宋体"/>
          <w:kern w:val="0"/>
          <w:sz w:val="24"/>
        </w:rPr>
        <w:t xml:space="preserve">（3）根据实际工作，负责制定和修订公寓内部各项规章制度，制定公寓年度工作计划并组织实施。 </w:t>
      </w:r>
    </w:p>
    <w:p w14:paraId="3F15464E">
      <w:pPr>
        <w:widowControl/>
        <w:spacing w:line="440" w:lineRule="exact"/>
        <w:jc w:val="left"/>
        <w:rPr>
          <w:rFonts w:ascii="宋体" w:hAnsi="宋体" w:cs="宋体"/>
          <w:sz w:val="24"/>
        </w:rPr>
      </w:pPr>
      <w:r>
        <w:rPr>
          <w:rFonts w:hint="eastAsia" w:ascii="宋体" w:hAnsi="宋体" w:cs="宋体"/>
          <w:kern w:val="0"/>
          <w:sz w:val="24"/>
        </w:rPr>
        <w:t xml:space="preserve">（4）经常深入公寓，检查楼长对公寓的管理、卫生、安全及公寓工作落实情况，掌握学生公寓管理和学生宿舍的各种情况，发现问题及时向学院领导及时汇报。 </w:t>
      </w:r>
    </w:p>
    <w:p w14:paraId="0582C4D5">
      <w:pPr>
        <w:widowControl/>
        <w:spacing w:line="440" w:lineRule="exact"/>
        <w:jc w:val="left"/>
        <w:rPr>
          <w:rFonts w:ascii="宋体" w:hAnsi="宋体" w:cs="宋体"/>
          <w:sz w:val="24"/>
        </w:rPr>
      </w:pPr>
      <w:r>
        <w:rPr>
          <w:rFonts w:hint="eastAsia" w:ascii="宋体" w:hAnsi="宋体" w:cs="宋体"/>
          <w:kern w:val="0"/>
          <w:sz w:val="24"/>
        </w:rPr>
        <w:t xml:space="preserve">（5）负责公寓人员的招聘、培训、考核、薪资制定等工作的落实。 </w:t>
      </w:r>
    </w:p>
    <w:p w14:paraId="403FC445">
      <w:pPr>
        <w:widowControl/>
        <w:spacing w:line="440" w:lineRule="exact"/>
        <w:jc w:val="left"/>
        <w:rPr>
          <w:rFonts w:ascii="宋体" w:hAnsi="宋体" w:cs="宋体"/>
          <w:kern w:val="0"/>
          <w:sz w:val="24"/>
        </w:rPr>
      </w:pPr>
      <w:r>
        <w:rPr>
          <w:rFonts w:hint="eastAsia" w:ascii="宋体" w:hAnsi="宋体" w:cs="宋体"/>
          <w:kern w:val="0"/>
          <w:sz w:val="24"/>
        </w:rPr>
        <w:t>（6）负责员工的思想教育工作，树立爱岗敬业，主动服务的意识。</w:t>
      </w:r>
    </w:p>
    <w:p w14:paraId="42DEF2FC">
      <w:pPr>
        <w:widowControl/>
        <w:spacing w:line="440" w:lineRule="exact"/>
        <w:jc w:val="left"/>
        <w:rPr>
          <w:rFonts w:ascii="宋体" w:hAnsi="宋体" w:cs="宋体"/>
          <w:sz w:val="24"/>
        </w:rPr>
      </w:pPr>
      <w:r>
        <w:rPr>
          <w:rFonts w:hint="eastAsia" w:ascii="宋体" w:hAnsi="宋体" w:cs="宋体"/>
          <w:kern w:val="0"/>
          <w:sz w:val="24"/>
        </w:rPr>
        <w:t xml:space="preserve">（7）负责开展文明宿舍评比活动。 </w:t>
      </w:r>
    </w:p>
    <w:p w14:paraId="25944C3D">
      <w:pPr>
        <w:widowControl/>
        <w:spacing w:line="440" w:lineRule="exact"/>
        <w:jc w:val="left"/>
        <w:rPr>
          <w:rFonts w:ascii="宋体" w:hAnsi="宋体" w:cs="宋体"/>
          <w:kern w:val="0"/>
          <w:sz w:val="24"/>
        </w:rPr>
      </w:pPr>
      <w:r>
        <w:rPr>
          <w:rFonts w:hint="eastAsia" w:ascii="宋体" w:hAnsi="宋体" w:cs="宋体"/>
          <w:kern w:val="0"/>
          <w:sz w:val="24"/>
        </w:rPr>
        <w:t xml:space="preserve">（8）完成学院领导及公司领导交办的其他工作任务。 </w:t>
      </w:r>
    </w:p>
    <w:p w14:paraId="7C848776">
      <w:pPr>
        <w:widowControl/>
        <w:spacing w:line="440" w:lineRule="exact"/>
        <w:ind w:firstLine="240" w:firstLineChars="100"/>
        <w:rPr>
          <w:rFonts w:ascii="宋体" w:hAnsi="宋体" w:cs="宋体"/>
          <w:sz w:val="24"/>
        </w:rPr>
      </w:pPr>
      <w:r>
        <w:rPr>
          <w:rFonts w:hint="eastAsia" w:ascii="宋体" w:hAnsi="宋体" w:cs="宋体"/>
          <w:kern w:val="0"/>
          <w:sz w:val="24"/>
        </w:rPr>
        <w:t>2.办公室岗位职责（文员）</w:t>
      </w:r>
    </w:p>
    <w:p w14:paraId="7A27796F">
      <w:pPr>
        <w:widowControl/>
        <w:spacing w:line="440" w:lineRule="exact"/>
        <w:jc w:val="left"/>
        <w:rPr>
          <w:rFonts w:ascii="宋体" w:hAnsi="宋体" w:cs="宋体"/>
          <w:sz w:val="24"/>
        </w:rPr>
      </w:pPr>
      <w:r>
        <w:rPr>
          <w:rFonts w:hint="eastAsia" w:ascii="宋体" w:hAnsi="宋体" w:cs="宋体"/>
          <w:kern w:val="0"/>
          <w:sz w:val="24"/>
        </w:rPr>
        <w:t xml:space="preserve">（1）学生的住宿申请、退宿申请、退费办理。 </w:t>
      </w:r>
    </w:p>
    <w:p w14:paraId="1F360849">
      <w:pPr>
        <w:widowControl/>
        <w:spacing w:line="440" w:lineRule="exact"/>
        <w:jc w:val="left"/>
        <w:rPr>
          <w:rFonts w:ascii="宋体" w:hAnsi="宋体" w:cs="宋体"/>
          <w:sz w:val="24"/>
        </w:rPr>
      </w:pPr>
      <w:r>
        <w:rPr>
          <w:rFonts w:hint="eastAsia" w:ascii="宋体" w:hAnsi="宋体" w:cs="宋体"/>
          <w:kern w:val="0"/>
          <w:sz w:val="24"/>
        </w:rPr>
        <w:t xml:space="preserve">（2）负责排床位、床位调整，住宿情况统计分析工作。 </w:t>
      </w:r>
    </w:p>
    <w:p w14:paraId="0AD4D3EA">
      <w:pPr>
        <w:widowControl/>
        <w:spacing w:line="440" w:lineRule="exact"/>
        <w:jc w:val="left"/>
        <w:rPr>
          <w:rFonts w:ascii="宋体" w:hAnsi="宋体" w:cs="宋体"/>
          <w:kern w:val="0"/>
          <w:sz w:val="24"/>
        </w:rPr>
      </w:pPr>
      <w:r>
        <w:rPr>
          <w:rFonts w:hint="eastAsia" w:ascii="宋体" w:hAnsi="宋体" w:cs="宋体"/>
          <w:kern w:val="0"/>
          <w:sz w:val="24"/>
        </w:rPr>
        <w:t>（3）配合学院做好学生住宿方案调整、毕业生离校、南转北学生住宿调整及新生入住安排服务等工作。</w:t>
      </w:r>
    </w:p>
    <w:p w14:paraId="551790D3">
      <w:pPr>
        <w:widowControl/>
        <w:spacing w:line="440" w:lineRule="exact"/>
        <w:jc w:val="left"/>
        <w:rPr>
          <w:rFonts w:ascii="宋体" w:hAnsi="宋体" w:cs="宋体"/>
          <w:kern w:val="0"/>
          <w:sz w:val="24"/>
        </w:rPr>
      </w:pPr>
      <w:r>
        <w:rPr>
          <w:rFonts w:hint="eastAsia" w:ascii="宋体" w:hAnsi="宋体" w:cs="宋体"/>
          <w:kern w:val="0"/>
          <w:sz w:val="24"/>
        </w:rPr>
        <w:t xml:space="preserve">（4）负责公寓内所需记录表的打印、存档。 </w:t>
      </w:r>
    </w:p>
    <w:p w14:paraId="44A55CC3">
      <w:pPr>
        <w:widowControl/>
        <w:spacing w:line="440" w:lineRule="exact"/>
        <w:jc w:val="left"/>
        <w:rPr>
          <w:rFonts w:ascii="宋体" w:hAnsi="宋体" w:cs="宋体"/>
          <w:kern w:val="0"/>
          <w:sz w:val="24"/>
        </w:rPr>
      </w:pPr>
      <w:r>
        <w:rPr>
          <w:rFonts w:hint="eastAsia" w:ascii="宋体" w:hAnsi="宋体" w:cs="宋体"/>
          <w:kern w:val="0"/>
          <w:sz w:val="24"/>
        </w:rPr>
        <w:t xml:space="preserve">（5）负责日常内务卫生检查，纪律批评。 </w:t>
      </w:r>
    </w:p>
    <w:p w14:paraId="30B1115A">
      <w:pPr>
        <w:widowControl/>
        <w:spacing w:line="440" w:lineRule="exact"/>
        <w:jc w:val="left"/>
        <w:rPr>
          <w:rFonts w:ascii="宋体" w:hAnsi="宋体" w:cs="宋体"/>
          <w:kern w:val="0"/>
          <w:sz w:val="24"/>
        </w:rPr>
      </w:pPr>
      <w:r>
        <w:rPr>
          <w:rFonts w:hint="eastAsia" w:ascii="宋体" w:hAnsi="宋体" w:cs="宋体"/>
          <w:kern w:val="0"/>
          <w:sz w:val="24"/>
        </w:rPr>
        <w:t xml:space="preserve">（6）中午的午值班和楼层巡检。 </w:t>
      </w:r>
    </w:p>
    <w:p w14:paraId="467C0F35">
      <w:pPr>
        <w:widowControl/>
        <w:spacing w:line="440" w:lineRule="exact"/>
        <w:jc w:val="left"/>
        <w:rPr>
          <w:rFonts w:ascii="宋体" w:hAnsi="宋体" w:cs="宋体"/>
          <w:sz w:val="24"/>
        </w:rPr>
      </w:pPr>
      <w:r>
        <w:rPr>
          <w:rFonts w:hint="eastAsia" w:ascii="宋体" w:hAnsi="宋体" w:cs="宋体"/>
          <w:kern w:val="0"/>
          <w:sz w:val="24"/>
        </w:rPr>
        <w:t xml:space="preserve">（7）按日、周、月、学期统计上报住宿学生违规违纪情况，并存档。 </w:t>
      </w:r>
    </w:p>
    <w:p w14:paraId="7CDCB11F">
      <w:pPr>
        <w:widowControl/>
        <w:spacing w:line="440" w:lineRule="exact"/>
        <w:jc w:val="left"/>
        <w:rPr>
          <w:rFonts w:ascii="宋体" w:hAnsi="宋体" w:cs="宋体"/>
          <w:sz w:val="24"/>
        </w:rPr>
      </w:pPr>
      <w:r>
        <w:rPr>
          <w:rFonts w:hint="eastAsia" w:ascii="宋体" w:hAnsi="宋体" w:cs="宋体"/>
          <w:kern w:val="0"/>
          <w:sz w:val="24"/>
        </w:rPr>
        <w:t xml:space="preserve">（8）起草、打印并下发通知材料。 </w:t>
      </w:r>
    </w:p>
    <w:p w14:paraId="4148249D">
      <w:pPr>
        <w:widowControl/>
        <w:spacing w:line="440" w:lineRule="exact"/>
        <w:jc w:val="left"/>
        <w:rPr>
          <w:rFonts w:ascii="宋体" w:hAnsi="宋体" w:cs="宋体"/>
          <w:sz w:val="24"/>
        </w:rPr>
      </w:pPr>
      <w:r>
        <w:rPr>
          <w:rFonts w:hint="eastAsia" w:ascii="宋体" w:hAnsi="宋体" w:cs="宋体"/>
          <w:kern w:val="0"/>
          <w:sz w:val="24"/>
        </w:rPr>
        <w:t xml:space="preserve">（9）做好办公室内勤，搞好接待和日常管理工作。 </w:t>
      </w:r>
    </w:p>
    <w:p w14:paraId="36B7851F">
      <w:pPr>
        <w:widowControl/>
        <w:spacing w:line="440" w:lineRule="exact"/>
        <w:jc w:val="left"/>
        <w:rPr>
          <w:rFonts w:ascii="宋体" w:hAnsi="宋体" w:cs="宋体"/>
          <w:sz w:val="24"/>
        </w:rPr>
      </w:pPr>
      <w:r>
        <w:rPr>
          <w:rFonts w:hint="eastAsia" w:ascii="宋体" w:hAnsi="宋体" w:cs="宋体"/>
          <w:kern w:val="0"/>
          <w:sz w:val="24"/>
        </w:rPr>
        <w:t xml:space="preserve">（10）制定学期计划和总结。 </w:t>
      </w:r>
    </w:p>
    <w:p w14:paraId="28A3E9C4">
      <w:pPr>
        <w:widowControl/>
        <w:spacing w:line="440" w:lineRule="exact"/>
        <w:jc w:val="left"/>
        <w:rPr>
          <w:rFonts w:ascii="宋体" w:hAnsi="宋体" w:cs="宋体"/>
          <w:sz w:val="24"/>
        </w:rPr>
      </w:pPr>
      <w:r>
        <w:rPr>
          <w:rFonts w:hint="eastAsia" w:ascii="宋体" w:hAnsi="宋体" w:cs="宋体"/>
          <w:kern w:val="0"/>
          <w:sz w:val="24"/>
        </w:rPr>
        <w:t xml:space="preserve">（11）负责公寓内文化宣传活动开展。 </w:t>
      </w:r>
    </w:p>
    <w:p w14:paraId="37E06838">
      <w:pPr>
        <w:widowControl/>
        <w:spacing w:line="440" w:lineRule="exact"/>
        <w:jc w:val="left"/>
        <w:rPr>
          <w:rFonts w:ascii="宋体" w:hAnsi="宋体" w:cs="宋体"/>
          <w:sz w:val="24"/>
        </w:rPr>
      </w:pPr>
      <w:r>
        <w:rPr>
          <w:rFonts w:hint="eastAsia" w:ascii="宋体" w:hAnsi="宋体" w:cs="宋体"/>
          <w:kern w:val="0"/>
          <w:sz w:val="24"/>
        </w:rPr>
        <w:t xml:space="preserve">（12）修改完善学生公寓工作手册。 </w:t>
      </w:r>
    </w:p>
    <w:p w14:paraId="3EBC1145">
      <w:pPr>
        <w:widowControl/>
        <w:spacing w:line="440" w:lineRule="exact"/>
        <w:jc w:val="left"/>
        <w:rPr>
          <w:rFonts w:ascii="宋体" w:hAnsi="宋体" w:cs="宋体"/>
          <w:sz w:val="24"/>
        </w:rPr>
      </w:pPr>
      <w:r>
        <w:rPr>
          <w:rFonts w:hint="eastAsia" w:ascii="宋体" w:hAnsi="宋体" w:cs="宋体"/>
          <w:kern w:val="0"/>
          <w:sz w:val="24"/>
        </w:rPr>
        <w:t xml:space="preserve">（13）学期初组织宿管员培训，定期组织宿管员学习。 </w:t>
      </w:r>
    </w:p>
    <w:p w14:paraId="5A539015">
      <w:pPr>
        <w:widowControl/>
        <w:spacing w:line="440" w:lineRule="exact"/>
        <w:jc w:val="left"/>
        <w:rPr>
          <w:rFonts w:ascii="宋体" w:hAnsi="宋体" w:cs="宋体"/>
          <w:sz w:val="24"/>
        </w:rPr>
      </w:pPr>
      <w:r>
        <w:rPr>
          <w:rFonts w:hint="eastAsia" w:ascii="宋体" w:hAnsi="宋体" w:cs="宋体"/>
          <w:kern w:val="0"/>
          <w:sz w:val="24"/>
        </w:rPr>
        <w:t xml:space="preserve">（14）会议记录、整理、存档。 </w:t>
      </w:r>
    </w:p>
    <w:p w14:paraId="4BDDF4F6">
      <w:pPr>
        <w:widowControl/>
        <w:spacing w:line="440" w:lineRule="exact"/>
        <w:jc w:val="left"/>
        <w:rPr>
          <w:rFonts w:ascii="宋体" w:hAnsi="宋体" w:cs="宋体"/>
          <w:sz w:val="24"/>
        </w:rPr>
      </w:pPr>
      <w:r>
        <w:rPr>
          <w:rFonts w:hint="eastAsia" w:ascii="宋体" w:hAnsi="宋体" w:cs="宋体"/>
          <w:kern w:val="0"/>
          <w:sz w:val="24"/>
        </w:rPr>
        <w:t xml:space="preserve">（15）制定迎新、安全、防疫等各项预案，组织参加学校的安全演习及具体分工。 </w:t>
      </w:r>
    </w:p>
    <w:p w14:paraId="3EFB03AE">
      <w:pPr>
        <w:widowControl/>
        <w:spacing w:line="440" w:lineRule="exact"/>
        <w:jc w:val="left"/>
        <w:rPr>
          <w:rFonts w:ascii="宋体" w:hAnsi="宋体" w:cs="宋体"/>
          <w:sz w:val="24"/>
        </w:rPr>
      </w:pPr>
      <w:r>
        <w:rPr>
          <w:rFonts w:hint="eastAsia" w:ascii="宋体" w:hAnsi="宋体" w:cs="宋体"/>
          <w:kern w:val="0"/>
          <w:sz w:val="24"/>
        </w:rPr>
        <w:t xml:space="preserve">（16）负责按日、周、月统计上报公寓安全卫生检查情况，并存档。 </w:t>
      </w:r>
    </w:p>
    <w:p w14:paraId="23044C9C">
      <w:pPr>
        <w:widowControl/>
        <w:spacing w:line="440" w:lineRule="exact"/>
        <w:jc w:val="left"/>
        <w:rPr>
          <w:rFonts w:ascii="宋体" w:hAnsi="宋体" w:cs="宋体"/>
          <w:sz w:val="24"/>
        </w:rPr>
      </w:pPr>
      <w:r>
        <w:rPr>
          <w:rFonts w:hint="eastAsia" w:ascii="宋体" w:hAnsi="宋体" w:cs="宋体"/>
          <w:kern w:val="0"/>
          <w:sz w:val="24"/>
        </w:rPr>
        <w:t>（17）负责每月达标创优宿舍评选、公示工作。</w:t>
      </w:r>
    </w:p>
    <w:p w14:paraId="2DEF1E47">
      <w:pPr>
        <w:widowControl/>
        <w:spacing w:line="440" w:lineRule="exact"/>
        <w:jc w:val="left"/>
        <w:rPr>
          <w:rFonts w:ascii="宋体" w:hAnsi="宋体" w:cs="宋体"/>
          <w:sz w:val="24"/>
        </w:rPr>
      </w:pPr>
      <w:r>
        <w:rPr>
          <w:rFonts w:hint="eastAsia" w:ascii="宋体" w:hAnsi="宋体" w:cs="宋体"/>
          <w:kern w:val="0"/>
          <w:sz w:val="24"/>
        </w:rPr>
        <w:t xml:space="preserve">（18）负责公寓固定资产保管、清查及登账。 </w:t>
      </w:r>
    </w:p>
    <w:p w14:paraId="5035D3D8">
      <w:pPr>
        <w:widowControl/>
        <w:spacing w:line="440" w:lineRule="exact"/>
        <w:jc w:val="left"/>
        <w:rPr>
          <w:rFonts w:ascii="宋体" w:hAnsi="宋体" w:cs="宋体"/>
          <w:sz w:val="24"/>
        </w:rPr>
      </w:pPr>
      <w:r>
        <w:rPr>
          <w:rFonts w:hint="eastAsia" w:ascii="宋体" w:hAnsi="宋体" w:cs="宋体"/>
          <w:kern w:val="0"/>
          <w:sz w:val="24"/>
        </w:rPr>
        <w:t xml:space="preserve">（19）门禁系统、监控系统、电控系统、消防系统、水控系统的巡检。 </w:t>
      </w:r>
    </w:p>
    <w:p w14:paraId="37C53B6E">
      <w:pPr>
        <w:widowControl/>
        <w:spacing w:line="440" w:lineRule="exact"/>
        <w:jc w:val="left"/>
        <w:rPr>
          <w:rFonts w:ascii="宋体" w:hAnsi="宋体" w:cs="宋体"/>
          <w:sz w:val="24"/>
        </w:rPr>
      </w:pPr>
      <w:r>
        <w:rPr>
          <w:rFonts w:hint="eastAsia" w:ascii="宋体" w:hAnsi="宋体" w:cs="宋体"/>
          <w:kern w:val="0"/>
          <w:sz w:val="24"/>
        </w:rPr>
        <w:t xml:space="preserve">（20负责监督检查公区卫生打扫及记录情况。 </w:t>
      </w:r>
    </w:p>
    <w:p w14:paraId="67DB4CBD">
      <w:pPr>
        <w:widowControl/>
        <w:spacing w:line="440" w:lineRule="exact"/>
        <w:jc w:val="left"/>
        <w:rPr>
          <w:rFonts w:ascii="宋体" w:hAnsi="宋体" w:cs="宋体"/>
          <w:kern w:val="0"/>
          <w:sz w:val="24"/>
        </w:rPr>
      </w:pPr>
      <w:r>
        <w:rPr>
          <w:rFonts w:hint="eastAsia" w:ascii="宋体" w:hAnsi="宋体" w:cs="宋体"/>
          <w:kern w:val="0"/>
          <w:sz w:val="24"/>
        </w:rPr>
        <w:t>（21）收集、整理宿管员工作总结或案例分析。</w:t>
      </w:r>
    </w:p>
    <w:p w14:paraId="686F90DC">
      <w:pPr>
        <w:widowControl/>
        <w:spacing w:line="440" w:lineRule="exact"/>
        <w:jc w:val="left"/>
        <w:rPr>
          <w:rFonts w:ascii="宋体" w:hAnsi="宋体" w:cs="宋体"/>
          <w:kern w:val="0"/>
          <w:sz w:val="24"/>
        </w:rPr>
      </w:pPr>
      <w:r>
        <w:rPr>
          <w:rFonts w:hint="eastAsia" w:ascii="宋体" w:hAnsi="宋体" w:cs="宋体"/>
          <w:kern w:val="0"/>
          <w:sz w:val="24"/>
        </w:rPr>
        <w:t xml:space="preserve">（22）完成学院领导及公司领导交办的其他工作任务。 </w:t>
      </w:r>
    </w:p>
    <w:p w14:paraId="34777BFC">
      <w:pPr>
        <w:widowControl/>
        <w:spacing w:line="440" w:lineRule="exact"/>
        <w:ind w:firstLine="240" w:firstLineChars="100"/>
        <w:rPr>
          <w:rFonts w:ascii="宋体" w:hAnsi="宋体" w:cs="宋体"/>
          <w:sz w:val="24"/>
        </w:rPr>
      </w:pPr>
      <w:r>
        <w:rPr>
          <w:rFonts w:hint="eastAsia" w:ascii="宋体" w:hAnsi="宋体" w:cs="宋体"/>
          <w:kern w:val="0"/>
          <w:sz w:val="24"/>
        </w:rPr>
        <w:t>3.楼长岗位职责</w:t>
      </w:r>
    </w:p>
    <w:p w14:paraId="5B7B81E1">
      <w:pPr>
        <w:widowControl/>
        <w:spacing w:line="440" w:lineRule="exact"/>
        <w:jc w:val="left"/>
        <w:rPr>
          <w:rFonts w:ascii="宋体" w:hAnsi="宋体" w:cs="宋体"/>
          <w:sz w:val="24"/>
        </w:rPr>
      </w:pPr>
      <w:r>
        <w:rPr>
          <w:rFonts w:hint="eastAsia" w:ascii="宋体" w:hAnsi="宋体" w:cs="宋体"/>
          <w:kern w:val="0"/>
          <w:sz w:val="24"/>
        </w:rPr>
        <w:t xml:space="preserve">（1）组织和引导本楼学生开展各项活动，发挥学生的各项潜能，培养学生良好的住宿习惯，同时做好板报宣传工作，表扬好人好事。 </w:t>
      </w:r>
    </w:p>
    <w:p w14:paraId="1357F59F">
      <w:pPr>
        <w:widowControl/>
        <w:spacing w:line="440" w:lineRule="exact"/>
        <w:jc w:val="left"/>
        <w:rPr>
          <w:rFonts w:ascii="宋体" w:hAnsi="宋体" w:cs="宋体"/>
          <w:sz w:val="24"/>
        </w:rPr>
      </w:pPr>
      <w:r>
        <w:rPr>
          <w:rFonts w:hint="eastAsia" w:ascii="宋体" w:hAnsi="宋体" w:cs="宋体"/>
          <w:kern w:val="0"/>
          <w:sz w:val="24"/>
        </w:rPr>
        <w:t xml:space="preserve">（2）巡检各层宿舍，督促学生按时就寝，杜绝大声喧哗等不文明行为和违纪现象。做好夜间各楼层巡检工作，特别是各层消防通道是否畅通，一层门窗是否关闭锁好，夜间宿舍楼外围布控，消除事故隐患。 </w:t>
      </w:r>
    </w:p>
    <w:p w14:paraId="5C768A75">
      <w:pPr>
        <w:widowControl/>
        <w:spacing w:line="440" w:lineRule="exact"/>
        <w:jc w:val="left"/>
        <w:rPr>
          <w:rFonts w:ascii="宋体" w:hAnsi="宋体" w:cs="宋体"/>
          <w:sz w:val="24"/>
        </w:rPr>
      </w:pPr>
      <w:r>
        <w:rPr>
          <w:rFonts w:hint="eastAsia" w:ascii="宋体" w:hAnsi="宋体" w:cs="宋体"/>
          <w:kern w:val="0"/>
          <w:sz w:val="24"/>
        </w:rPr>
        <w:t xml:space="preserve">（3）抓好公寓公共卫生和宿舍内务卫生工作，并进行督促、检查、评比。 </w:t>
      </w:r>
    </w:p>
    <w:p w14:paraId="518AFD0C">
      <w:pPr>
        <w:widowControl/>
        <w:spacing w:line="440" w:lineRule="exact"/>
        <w:jc w:val="left"/>
        <w:rPr>
          <w:rFonts w:ascii="宋体" w:hAnsi="宋体" w:cs="宋体"/>
          <w:sz w:val="24"/>
        </w:rPr>
      </w:pPr>
      <w:r>
        <w:rPr>
          <w:rFonts w:hint="eastAsia" w:ascii="宋体" w:hAnsi="宋体" w:cs="宋体"/>
          <w:kern w:val="0"/>
          <w:sz w:val="24"/>
        </w:rPr>
        <w:t xml:space="preserve">（4）确保全楼的水、电、空调、门窗以及其他设备、设施的正常使用，有损坏的及时报修、维修、落实工作。 </w:t>
      </w:r>
    </w:p>
    <w:p w14:paraId="3A49B09C">
      <w:pPr>
        <w:widowControl/>
        <w:spacing w:line="440" w:lineRule="exact"/>
        <w:jc w:val="left"/>
        <w:rPr>
          <w:rFonts w:ascii="宋体" w:hAnsi="宋体" w:cs="宋体"/>
          <w:sz w:val="24"/>
        </w:rPr>
      </w:pPr>
      <w:r>
        <w:rPr>
          <w:rFonts w:hint="eastAsia" w:ascii="宋体" w:hAnsi="宋体" w:cs="宋体"/>
          <w:kern w:val="0"/>
          <w:sz w:val="24"/>
        </w:rPr>
        <w:t xml:space="preserve">（5）负责安全管理工作，定期检查公寓的安全设施（门，通道，指示灯，指示标，监控，电闸箱，手电，喇叭，应急灯，吹风室等各种电器）和消防器 材、抽查学生宿舍内的违禁用品（体育器械，牌类，棋类，易燃易爆，刀 具等），消除安全隐患。 </w:t>
      </w:r>
    </w:p>
    <w:p w14:paraId="3D02FF28">
      <w:pPr>
        <w:widowControl/>
        <w:spacing w:line="440" w:lineRule="exact"/>
        <w:jc w:val="left"/>
        <w:rPr>
          <w:rFonts w:ascii="宋体" w:hAnsi="宋体" w:cs="宋体"/>
          <w:sz w:val="24"/>
        </w:rPr>
      </w:pPr>
      <w:r>
        <w:rPr>
          <w:rFonts w:hint="eastAsia" w:ascii="宋体" w:hAnsi="宋体" w:cs="宋体"/>
          <w:kern w:val="0"/>
          <w:sz w:val="24"/>
        </w:rPr>
        <w:t xml:space="preserve">（6）做好夜间值班工作，处理好公寓的突发事件。如发生突发事件，及时第一时间到现场处理，并向公寓负责人汇报情况。 </w:t>
      </w:r>
    </w:p>
    <w:p w14:paraId="08D773DF">
      <w:pPr>
        <w:widowControl/>
        <w:spacing w:line="440" w:lineRule="exact"/>
        <w:jc w:val="left"/>
        <w:rPr>
          <w:rFonts w:ascii="宋体" w:hAnsi="宋体" w:cs="宋体"/>
          <w:sz w:val="24"/>
        </w:rPr>
      </w:pPr>
      <w:r>
        <w:rPr>
          <w:rFonts w:hint="eastAsia" w:ascii="宋体" w:hAnsi="宋体" w:cs="宋体"/>
          <w:kern w:val="0"/>
          <w:sz w:val="24"/>
        </w:rPr>
        <w:t xml:space="preserve">（7）统筹管理本栋楼的各项工作，提高成员凝聚力，保证楼层各项工作顺利开展和实施，并做好工作计划、总结和反馈工作，及时总结本楼工作中成功与失败的案例。 </w:t>
      </w:r>
    </w:p>
    <w:p w14:paraId="21D494D3">
      <w:pPr>
        <w:widowControl/>
        <w:spacing w:line="440" w:lineRule="exact"/>
        <w:jc w:val="left"/>
        <w:rPr>
          <w:rFonts w:ascii="宋体" w:hAnsi="宋体" w:cs="宋体"/>
          <w:sz w:val="24"/>
        </w:rPr>
      </w:pPr>
      <w:r>
        <w:rPr>
          <w:rFonts w:hint="eastAsia" w:ascii="宋体" w:hAnsi="宋体" w:cs="宋体"/>
          <w:kern w:val="0"/>
          <w:sz w:val="24"/>
        </w:rPr>
        <w:t xml:space="preserve">（8）协助层长、公寓办公室处理学生违纪行为。作好日常工作的记录，完成公寓办公室交给的临时任务。 </w:t>
      </w:r>
    </w:p>
    <w:p w14:paraId="33AD72B1">
      <w:pPr>
        <w:widowControl/>
        <w:spacing w:line="440" w:lineRule="exact"/>
        <w:jc w:val="left"/>
        <w:rPr>
          <w:rFonts w:ascii="宋体" w:hAnsi="宋体" w:cs="宋体"/>
          <w:kern w:val="0"/>
          <w:sz w:val="24"/>
        </w:rPr>
      </w:pPr>
      <w:r>
        <w:rPr>
          <w:rFonts w:hint="eastAsia" w:ascii="宋体" w:hAnsi="宋体" w:cs="宋体"/>
          <w:kern w:val="0"/>
          <w:sz w:val="24"/>
        </w:rPr>
        <w:t>（9）值班宿管员与学生同住学生公寓，提供全天服务。</w:t>
      </w:r>
    </w:p>
    <w:p w14:paraId="72053DF2">
      <w:pPr>
        <w:widowControl/>
        <w:spacing w:line="440" w:lineRule="exact"/>
        <w:jc w:val="left"/>
        <w:rPr>
          <w:rFonts w:ascii="宋体" w:hAnsi="宋体" w:cs="宋体"/>
          <w:b/>
          <w:bCs/>
          <w:kern w:val="0"/>
          <w:sz w:val="24"/>
        </w:rPr>
      </w:pPr>
      <w:r>
        <w:rPr>
          <w:rFonts w:hint="eastAsia" w:ascii="宋体" w:hAnsi="宋体" w:cs="宋体"/>
          <w:kern w:val="0"/>
          <w:sz w:val="24"/>
        </w:rPr>
        <w:t xml:space="preserve">（10）完成学院领导及公司领导交办的其他工作任务。 </w:t>
      </w:r>
    </w:p>
    <w:p w14:paraId="59BE2EF3">
      <w:pPr>
        <w:widowControl/>
        <w:spacing w:line="440" w:lineRule="exact"/>
        <w:ind w:firstLine="240" w:firstLineChars="100"/>
        <w:rPr>
          <w:rFonts w:ascii="宋体" w:hAnsi="宋体" w:cs="宋体"/>
          <w:kern w:val="0"/>
          <w:sz w:val="24"/>
        </w:rPr>
      </w:pPr>
      <w:r>
        <w:rPr>
          <w:rFonts w:hint="eastAsia" w:ascii="宋体" w:hAnsi="宋体" w:cs="宋体"/>
          <w:kern w:val="0"/>
          <w:sz w:val="24"/>
        </w:rPr>
        <w:t>4.夜班宿管员岗位职责</w:t>
      </w:r>
    </w:p>
    <w:p w14:paraId="3BBE778F">
      <w:pPr>
        <w:widowControl/>
        <w:spacing w:line="440" w:lineRule="exact"/>
        <w:jc w:val="left"/>
        <w:rPr>
          <w:rFonts w:ascii="宋体" w:hAnsi="宋体" w:cs="宋体"/>
          <w:kern w:val="0"/>
          <w:sz w:val="24"/>
        </w:rPr>
      </w:pPr>
      <w:r>
        <w:rPr>
          <w:rFonts w:hint="eastAsia" w:ascii="宋体" w:hAnsi="宋体" w:cs="宋体"/>
          <w:kern w:val="0"/>
          <w:sz w:val="24"/>
        </w:rPr>
        <w:t xml:space="preserve">（1）做好学生入住前的宿舍清理工作。 </w:t>
      </w:r>
    </w:p>
    <w:p w14:paraId="409C021F">
      <w:pPr>
        <w:widowControl/>
        <w:spacing w:line="440" w:lineRule="exact"/>
        <w:jc w:val="left"/>
        <w:rPr>
          <w:rFonts w:ascii="宋体" w:hAnsi="宋体" w:cs="宋体"/>
          <w:sz w:val="24"/>
        </w:rPr>
      </w:pPr>
      <w:r>
        <w:rPr>
          <w:rFonts w:hint="eastAsia" w:ascii="宋体" w:hAnsi="宋体" w:cs="宋体"/>
          <w:kern w:val="0"/>
          <w:sz w:val="24"/>
        </w:rPr>
        <w:t xml:space="preserve">（2）开学初掌握住宿学生床位表，准备《温馨提示单》、《个人信息表》、《住宿协议》、《住宿安全承诺书》、《入住指南》等各项资料。 </w:t>
      </w:r>
    </w:p>
    <w:p w14:paraId="71A44118">
      <w:pPr>
        <w:widowControl/>
        <w:spacing w:line="440" w:lineRule="exact"/>
        <w:jc w:val="left"/>
        <w:rPr>
          <w:rFonts w:ascii="宋体" w:hAnsi="宋体" w:cs="宋体"/>
          <w:sz w:val="24"/>
        </w:rPr>
      </w:pPr>
      <w:r>
        <w:rPr>
          <w:rFonts w:hint="eastAsia" w:ascii="宋体" w:hAnsi="宋体" w:cs="宋体"/>
          <w:kern w:val="0"/>
          <w:sz w:val="24"/>
        </w:rPr>
        <w:t xml:space="preserve">（3）开学一个月内，宿管员需要掌握所辖宿舍的学生信息，并考核。 </w:t>
      </w:r>
    </w:p>
    <w:p w14:paraId="3314D013">
      <w:pPr>
        <w:widowControl/>
        <w:spacing w:line="440" w:lineRule="exact"/>
        <w:jc w:val="left"/>
        <w:rPr>
          <w:rFonts w:ascii="宋体" w:hAnsi="宋体" w:cs="宋体"/>
          <w:sz w:val="24"/>
        </w:rPr>
      </w:pPr>
      <w:r>
        <w:rPr>
          <w:rFonts w:hint="eastAsia" w:ascii="宋体" w:hAnsi="宋体" w:cs="宋体"/>
          <w:kern w:val="0"/>
          <w:sz w:val="24"/>
        </w:rPr>
        <w:t xml:space="preserve">（4）做好熄灯前后的巡视、督查，及纪律检查工作。 </w:t>
      </w:r>
    </w:p>
    <w:p w14:paraId="339B106A">
      <w:pPr>
        <w:widowControl/>
        <w:spacing w:line="440" w:lineRule="exact"/>
        <w:jc w:val="left"/>
        <w:rPr>
          <w:rFonts w:ascii="宋体" w:hAnsi="宋体" w:cs="宋体"/>
          <w:sz w:val="24"/>
        </w:rPr>
      </w:pPr>
      <w:r>
        <w:rPr>
          <w:rFonts w:hint="eastAsia" w:ascii="宋体" w:hAnsi="宋体" w:cs="宋体"/>
          <w:kern w:val="0"/>
          <w:sz w:val="24"/>
        </w:rPr>
        <w:t xml:space="preserve">（5）负责宿舍的安全、纪律和卫生的管理，每天深入宿舍清点人数并上报办公室，督促学生按时休息，解决出现的各种问题，做好记录。 </w:t>
      </w:r>
    </w:p>
    <w:p w14:paraId="03749678">
      <w:pPr>
        <w:widowControl/>
        <w:spacing w:line="440" w:lineRule="exact"/>
        <w:jc w:val="left"/>
        <w:rPr>
          <w:rFonts w:ascii="宋体" w:hAnsi="宋体" w:cs="宋体"/>
          <w:sz w:val="24"/>
        </w:rPr>
      </w:pPr>
      <w:r>
        <w:rPr>
          <w:rFonts w:hint="eastAsia" w:ascii="宋体" w:hAnsi="宋体" w:cs="宋体"/>
          <w:kern w:val="0"/>
          <w:sz w:val="24"/>
        </w:rPr>
        <w:t xml:space="preserve">（6）教育学生自觉遵守《住宿一日生活规范》和《住宿安全管理规定》，自觉维护宿舍秩序。 </w:t>
      </w:r>
    </w:p>
    <w:p w14:paraId="58F0E280">
      <w:pPr>
        <w:widowControl/>
        <w:spacing w:line="440" w:lineRule="exact"/>
        <w:jc w:val="left"/>
        <w:rPr>
          <w:rFonts w:ascii="宋体" w:hAnsi="宋体" w:cs="宋体"/>
          <w:sz w:val="24"/>
        </w:rPr>
      </w:pPr>
      <w:r>
        <w:rPr>
          <w:rFonts w:hint="eastAsia" w:ascii="宋体" w:hAnsi="宋体" w:cs="宋体"/>
          <w:kern w:val="0"/>
          <w:sz w:val="24"/>
        </w:rPr>
        <w:t>（7）对学生宿舍中的困难、生病或突发事件，视视情节及时通知值班老师。</w:t>
      </w:r>
    </w:p>
    <w:p w14:paraId="11920B01">
      <w:pPr>
        <w:widowControl/>
        <w:spacing w:line="440" w:lineRule="exact"/>
        <w:jc w:val="left"/>
        <w:rPr>
          <w:rFonts w:ascii="宋体" w:hAnsi="宋体" w:cs="宋体"/>
          <w:sz w:val="24"/>
        </w:rPr>
      </w:pPr>
      <w:r>
        <w:rPr>
          <w:rFonts w:hint="eastAsia" w:ascii="宋体" w:hAnsi="宋体" w:cs="宋体"/>
          <w:kern w:val="0"/>
          <w:sz w:val="24"/>
        </w:rPr>
        <w:t xml:space="preserve">（8）早上督促学生按时离宿，做好房间的卫生检查评比工作。 </w:t>
      </w:r>
    </w:p>
    <w:p w14:paraId="5197BC95">
      <w:pPr>
        <w:widowControl/>
        <w:spacing w:line="440" w:lineRule="exact"/>
        <w:jc w:val="left"/>
        <w:rPr>
          <w:rFonts w:ascii="宋体" w:hAnsi="宋体" w:cs="宋体"/>
          <w:kern w:val="0"/>
          <w:sz w:val="24"/>
        </w:rPr>
      </w:pPr>
      <w:r>
        <w:rPr>
          <w:rFonts w:hint="eastAsia" w:ascii="宋体" w:hAnsi="宋体" w:cs="宋体"/>
          <w:kern w:val="0"/>
          <w:sz w:val="24"/>
        </w:rPr>
        <w:t>（9）遵守各项规章制度，工作期间不准擅自离岗，不做与工作无关的事情。</w:t>
      </w:r>
    </w:p>
    <w:p w14:paraId="07D1C631">
      <w:pPr>
        <w:widowControl/>
        <w:spacing w:line="440" w:lineRule="exact"/>
        <w:jc w:val="left"/>
        <w:rPr>
          <w:rFonts w:ascii="宋体" w:hAnsi="宋体" w:cs="宋体"/>
          <w:kern w:val="0"/>
          <w:sz w:val="24"/>
        </w:rPr>
      </w:pPr>
      <w:r>
        <w:rPr>
          <w:rFonts w:hint="eastAsia" w:ascii="宋体" w:hAnsi="宋体" w:cs="宋体"/>
          <w:kern w:val="0"/>
          <w:sz w:val="24"/>
        </w:rPr>
        <w:t xml:space="preserve">（10）完成学院领导及公司领导交办的其他工作任务。 </w:t>
      </w:r>
    </w:p>
    <w:p w14:paraId="7C2CF461">
      <w:pPr>
        <w:widowControl/>
        <w:spacing w:line="440" w:lineRule="exact"/>
        <w:ind w:firstLine="240" w:firstLineChars="100"/>
        <w:jc w:val="left"/>
        <w:rPr>
          <w:rFonts w:ascii="宋体" w:hAnsi="宋体" w:cs="宋体"/>
          <w:sz w:val="24"/>
        </w:rPr>
      </w:pPr>
      <w:r>
        <w:rPr>
          <w:rFonts w:hint="eastAsia" w:ascii="宋体" w:hAnsi="宋体" w:cs="宋体"/>
          <w:kern w:val="0"/>
          <w:sz w:val="24"/>
        </w:rPr>
        <w:t>5.白班宿管员岗位职责</w:t>
      </w:r>
    </w:p>
    <w:p w14:paraId="6314579D">
      <w:pPr>
        <w:widowControl/>
        <w:spacing w:line="440" w:lineRule="exact"/>
        <w:jc w:val="left"/>
        <w:rPr>
          <w:rFonts w:ascii="宋体" w:hAnsi="宋体" w:cs="宋体"/>
          <w:sz w:val="24"/>
        </w:rPr>
      </w:pPr>
      <w:r>
        <w:rPr>
          <w:rFonts w:hint="eastAsia" w:ascii="宋体" w:hAnsi="宋体" w:cs="宋体"/>
          <w:kern w:val="0"/>
          <w:sz w:val="24"/>
        </w:rPr>
        <w:t xml:space="preserve">（1）做好公寓白天的人、财、物的安全保卫及卫生保洁工作。 </w:t>
      </w:r>
    </w:p>
    <w:p w14:paraId="6F862CAA">
      <w:pPr>
        <w:widowControl/>
        <w:spacing w:line="440" w:lineRule="exact"/>
        <w:jc w:val="left"/>
        <w:rPr>
          <w:rFonts w:ascii="宋体" w:hAnsi="宋体" w:cs="宋体"/>
          <w:sz w:val="24"/>
        </w:rPr>
      </w:pPr>
      <w:r>
        <w:rPr>
          <w:rFonts w:hint="eastAsia" w:ascii="宋体" w:hAnsi="宋体" w:cs="宋体"/>
          <w:kern w:val="0"/>
          <w:sz w:val="24"/>
        </w:rPr>
        <w:t xml:space="preserve">（2）负责各楼层的水、电的安全管理，以及学生个人物品的存取工作，同时做好所负责楼层的各种公共设施卫生清理检查工作。（卫生区域包括：爱心室内设备设施、公厕、淋浴间、饮水机、电脑、窗台、楼梯、楼梯扶手、 楼道两侧墙面等。） </w:t>
      </w:r>
    </w:p>
    <w:p w14:paraId="48A70D6F">
      <w:pPr>
        <w:widowControl/>
        <w:spacing w:line="440" w:lineRule="exact"/>
        <w:jc w:val="left"/>
        <w:rPr>
          <w:rFonts w:ascii="宋体" w:hAnsi="宋体" w:cs="宋体"/>
          <w:sz w:val="24"/>
        </w:rPr>
      </w:pPr>
      <w:r>
        <w:rPr>
          <w:rFonts w:hint="eastAsia" w:ascii="宋体" w:hAnsi="宋体" w:cs="宋体"/>
          <w:kern w:val="0"/>
          <w:sz w:val="24"/>
        </w:rPr>
        <w:t xml:space="preserve">（3）坚守岗位，不擅离岗位，上楼巡视，要锁好大门，带好手机，将自己的联系方式贴在大门上。 </w:t>
      </w:r>
    </w:p>
    <w:p w14:paraId="3868A56F">
      <w:pPr>
        <w:widowControl/>
        <w:spacing w:line="440" w:lineRule="exact"/>
        <w:jc w:val="left"/>
        <w:rPr>
          <w:rFonts w:ascii="宋体" w:hAnsi="宋体" w:cs="宋体"/>
          <w:sz w:val="24"/>
        </w:rPr>
      </w:pPr>
      <w:r>
        <w:rPr>
          <w:rFonts w:hint="eastAsia" w:ascii="宋体" w:hAnsi="宋体" w:cs="宋体"/>
          <w:kern w:val="0"/>
          <w:sz w:val="24"/>
        </w:rPr>
        <w:t xml:space="preserve">（4）当班时间内必须精力集中，做好课间进出公寓的学生及外来人员的询问检查工作，并做好登记。 </w:t>
      </w:r>
    </w:p>
    <w:p w14:paraId="3B4821DB">
      <w:pPr>
        <w:widowControl/>
        <w:spacing w:line="440" w:lineRule="exact"/>
        <w:jc w:val="left"/>
        <w:rPr>
          <w:rFonts w:ascii="宋体" w:hAnsi="宋体" w:cs="宋体"/>
          <w:sz w:val="24"/>
        </w:rPr>
      </w:pPr>
      <w:r>
        <w:rPr>
          <w:rFonts w:hint="eastAsia" w:ascii="宋体" w:hAnsi="宋体" w:cs="宋体"/>
          <w:kern w:val="0"/>
          <w:sz w:val="24"/>
        </w:rPr>
        <w:t xml:space="preserve">（5）接听学生的请假电话和接收学生的请假条并及时转交给楼层值班辅导员。传达公寓办公室下达的工作提示，做好白班的检查记录。 </w:t>
      </w:r>
    </w:p>
    <w:p w14:paraId="4E76C111">
      <w:pPr>
        <w:widowControl/>
        <w:spacing w:line="440" w:lineRule="exact"/>
        <w:jc w:val="left"/>
        <w:rPr>
          <w:rFonts w:ascii="宋体" w:hAnsi="宋体" w:cs="宋体"/>
          <w:sz w:val="24"/>
        </w:rPr>
      </w:pPr>
      <w:r>
        <w:rPr>
          <w:rFonts w:hint="eastAsia" w:ascii="宋体" w:hAnsi="宋体" w:cs="宋体"/>
          <w:kern w:val="0"/>
          <w:sz w:val="24"/>
        </w:rPr>
        <w:t xml:space="preserve">（6）上级来检查或参观，及时向负责人汇报。外来人员一律先电话核实后登记。 </w:t>
      </w:r>
    </w:p>
    <w:p w14:paraId="1A616263">
      <w:pPr>
        <w:widowControl/>
        <w:spacing w:line="440" w:lineRule="exact"/>
        <w:jc w:val="left"/>
        <w:rPr>
          <w:rFonts w:ascii="宋体" w:hAnsi="宋体" w:cs="宋体"/>
          <w:sz w:val="24"/>
        </w:rPr>
      </w:pPr>
      <w:r>
        <w:rPr>
          <w:rFonts w:hint="eastAsia" w:ascii="宋体" w:hAnsi="宋体" w:cs="宋体"/>
          <w:kern w:val="0"/>
          <w:sz w:val="24"/>
        </w:rPr>
        <w:t xml:space="preserve">（7）负责公寓学生洗衣工作，做好记录，同时做好与晚班宿管员的交接工作。 </w:t>
      </w:r>
    </w:p>
    <w:p w14:paraId="1CF322CF">
      <w:pPr>
        <w:widowControl/>
        <w:spacing w:line="440" w:lineRule="exact"/>
        <w:jc w:val="left"/>
        <w:rPr>
          <w:rFonts w:ascii="宋体" w:hAnsi="宋体" w:cs="宋体"/>
          <w:sz w:val="24"/>
        </w:rPr>
      </w:pPr>
      <w:r>
        <w:rPr>
          <w:rFonts w:hint="eastAsia" w:ascii="宋体" w:hAnsi="宋体" w:cs="宋体"/>
          <w:kern w:val="0"/>
          <w:sz w:val="24"/>
        </w:rPr>
        <w:t xml:space="preserve">（8）白班与晚班做好交接工作，解决晚班遗留问题（如报修，维修，学生生病休息等）,有问题及时联系当事人。 </w:t>
      </w:r>
    </w:p>
    <w:p w14:paraId="4C9BEB5B">
      <w:pPr>
        <w:widowControl/>
        <w:spacing w:line="440" w:lineRule="exact"/>
        <w:jc w:val="left"/>
        <w:rPr>
          <w:rFonts w:ascii="宋体" w:hAnsi="宋体" w:cs="宋体"/>
          <w:sz w:val="24"/>
        </w:rPr>
      </w:pPr>
      <w:r>
        <w:rPr>
          <w:rFonts w:hint="eastAsia" w:ascii="宋体" w:hAnsi="宋体" w:cs="宋体"/>
          <w:kern w:val="0"/>
          <w:sz w:val="24"/>
        </w:rPr>
        <w:t xml:space="preserve">（9）每日对公共区域进行擦拭消毒。 </w:t>
      </w:r>
    </w:p>
    <w:p w14:paraId="3797EF78">
      <w:pPr>
        <w:widowControl/>
        <w:spacing w:line="440" w:lineRule="exact"/>
        <w:jc w:val="left"/>
        <w:rPr>
          <w:rFonts w:ascii="宋体" w:hAnsi="宋体" w:cs="宋体"/>
          <w:bCs/>
          <w:kern w:val="0"/>
          <w:sz w:val="24"/>
        </w:rPr>
      </w:pPr>
      <w:r>
        <w:rPr>
          <w:rFonts w:hint="eastAsia" w:ascii="宋体" w:hAnsi="宋体" w:cs="宋体"/>
          <w:kern w:val="0"/>
          <w:sz w:val="24"/>
        </w:rPr>
        <w:t xml:space="preserve">（10）中午加强各楼层的巡视工作，禁止做影响其他同学正常休息的事情；提示午休同学按时起床，离宿后对宿舍卫生进行检查，不漏查。 </w:t>
      </w:r>
    </w:p>
    <w:p w14:paraId="07793E5F">
      <w:pPr>
        <w:widowControl/>
        <w:spacing w:line="440" w:lineRule="exact"/>
        <w:jc w:val="left"/>
        <w:rPr>
          <w:rFonts w:ascii="宋体" w:hAnsi="宋体" w:cs="宋体"/>
          <w:kern w:val="0"/>
          <w:sz w:val="24"/>
        </w:rPr>
      </w:pPr>
      <w:r>
        <w:rPr>
          <w:rFonts w:hint="eastAsia" w:ascii="宋体" w:hAnsi="宋体" w:cs="宋体"/>
          <w:kern w:val="0"/>
          <w:sz w:val="24"/>
        </w:rPr>
        <w:t>（11）完成学院领导及公司领导交办的其他工作任务。</w:t>
      </w:r>
    </w:p>
    <w:p w14:paraId="0B1551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ind w:firstLine="120" w:firstLineChars="50"/>
        <w:jc w:val="left"/>
        <w:rPr>
          <w:rFonts w:ascii="宋体" w:hAnsi="宋体" w:cs="宋体"/>
          <w:kern w:val="0"/>
          <w:sz w:val="24"/>
          <w:lang w:val="zh-CN"/>
        </w:rPr>
      </w:pPr>
      <w:r>
        <w:rPr>
          <w:rFonts w:hint="eastAsia" w:ascii="宋体" w:hAnsi="宋体" w:cs="宋体"/>
          <w:kern w:val="0"/>
          <w:sz w:val="24"/>
          <w:lang w:val="zh-CN"/>
        </w:rPr>
        <w:t>6．保洁员岗位职责</w:t>
      </w:r>
    </w:p>
    <w:p w14:paraId="3D9D69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（1）熟悉学生公寓的管理制度，在学生宿舍管理员的领导下，负责本责任区内公共卫生的保洁、安全和公共设施的管理与报修工作。</w:t>
      </w:r>
    </w:p>
    <w:p w14:paraId="388ADE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（2）楼道、楼梯、卫生间等责任区，每日上、下午各清扫一次，要做到责任区地面干净、无杂物、无痰迹、无积水、无异味、上下水道畅通。</w:t>
      </w:r>
    </w:p>
    <w:p w14:paraId="4E1A1D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（3）对所负责的公共卫生区域的墙壁、门窗等要经常进行擦拭，保持清洁明亮。</w:t>
      </w:r>
    </w:p>
    <w:p w14:paraId="1C916D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（4）按照防疫要求，对学生公寓进行通风、消毒等工作。</w:t>
      </w:r>
    </w:p>
    <w:p w14:paraId="034EF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（5）负责监督、检查责任区内的公共设施，灭火器材等完好情况，如发现损坏要及时报修，对人为损坏的要追究责任并及时报告。</w:t>
      </w:r>
    </w:p>
    <w:p w14:paraId="2B9AF3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（6）负责责任区的防火防盗工作。随时注意宿舍的安全状况，发现可疑人员和问题要立即向管理人员报告。</w:t>
      </w:r>
    </w:p>
    <w:p w14:paraId="35D132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（7）负责楼内垃圾分类工作，并及时清运到楼外指定地点。</w:t>
      </w:r>
    </w:p>
    <w:p w14:paraId="43035B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kern w:val="0"/>
          <w:sz w:val="24"/>
          <w:lang w:val="zh-CN"/>
        </w:rPr>
        <w:t>（8）完成领导临时交办的工作。</w:t>
      </w:r>
    </w:p>
    <w:p w14:paraId="71EBDACB">
      <w:pPr>
        <w:tabs>
          <w:tab w:val="left" w:pos="425"/>
        </w:tabs>
        <w:spacing w:line="500" w:lineRule="exact"/>
        <w:rPr>
          <w:rFonts w:ascii="宋体" w:hAnsi="宋体" w:cs="宋体"/>
          <w:sz w:val="24"/>
        </w:rPr>
      </w:pPr>
      <w:r>
        <w:rPr>
          <w:rFonts w:hint="eastAsia" w:ascii="宋体" w:hAnsi="宋体" w:cs="宋体"/>
          <w:b/>
          <w:sz w:val="24"/>
        </w:rPr>
        <w:t>四、服务费用</w:t>
      </w:r>
      <w:bookmarkStart w:id="769" w:name="_Hlk12535067"/>
    </w:p>
    <w:bookmarkEnd w:id="769"/>
    <w:p w14:paraId="5743752F">
      <w:pPr>
        <w:snapToGrid w:val="0"/>
        <w:spacing w:line="500" w:lineRule="exact"/>
        <w:ind w:firstLine="480" w:firstLineChars="200"/>
        <w:rPr>
          <w:rFonts w:ascii="宋体" w:hAnsi="宋体" w:cs="宋体"/>
          <w:sz w:val="24"/>
        </w:rPr>
      </w:pPr>
      <w:r>
        <w:rPr>
          <w:rFonts w:hint="eastAsia" w:ascii="宋体" w:hAnsi="宋体" w:cs="宋体"/>
          <w:sz w:val="24"/>
        </w:rPr>
        <w:t>1、人员费：主要包括人员工资、伙食费、值加班费、社会保险费、培训费及福利待遇等费用。</w:t>
      </w:r>
    </w:p>
    <w:p w14:paraId="75826A3F">
      <w:pPr>
        <w:snapToGrid w:val="0"/>
        <w:spacing w:line="500" w:lineRule="exact"/>
        <w:rPr>
          <w:rFonts w:ascii="宋体" w:hAnsi="宋体" w:cs="宋体"/>
          <w:sz w:val="24"/>
        </w:rPr>
      </w:pPr>
      <w:r>
        <w:rPr>
          <w:rFonts w:hint="eastAsia" w:ascii="宋体" w:hAnsi="宋体" w:cs="宋体"/>
          <w:sz w:val="24"/>
        </w:rPr>
        <w:t xml:space="preserve">    2、服装费：宿管人员的四季服装等费用。</w:t>
      </w:r>
    </w:p>
    <w:p w14:paraId="139B2515">
      <w:pPr>
        <w:snapToGrid w:val="0"/>
        <w:spacing w:line="500" w:lineRule="exact"/>
        <w:ind w:firstLine="480" w:firstLineChars="200"/>
        <w:rPr>
          <w:rFonts w:ascii="宋体" w:hAnsi="宋体" w:cs="宋体"/>
          <w:sz w:val="24"/>
        </w:rPr>
      </w:pPr>
      <w:r>
        <w:rPr>
          <w:rFonts w:hint="eastAsia" w:ascii="宋体" w:hAnsi="宋体" w:cs="宋体"/>
          <w:sz w:val="24"/>
        </w:rPr>
        <w:t>3、管理费及税金</w:t>
      </w:r>
    </w:p>
    <w:p w14:paraId="1B544D5D">
      <w:pPr>
        <w:snapToGrid w:val="0"/>
        <w:spacing w:line="500" w:lineRule="exact"/>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办公费：包括日常办公耗材、交通费等费用。</w:t>
      </w:r>
    </w:p>
    <w:p w14:paraId="6DA04F1D">
      <w:pPr>
        <w:snapToGrid w:val="0"/>
        <w:spacing w:line="500" w:lineRule="exact"/>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宣传费：包括展板、标识、宣传栏布置、管理记录、节日装饰等费用。</w:t>
      </w:r>
    </w:p>
    <w:p w14:paraId="20A997DE">
      <w:pPr>
        <w:snapToGrid w:val="0"/>
        <w:spacing w:line="500" w:lineRule="exact"/>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税金。</w:t>
      </w:r>
    </w:p>
    <w:p w14:paraId="2F2A7C0C">
      <w:pPr>
        <w:spacing w:line="500" w:lineRule="exact"/>
        <w:ind w:firstLine="480" w:firstLineChars="200"/>
        <w:rPr>
          <w:rFonts w:ascii="宋体" w:hAnsi="宋体" w:cs="宋体"/>
          <w:sz w:val="24"/>
        </w:rPr>
      </w:pPr>
      <w:r>
        <w:rPr>
          <w:rFonts w:hint="eastAsia" w:ascii="宋体" w:hAnsi="宋体" w:cs="宋体"/>
          <w:sz w:val="24"/>
        </w:rPr>
        <w:t>4、工会会员：所有员工为乙方工会会员，享受工会会员福利，参加工会活动【依法用工，与员工签订劳动合同，缴纳社会保险，中标单位与员工因劳资、工作分配等产生的纠纷，校方不承担任何责任】。</w:t>
      </w:r>
    </w:p>
    <w:p w14:paraId="4A6BCB80">
      <w:pPr>
        <w:snapToGrid w:val="0"/>
        <w:spacing w:line="500" w:lineRule="exact"/>
        <w:ind w:firstLine="480" w:firstLineChars="200"/>
        <w:rPr>
          <w:rFonts w:ascii="宋体" w:hAnsi="宋体" w:cs="宋体"/>
          <w:sz w:val="24"/>
        </w:rPr>
      </w:pPr>
      <w:r>
        <w:rPr>
          <w:rFonts w:hint="eastAsia" w:ascii="宋体" w:hAnsi="宋体" w:cs="宋体"/>
          <w:sz w:val="24"/>
        </w:rPr>
        <w:t>5、宿管员工作时长及节假日安排由乙方按国家有关规定执行。宿管员休假期间工作由乙方负责调整。</w:t>
      </w:r>
    </w:p>
    <w:p w14:paraId="12F59D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40" w:lineRule="exact"/>
        <w:jc w:val="left"/>
        <w:rPr>
          <w:rFonts w:ascii="宋体" w:hAnsi="宋体" w:cs="宋体"/>
          <w:kern w:val="0"/>
          <w:sz w:val="24"/>
          <w:lang w:val="zh-CN"/>
        </w:rPr>
      </w:pPr>
      <w:r>
        <w:rPr>
          <w:rFonts w:hint="eastAsia" w:ascii="宋体" w:hAnsi="宋体" w:cs="宋体"/>
          <w:sz w:val="24"/>
        </w:rPr>
        <w:t>6、为完成本项目服务工作，所发生的其他费用。</w:t>
      </w:r>
    </w:p>
    <w:p w14:paraId="11F97707">
      <w:pPr>
        <w:spacing w:line="440" w:lineRule="exact"/>
        <w:jc w:val="left"/>
        <w:rPr>
          <w:rFonts w:ascii="宋体" w:hAnsi="宋体" w:cs="宋体"/>
          <w:b/>
          <w:bCs/>
          <w:sz w:val="24"/>
        </w:rPr>
      </w:pPr>
      <w:r>
        <w:rPr>
          <w:rFonts w:hint="eastAsia" w:ascii="宋体" w:hAnsi="宋体" w:cs="宋体"/>
          <w:b/>
          <w:bCs/>
          <w:sz w:val="24"/>
        </w:rPr>
        <w:t>五、服务要求</w:t>
      </w:r>
    </w:p>
    <w:p w14:paraId="763166C6">
      <w:pPr>
        <w:spacing w:line="440" w:lineRule="exact"/>
        <w:ind w:firstLine="480" w:firstLineChars="200"/>
        <w:jc w:val="left"/>
        <w:rPr>
          <w:rFonts w:ascii="宋体" w:hAnsi="宋体" w:cs="宋体"/>
          <w:bCs/>
          <w:sz w:val="24"/>
        </w:rPr>
      </w:pPr>
      <w:r>
        <w:rPr>
          <w:rFonts w:hint="eastAsia" w:ascii="宋体" w:hAnsi="宋体" w:cs="宋体"/>
          <w:bCs/>
          <w:sz w:val="24"/>
        </w:rPr>
        <w:t>（一）日常管理服务工作要求</w:t>
      </w:r>
    </w:p>
    <w:p w14:paraId="6A263660">
      <w:pPr>
        <w:spacing w:line="440" w:lineRule="exact"/>
        <w:ind w:firstLine="480" w:firstLineChars="200"/>
        <w:jc w:val="left"/>
        <w:rPr>
          <w:rFonts w:ascii="宋体" w:hAnsi="宋体" w:cs="宋体"/>
          <w:bCs/>
          <w:sz w:val="24"/>
        </w:rPr>
      </w:pPr>
      <w:r>
        <w:rPr>
          <w:rFonts w:hint="eastAsia" w:ascii="宋体" w:hAnsi="宋体" w:cs="宋体"/>
          <w:bCs/>
          <w:sz w:val="24"/>
        </w:rPr>
        <w:t>1.门厅值班室24小时值班。</w:t>
      </w:r>
    </w:p>
    <w:p w14:paraId="2ED69A1E">
      <w:pPr>
        <w:spacing w:line="440" w:lineRule="exact"/>
        <w:ind w:firstLine="480" w:firstLineChars="200"/>
        <w:jc w:val="left"/>
        <w:rPr>
          <w:rFonts w:ascii="宋体" w:hAnsi="宋体" w:cs="宋体"/>
          <w:bCs/>
          <w:sz w:val="24"/>
        </w:rPr>
      </w:pPr>
      <w:r>
        <w:rPr>
          <w:rFonts w:hint="eastAsia" w:ascii="宋体" w:hAnsi="宋体" w:cs="宋体"/>
          <w:bCs/>
          <w:sz w:val="24"/>
        </w:rPr>
        <w:t>2.周一至周日夜间查宿管理工作（周一至周四夜不归学生，周五至周日实住学生）。</w:t>
      </w:r>
    </w:p>
    <w:p w14:paraId="03350B34">
      <w:pPr>
        <w:spacing w:line="440" w:lineRule="exact"/>
        <w:ind w:firstLine="480" w:firstLineChars="200"/>
        <w:jc w:val="left"/>
        <w:rPr>
          <w:rFonts w:ascii="宋体" w:hAnsi="宋体" w:cs="宋体"/>
          <w:bCs/>
          <w:sz w:val="24"/>
        </w:rPr>
      </w:pPr>
      <w:r>
        <w:rPr>
          <w:rFonts w:hint="eastAsia" w:ascii="宋体" w:hAnsi="宋体" w:cs="宋体"/>
          <w:bCs/>
          <w:sz w:val="24"/>
        </w:rPr>
        <w:t>3.公共区域24小时分时巡查；日常对寝室卫生、安全、控烟等情况进行检查、督促、整改、上报。</w:t>
      </w:r>
    </w:p>
    <w:p w14:paraId="7F6A64C4">
      <w:pPr>
        <w:spacing w:line="440" w:lineRule="exact"/>
        <w:ind w:firstLine="480" w:firstLineChars="200"/>
        <w:jc w:val="left"/>
        <w:rPr>
          <w:rFonts w:ascii="宋体" w:hAnsi="宋体" w:cs="宋体"/>
          <w:bCs/>
          <w:sz w:val="24"/>
        </w:rPr>
      </w:pPr>
      <w:r>
        <w:rPr>
          <w:rFonts w:hint="eastAsia" w:ascii="宋体" w:hAnsi="宋体" w:cs="宋体"/>
          <w:bCs/>
          <w:sz w:val="24"/>
        </w:rPr>
        <w:t>4.寝室物品的管理及大件物品出门检查登记。</w:t>
      </w:r>
    </w:p>
    <w:p w14:paraId="3FE70A65">
      <w:pPr>
        <w:spacing w:line="440" w:lineRule="exact"/>
        <w:ind w:firstLine="480" w:firstLineChars="200"/>
        <w:jc w:val="left"/>
        <w:rPr>
          <w:rFonts w:ascii="宋体" w:hAnsi="宋体" w:cs="宋体"/>
          <w:bCs/>
          <w:sz w:val="24"/>
        </w:rPr>
      </w:pPr>
      <w:r>
        <w:rPr>
          <w:rFonts w:hint="eastAsia" w:ascii="宋体" w:hAnsi="宋体" w:cs="宋体"/>
          <w:bCs/>
          <w:sz w:val="24"/>
        </w:rPr>
        <w:t>5.楼内设施设备的统计、维护、检修上报、配合维修工作。</w:t>
      </w:r>
    </w:p>
    <w:p w14:paraId="59F7744E">
      <w:pPr>
        <w:spacing w:line="440" w:lineRule="exact"/>
        <w:ind w:firstLine="480" w:firstLineChars="200"/>
        <w:jc w:val="left"/>
        <w:rPr>
          <w:rFonts w:ascii="宋体" w:hAnsi="宋体" w:cs="宋体"/>
          <w:bCs/>
          <w:sz w:val="24"/>
        </w:rPr>
      </w:pPr>
      <w:r>
        <w:rPr>
          <w:rFonts w:hint="eastAsia" w:ascii="宋体" w:hAnsi="宋体" w:cs="宋体"/>
          <w:bCs/>
          <w:sz w:val="24"/>
        </w:rPr>
        <w:t>6.按照各二级学院集中、专业集中、班级集中的原则做好京内与京外分开住宿安排；日常中途住宿、退宿、调宿；学院临时性检查、参观接待，大赛住宿安排。</w:t>
      </w:r>
    </w:p>
    <w:p w14:paraId="484BEF89">
      <w:pPr>
        <w:spacing w:line="440" w:lineRule="exact"/>
        <w:ind w:firstLine="480" w:firstLineChars="200"/>
        <w:jc w:val="left"/>
        <w:rPr>
          <w:rFonts w:ascii="宋体" w:hAnsi="宋体" w:cs="宋体"/>
          <w:bCs/>
          <w:sz w:val="24"/>
        </w:rPr>
      </w:pPr>
      <w:r>
        <w:rPr>
          <w:rFonts w:hint="eastAsia" w:ascii="宋体" w:hAnsi="宋体" w:cs="宋体"/>
          <w:bCs/>
          <w:sz w:val="24"/>
        </w:rPr>
        <w:t>7.开展德智体美劳文化建设、宣传活动。</w:t>
      </w:r>
    </w:p>
    <w:p w14:paraId="6A89EC49">
      <w:pPr>
        <w:spacing w:line="440" w:lineRule="exact"/>
        <w:ind w:firstLine="480" w:firstLineChars="200"/>
        <w:jc w:val="left"/>
        <w:rPr>
          <w:rFonts w:ascii="宋体" w:hAnsi="宋体" w:cs="宋体"/>
          <w:bCs/>
          <w:sz w:val="24"/>
        </w:rPr>
      </w:pPr>
      <w:r>
        <w:rPr>
          <w:rFonts w:hint="eastAsia" w:ascii="宋体" w:hAnsi="宋体" w:cs="宋体"/>
          <w:bCs/>
          <w:sz w:val="24"/>
        </w:rPr>
        <w:t>8.传染病防治和消毒工作，易传染源（宿舍内饲养猫、狗等宠物）检查处理工作。</w:t>
      </w:r>
    </w:p>
    <w:p w14:paraId="5C074AD7">
      <w:pPr>
        <w:spacing w:line="440" w:lineRule="exact"/>
        <w:ind w:firstLine="480" w:firstLineChars="200"/>
        <w:jc w:val="left"/>
        <w:rPr>
          <w:rFonts w:ascii="宋体" w:hAnsi="宋体" w:cs="宋体"/>
          <w:bCs/>
          <w:sz w:val="24"/>
        </w:rPr>
      </w:pPr>
      <w:r>
        <w:rPr>
          <w:rFonts w:hint="eastAsia" w:ascii="宋体" w:hAnsi="宋体" w:cs="宋体"/>
          <w:bCs/>
          <w:sz w:val="24"/>
        </w:rPr>
        <w:t>9.开学前放假后宿舍的卫生保洁工作。</w:t>
      </w:r>
    </w:p>
    <w:p w14:paraId="2B15A5A1">
      <w:pPr>
        <w:spacing w:line="440" w:lineRule="exact"/>
        <w:ind w:firstLine="480" w:firstLineChars="200"/>
        <w:jc w:val="left"/>
        <w:rPr>
          <w:rFonts w:ascii="宋体" w:hAnsi="宋体" w:cs="宋体"/>
          <w:bCs/>
          <w:sz w:val="24"/>
        </w:rPr>
      </w:pPr>
      <w:r>
        <w:rPr>
          <w:rFonts w:hint="eastAsia" w:ascii="宋体" w:hAnsi="宋体" w:cs="宋体"/>
          <w:bCs/>
          <w:sz w:val="24"/>
        </w:rPr>
        <w:t>10.依据教委、学校文件制定“学生公寓消防应急预案”、“学生公寓突发事件处理预案”、“事件报告制度”“公寓安全、卫生、秩序管理规定”“项目部经理、主管、楼长、管理员”“工作流程”“记录存档”等各级公寓管理制度及“日常值班记录”“来客登记表”“查宿记录表”“学生不归、晚归记录表”“请假单”等日常管理表格，要求全体员工详知并严格遵照执行。</w:t>
      </w:r>
    </w:p>
    <w:p w14:paraId="429278FB">
      <w:pPr>
        <w:spacing w:line="440" w:lineRule="exact"/>
        <w:ind w:firstLine="480" w:firstLineChars="200"/>
        <w:jc w:val="left"/>
        <w:rPr>
          <w:rFonts w:ascii="宋体" w:hAnsi="宋体" w:cs="宋体"/>
          <w:bCs/>
          <w:sz w:val="24"/>
        </w:rPr>
      </w:pPr>
      <w:r>
        <w:rPr>
          <w:rFonts w:hint="eastAsia" w:ascii="宋体" w:hAnsi="宋体" w:cs="宋体"/>
          <w:bCs/>
          <w:sz w:val="24"/>
        </w:rPr>
        <w:t>11.每周至少检查一次学生宿舍安全用电及其他消防隐患，发现问题及时处置上报。</w:t>
      </w:r>
    </w:p>
    <w:p w14:paraId="01779791">
      <w:pPr>
        <w:spacing w:line="440" w:lineRule="exact"/>
        <w:ind w:firstLine="480" w:firstLineChars="200"/>
        <w:jc w:val="left"/>
        <w:rPr>
          <w:rFonts w:ascii="宋体" w:hAnsi="宋体" w:cs="宋体"/>
          <w:bCs/>
          <w:sz w:val="24"/>
        </w:rPr>
      </w:pPr>
      <w:r>
        <w:rPr>
          <w:rFonts w:hint="eastAsia" w:ascii="宋体" w:hAnsi="宋体" w:cs="宋体"/>
          <w:bCs/>
          <w:sz w:val="24"/>
        </w:rPr>
        <w:t>12.员工熟知公寓内消防器材的种类、性能、数量、位置等配置情况并能熟练操作，张贴消防器材使用方法；每月检查消防设施是否缺失、灭火器是否失压，发现问题及时报告甲方；保持消防通道的及时畅通。</w:t>
      </w:r>
    </w:p>
    <w:p w14:paraId="01A4BD04">
      <w:pPr>
        <w:spacing w:line="440" w:lineRule="exact"/>
        <w:ind w:firstLine="480" w:firstLineChars="200"/>
        <w:jc w:val="left"/>
        <w:rPr>
          <w:rFonts w:ascii="宋体" w:hAnsi="宋体" w:cs="宋体"/>
          <w:bCs/>
          <w:sz w:val="24"/>
        </w:rPr>
      </w:pPr>
      <w:r>
        <w:rPr>
          <w:rFonts w:hint="eastAsia" w:ascii="宋体" w:hAnsi="宋体" w:cs="宋体"/>
          <w:bCs/>
          <w:sz w:val="24"/>
        </w:rPr>
        <w:t>13.对发现安全隐患，第一时间上报甲方，同时做好现场处置保护，协助甲方做好调查处置工作。</w:t>
      </w:r>
    </w:p>
    <w:p w14:paraId="7CE4EB7B">
      <w:pPr>
        <w:spacing w:line="440" w:lineRule="exact"/>
        <w:ind w:firstLine="480" w:firstLineChars="200"/>
        <w:jc w:val="left"/>
        <w:rPr>
          <w:rFonts w:ascii="宋体" w:hAnsi="宋体" w:cs="宋体"/>
          <w:bCs/>
          <w:sz w:val="24"/>
        </w:rPr>
      </w:pPr>
      <w:r>
        <w:rPr>
          <w:rFonts w:hint="eastAsia" w:ascii="宋体" w:hAnsi="宋体" w:cs="宋体"/>
          <w:bCs/>
          <w:sz w:val="24"/>
        </w:rPr>
        <w:t>14.宣传有关法律、消防知识，提高学生安全防范意识，共建和谐校园。</w:t>
      </w:r>
    </w:p>
    <w:p w14:paraId="50993910">
      <w:pPr>
        <w:spacing w:line="440" w:lineRule="exact"/>
        <w:ind w:firstLine="480" w:firstLineChars="200"/>
        <w:jc w:val="left"/>
        <w:rPr>
          <w:rFonts w:ascii="宋体" w:hAnsi="宋体" w:cs="宋体"/>
          <w:bCs/>
          <w:sz w:val="24"/>
        </w:rPr>
      </w:pPr>
      <w:r>
        <w:rPr>
          <w:rFonts w:hint="eastAsia" w:ascii="宋体" w:hAnsi="宋体" w:cs="宋体"/>
          <w:bCs/>
          <w:sz w:val="24"/>
        </w:rPr>
        <w:t>15.严格做好管理人员的培训、考核、选拔工作；建立完善的管理制度、职责、工作流程等，聘用员工资料报学院备案。</w:t>
      </w:r>
    </w:p>
    <w:p w14:paraId="133232FE">
      <w:pPr>
        <w:spacing w:line="440" w:lineRule="exact"/>
        <w:ind w:firstLine="480" w:firstLineChars="200"/>
        <w:jc w:val="left"/>
        <w:rPr>
          <w:rFonts w:ascii="宋体" w:hAnsi="宋体" w:cs="宋体"/>
          <w:bCs/>
          <w:sz w:val="24"/>
        </w:rPr>
      </w:pPr>
      <w:r>
        <w:rPr>
          <w:rFonts w:hint="eastAsia" w:ascii="宋体" w:hAnsi="宋体" w:cs="宋体"/>
          <w:bCs/>
          <w:sz w:val="24"/>
        </w:rPr>
        <w:t>16.教育员工遵守甲方的规章制度，服从保卫部门的安全检查和指导。</w:t>
      </w:r>
    </w:p>
    <w:p w14:paraId="65FF6CF5">
      <w:pPr>
        <w:spacing w:line="440" w:lineRule="exact"/>
        <w:ind w:firstLine="480" w:firstLineChars="200"/>
        <w:jc w:val="left"/>
        <w:rPr>
          <w:rFonts w:ascii="宋体" w:hAnsi="宋体" w:cs="宋体"/>
          <w:bCs/>
          <w:sz w:val="24"/>
        </w:rPr>
      </w:pPr>
      <w:r>
        <w:rPr>
          <w:rFonts w:hint="eastAsia" w:ascii="宋体" w:hAnsi="宋体" w:cs="宋体"/>
          <w:bCs/>
          <w:sz w:val="24"/>
        </w:rPr>
        <w:t>17.开展标准化公寓建设工作，每月文明宿舍评选、奖励工作。</w:t>
      </w:r>
    </w:p>
    <w:p w14:paraId="5082844D">
      <w:pPr>
        <w:spacing w:line="440" w:lineRule="exact"/>
        <w:ind w:firstLine="480" w:firstLineChars="200"/>
        <w:jc w:val="left"/>
        <w:rPr>
          <w:rFonts w:ascii="宋体" w:hAnsi="宋体" w:cs="宋体"/>
          <w:bCs/>
          <w:sz w:val="24"/>
        </w:rPr>
      </w:pPr>
      <w:r>
        <w:rPr>
          <w:rFonts w:hint="eastAsia" w:ascii="宋体" w:hAnsi="宋体" w:cs="宋体"/>
          <w:bCs/>
          <w:sz w:val="24"/>
        </w:rPr>
        <w:t>18.做好入住学生信息录入（按每楼、每层、每宿舍统计；按二级学院统计；按班级统计做表）、核对工作及离校生信息审查工作，确保公寓楼在住学生信息准确，住宿信息每月报给校方监管。</w:t>
      </w:r>
    </w:p>
    <w:p w14:paraId="1412DDA4">
      <w:pPr>
        <w:spacing w:line="440" w:lineRule="exact"/>
        <w:ind w:firstLine="480" w:firstLineChars="200"/>
        <w:jc w:val="left"/>
        <w:rPr>
          <w:rFonts w:ascii="宋体" w:hAnsi="宋体" w:cs="宋体"/>
          <w:bCs/>
          <w:sz w:val="24"/>
        </w:rPr>
      </w:pPr>
      <w:r>
        <w:rPr>
          <w:rFonts w:hint="eastAsia" w:ascii="宋体" w:hAnsi="宋体" w:cs="宋体"/>
          <w:bCs/>
          <w:sz w:val="24"/>
        </w:rPr>
        <w:t>19.做好门禁系统的监督管理工作，引导学生进出自觉刷卡。</w:t>
      </w:r>
    </w:p>
    <w:p w14:paraId="53BCFBFA">
      <w:pPr>
        <w:spacing w:line="440" w:lineRule="exact"/>
        <w:ind w:firstLine="480" w:firstLineChars="200"/>
        <w:jc w:val="left"/>
        <w:rPr>
          <w:rFonts w:ascii="宋体" w:hAnsi="宋体" w:cs="宋体"/>
          <w:bCs/>
          <w:sz w:val="24"/>
        </w:rPr>
      </w:pPr>
      <w:r>
        <w:rPr>
          <w:rFonts w:hint="eastAsia" w:ascii="宋体" w:hAnsi="宋体" w:cs="宋体"/>
          <w:bCs/>
          <w:sz w:val="24"/>
        </w:rPr>
        <w:t>20.新生统一入住前锁芯和配备钥匙调整，保证安全。</w:t>
      </w:r>
    </w:p>
    <w:p w14:paraId="34F332EA">
      <w:pPr>
        <w:spacing w:line="440" w:lineRule="exact"/>
        <w:ind w:firstLine="480" w:firstLineChars="200"/>
        <w:jc w:val="left"/>
        <w:rPr>
          <w:rFonts w:ascii="宋体" w:hAnsi="宋体" w:cs="宋体"/>
          <w:bCs/>
          <w:sz w:val="24"/>
        </w:rPr>
      </w:pPr>
      <w:r>
        <w:rPr>
          <w:rFonts w:hint="eastAsia" w:ascii="宋体" w:hAnsi="宋体" w:cs="宋体"/>
          <w:bCs/>
          <w:sz w:val="24"/>
        </w:rPr>
        <w:t>21.配合财务做好每学期学生水补、退宿学生退费；配合教务处做好新学期住宿信息调查、校区改变住宿学生的运送工作。</w:t>
      </w:r>
    </w:p>
    <w:p w14:paraId="22F27A5A">
      <w:pPr>
        <w:spacing w:line="440" w:lineRule="exact"/>
        <w:ind w:firstLine="480" w:firstLineChars="200"/>
        <w:jc w:val="left"/>
        <w:rPr>
          <w:rFonts w:ascii="宋体" w:hAnsi="宋体" w:cs="宋体"/>
          <w:bCs/>
          <w:sz w:val="24"/>
        </w:rPr>
      </w:pPr>
      <w:r>
        <w:rPr>
          <w:rFonts w:hint="eastAsia" w:ascii="宋体" w:hAnsi="宋体" w:cs="宋体"/>
          <w:bCs/>
          <w:sz w:val="24"/>
        </w:rPr>
        <w:t>22.配合学工部及各二级学院选拔“学生公寓自律委员会”的成员，选拔宿舍长并建立联系机制。</w:t>
      </w:r>
    </w:p>
    <w:p w14:paraId="56B1BEE6">
      <w:pPr>
        <w:spacing w:line="440" w:lineRule="exact"/>
        <w:ind w:firstLine="480" w:firstLineChars="200"/>
        <w:jc w:val="left"/>
        <w:rPr>
          <w:rFonts w:ascii="宋体" w:hAnsi="宋体" w:cs="宋体"/>
          <w:bCs/>
          <w:sz w:val="24"/>
        </w:rPr>
      </w:pPr>
      <w:r>
        <w:rPr>
          <w:rFonts w:hint="eastAsia" w:ascii="宋体" w:hAnsi="宋体" w:cs="宋体"/>
          <w:bCs/>
          <w:sz w:val="24"/>
        </w:rPr>
        <w:t>23.做好疫情防控常态化人员管理、测温、消毒、通风等工作。</w:t>
      </w:r>
    </w:p>
    <w:p w14:paraId="40F1A960">
      <w:pPr>
        <w:spacing w:line="440" w:lineRule="exact"/>
        <w:ind w:firstLine="480" w:firstLineChars="200"/>
        <w:jc w:val="left"/>
        <w:rPr>
          <w:rFonts w:ascii="宋体" w:hAnsi="宋体" w:cs="宋体"/>
          <w:bCs/>
          <w:sz w:val="24"/>
        </w:rPr>
      </w:pPr>
      <w:r>
        <w:rPr>
          <w:rFonts w:hint="eastAsia" w:ascii="宋体" w:hAnsi="宋体" w:cs="宋体"/>
          <w:bCs/>
          <w:sz w:val="24"/>
        </w:rPr>
        <w:t>24.做好学生公寓楼内公共区域保洁并记录工作。</w:t>
      </w:r>
    </w:p>
    <w:p w14:paraId="3CAD09CE">
      <w:pPr>
        <w:spacing w:line="440" w:lineRule="exact"/>
        <w:ind w:firstLine="240" w:firstLineChars="100"/>
        <w:jc w:val="left"/>
        <w:rPr>
          <w:rFonts w:ascii="宋体" w:hAnsi="宋体" w:cs="宋体"/>
          <w:sz w:val="24"/>
        </w:rPr>
      </w:pPr>
      <w:r>
        <w:rPr>
          <w:rFonts w:hint="eastAsia" w:ascii="宋体" w:hAnsi="宋体" w:cs="宋体"/>
          <w:sz w:val="24"/>
        </w:rPr>
        <w:t>（二）乙类乙管宿舍疫情防控工作要求</w:t>
      </w:r>
    </w:p>
    <w:p w14:paraId="3E811CFE">
      <w:pPr>
        <w:spacing w:line="440" w:lineRule="exact"/>
        <w:ind w:firstLine="480" w:firstLineChars="200"/>
        <w:jc w:val="left"/>
        <w:rPr>
          <w:rFonts w:ascii="宋体" w:hAnsi="宋体" w:cs="宋体"/>
          <w:sz w:val="24"/>
        </w:rPr>
      </w:pPr>
      <w:r>
        <w:rPr>
          <w:rFonts w:hint="eastAsia" w:ascii="宋体" w:hAnsi="宋体" w:cs="宋体"/>
          <w:sz w:val="24"/>
        </w:rPr>
        <w:t>1.加强宿舍楼门管理，实行扫脸测温出入，教育引导学生体温异常者不得进入宿舍，不带症状上班上学，科学佩戴口罩，不串宿舍。</w:t>
      </w:r>
    </w:p>
    <w:p w14:paraId="6572C097">
      <w:pPr>
        <w:spacing w:line="440" w:lineRule="exact"/>
        <w:ind w:firstLine="480" w:firstLineChars="200"/>
        <w:jc w:val="left"/>
        <w:rPr>
          <w:rFonts w:ascii="宋体" w:hAnsi="宋体" w:cs="宋体"/>
          <w:sz w:val="24"/>
        </w:rPr>
      </w:pPr>
      <w:r>
        <w:rPr>
          <w:rFonts w:hint="eastAsia" w:ascii="宋体" w:hAnsi="宋体" w:cs="宋体"/>
          <w:sz w:val="24"/>
        </w:rPr>
        <w:t>2.按乙类乙管要求做好消毒、通风，有记录。</w:t>
      </w:r>
    </w:p>
    <w:p w14:paraId="2295ECC7">
      <w:pPr>
        <w:spacing w:line="440" w:lineRule="exact"/>
        <w:ind w:firstLine="480" w:firstLineChars="200"/>
        <w:jc w:val="left"/>
        <w:rPr>
          <w:rFonts w:ascii="宋体" w:hAnsi="宋体" w:cs="宋体"/>
          <w:sz w:val="24"/>
        </w:rPr>
      </w:pPr>
      <w:r>
        <w:rPr>
          <w:rFonts w:hint="eastAsia" w:ascii="宋体" w:hAnsi="宋体" w:cs="宋体"/>
          <w:sz w:val="24"/>
        </w:rPr>
        <w:t>3.做好宿舍内外公区日常清洁，每日专人巡查清扫并进行登记。</w:t>
      </w:r>
    </w:p>
    <w:p w14:paraId="3442E08D">
      <w:pPr>
        <w:spacing w:line="440" w:lineRule="exact"/>
        <w:ind w:firstLine="480" w:firstLineChars="200"/>
        <w:jc w:val="left"/>
        <w:rPr>
          <w:rFonts w:ascii="宋体" w:hAnsi="宋体" w:cs="宋体"/>
          <w:sz w:val="24"/>
        </w:rPr>
      </w:pPr>
      <w:r>
        <w:rPr>
          <w:rFonts w:hint="eastAsia" w:ascii="宋体" w:hAnsi="宋体" w:cs="宋体"/>
          <w:sz w:val="24"/>
        </w:rPr>
        <w:t>4.做到垃圾分类及时清运，并做好垃圾盛装容器的清洁，可用浓度为500mg/L的含氯消毒剂定期进行消毒处理。</w:t>
      </w:r>
    </w:p>
    <w:p w14:paraId="6E5C3870">
      <w:pPr>
        <w:spacing w:line="440" w:lineRule="exact"/>
        <w:ind w:left="210" w:leftChars="100" w:firstLine="360" w:firstLineChars="150"/>
        <w:jc w:val="left"/>
        <w:rPr>
          <w:rFonts w:ascii="宋体" w:hAnsi="宋体" w:cs="宋体"/>
          <w:bCs/>
          <w:sz w:val="24"/>
        </w:rPr>
      </w:pPr>
      <w:r>
        <w:rPr>
          <w:rFonts w:hint="eastAsia" w:ascii="宋体" w:hAnsi="宋体" w:cs="宋体"/>
          <w:sz w:val="24"/>
        </w:rPr>
        <w:t>5.宿舍安全通道保持畅通，可随时应急启用。</w:t>
      </w:r>
    </w:p>
    <w:p w14:paraId="4ACFF562">
      <w:pPr>
        <w:spacing w:line="440" w:lineRule="exact"/>
        <w:ind w:firstLine="240" w:firstLineChars="100"/>
        <w:jc w:val="left"/>
        <w:rPr>
          <w:rFonts w:ascii="宋体" w:hAnsi="宋体" w:cs="宋体"/>
          <w:sz w:val="24"/>
        </w:rPr>
      </w:pPr>
      <w:r>
        <w:rPr>
          <w:rFonts w:hint="eastAsia" w:ascii="宋体" w:hAnsi="宋体" w:cs="宋体"/>
          <w:sz w:val="24"/>
        </w:rPr>
        <w:t>（三）寒暑假期管理工作要求</w:t>
      </w:r>
    </w:p>
    <w:p w14:paraId="16455299">
      <w:pPr>
        <w:spacing w:line="440" w:lineRule="exact"/>
        <w:ind w:firstLine="480" w:firstLineChars="200"/>
        <w:jc w:val="left"/>
        <w:rPr>
          <w:rFonts w:ascii="宋体" w:hAnsi="宋体" w:cs="宋体"/>
          <w:bCs/>
          <w:sz w:val="24"/>
        </w:rPr>
      </w:pPr>
      <w:r>
        <w:rPr>
          <w:rFonts w:hint="eastAsia" w:ascii="宋体" w:hAnsi="宋体" w:cs="宋体"/>
          <w:bCs/>
          <w:sz w:val="24"/>
        </w:rPr>
        <w:t>1.根据学校要求做好寒暑假公寓整体安排，留校学生住宿、卫生等安全管理工作，相应人员值班要到位，做到人员进出登记、物品进出验查登记工作。</w:t>
      </w:r>
    </w:p>
    <w:p w14:paraId="357D6373">
      <w:pPr>
        <w:spacing w:line="440" w:lineRule="exact"/>
        <w:ind w:firstLine="480" w:firstLineChars="200"/>
        <w:jc w:val="left"/>
        <w:rPr>
          <w:rFonts w:ascii="宋体" w:hAnsi="宋体" w:cs="宋体"/>
          <w:bCs/>
          <w:sz w:val="24"/>
        </w:rPr>
      </w:pPr>
      <w:r>
        <w:rPr>
          <w:rFonts w:hint="eastAsia" w:ascii="宋体" w:hAnsi="宋体" w:cs="宋体"/>
          <w:bCs/>
          <w:sz w:val="24"/>
        </w:rPr>
        <w:t>2.配合后勤部门做好设施设备维修工作。</w:t>
      </w:r>
    </w:p>
    <w:p w14:paraId="66E1097E">
      <w:pPr>
        <w:spacing w:line="440" w:lineRule="exact"/>
        <w:ind w:firstLine="480" w:firstLineChars="200"/>
        <w:jc w:val="left"/>
        <w:rPr>
          <w:rFonts w:ascii="宋体" w:hAnsi="宋体" w:cs="宋体"/>
          <w:bCs/>
          <w:sz w:val="24"/>
        </w:rPr>
      </w:pPr>
      <w:r>
        <w:rPr>
          <w:rFonts w:hint="eastAsia" w:ascii="宋体" w:hAnsi="宋体" w:cs="宋体"/>
          <w:bCs/>
          <w:sz w:val="24"/>
        </w:rPr>
        <w:t>3.配合后勤部门做好工程施工工作。</w:t>
      </w:r>
    </w:p>
    <w:p w14:paraId="0D4B1FAD">
      <w:pPr>
        <w:spacing w:line="440" w:lineRule="exact"/>
        <w:ind w:firstLine="240" w:firstLineChars="100"/>
        <w:jc w:val="left"/>
        <w:rPr>
          <w:rFonts w:ascii="宋体" w:hAnsi="宋体" w:cs="宋体"/>
          <w:sz w:val="24"/>
        </w:rPr>
      </w:pPr>
      <w:r>
        <w:rPr>
          <w:rFonts w:hint="eastAsia" w:ascii="宋体" w:hAnsi="宋体" w:cs="宋体"/>
          <w:sz w:val="24"/>
        </w:rPr>
        <w:t>（四）临时床位服务工作要求</w:t>
      </w:r>
    </w:p>
    <w:p w14:paraId="4F9A9C8C">
      <w:pPr>
        <w:pStyle w:val="76"/>
        <w:spacing w:line="440" w:lineRule="exact"/>
        <w:ind w:left="480" w:firstLine="0" w:firstLineChars="0"/>
        <w:jc w:val="left"/>
        <w:rPr>
          <w:rFonts w:ascii="宋体" w:hAnsi="宋体" w:cs="宋体"/>
          <w:bCs/>
          <w:sz w:val="24"/>
          <w:szCs w:val="24"/>
        </w:rPr>
      </w:pPr>
      <w:r>
        <w:rPr>
          <w:rFonts w:hint="eastAsia" w:ascii="宋体" w:hAnsi="宋体" w:cs="宋体"/>
          <w:bCs/>
          <w:sz w:val="24"/>
          <w:szCs w:val="24"/>
        </w:rPr>
        <w:t>1.临时床位的日常入住、退宿等办理服务工作。</w:t>
      </w:r>
    </w:p>
    <w:p w14:paraId="2FBFA6D6">
      <w:pPr>
        <w:pStyle w:val="76"/>
        <w:tabs>
          <w:tab w:val="left" w:pos="1059"/>
        </w:tabs>
        <w:spacing w:line="440" w:lineRule="exact"/>
        <w:ind w:left="480" w:firstLine="0" w:firstLineChars="0"/>
        <w:jc w:val="left"/>
        <w:rPr>
          <w:rFonts w:ascii="宋体" w:hAnsi="宋体" w:cs="宋体"/>
          <w:bCs/>
          <w:sz w:val="24"/>
          <w:szCs w:val="24"/>
        </w:rPr>
      </w:pPr>
      <w:r>
        <w:rPr>
          <w:rFonts w:hint="eastAsia" w:ascii="宋体" w:hAnsi="宋体" w:cs="宋体"/>
          <w:bCs/>
          <w:sz w:val="24"/>
          <w:szCs w:val="24"/>
        </w:rPr>
        <w:t>2.临时床位的日常保洁、被褥被套更换工作。</w:t>
      </w:r>
    </w:p>
    <w:p w14:paraId="04406A08">
      <w:pPr>
        <w:pStyle w:val="76"/>
        <w:tabs>
          <w:tab w:val="left" w:pos="1059"/>
        </w:tabs>
        <w:spacing w:line="440" w:lineRule="exact"/>
        <w:ind w:left="480" w:firstLine="0" w:firstLineChars="0"/>
        <w:jc w:val="left"/>
        <w:rPr>
          <w:rFonts w:ascii="宋体" w:hAnsi="宋体" w:cs="宋体"/>
          <w:bCs/>
          <w:sz w:val="24"/>
          <w:szCs w:val="24"/>
        </w:rPr>
      </w:pPr>
      <w:r>
        <w:rPr>
          <w:rFonts w:hint="eastAsia" w:ascii="宋体" w:hAnsi="宋体" w:cs="宋体"/>
          <w:bCs/>
          <w:sz w:val="24"/>
          <w:szCs w:val="24"/>
        </w:rPr>
        <w:t>3.临时床位的安全巡查。</w:t>
      </w:r>
    </w:p>
    <w:p w14:paraId="5AEBDE52">
      <w:pPr>
        <w:spacing w:line="440" w:lineRule="exact"/>
        <w:ind w:firstLine="240" w:firstLineChars="100"/>
        <w:jc w:val="left"/>
        <w:rPr>
          <w:rFonts w:ascii="宋体" w:hAnsi="宋体" w:cs="宋体"/>
          <w:b/>
          <w:sz w:val="24"/>
        </w:rPr>
      </w:pPr>
      <w:r>
        <w:rPr>
          <w:rFonts w:hint="eastAsia" w:ascii="宋体" w:hAnsi="宋体" w:cs="宋体"/>
          <w:sz w:val="24"/>
        </w:rPr>
        <w:t>（五）其他要求</w:t>
      </w:r>
    </w:p>
    <w:p w14:paraId="456492A1">
      <w:pPr>
        <w:spacing w:line="440" w:lineRule="exact"/>
        <w:ind w:firstLine="480" w:firstLineChars="200"/>
        <w:jc w:val="left"/>
        <w:rPr>
          <w:rFonts w:ascii="宋体" w:hAnsi="宋体" w:cs="宋体"/>
          <w:bCs/>
          <w:sz w:val="24"/>
        </w:rPr>
      </w:pPr>
      <w:r>
        <w:rPr>
          <w:rFonts w:hint="eastAsia" w:ascii="宋体" w:hAnsi="宋体" w:cs="宋体"/>
          <w:bCs/>
          <w:sz w:val="24"/>
        </w:rPr>
        <w:t>1、为保障学生公寓服务交接平稳</w:t>
      </w:r>
      <w:r>
        <w:rPr>
          <w:rFonts w:hint="eastAsia" w:ascii="宋体" w:hAnsi="宋体" w:cs="宋体"/>
          <w:bCs/>
          <w:sz w:val="24"/>
          <w:lang w:eastAsia="zh-CN"/>
        </w:rPr>
        <w:t>过渡</w:t>
      </w:r>
      <w:r>
        <w:rPr>
          <w:rFonts w:hint="eastAsia" w:ascii="宋体" w:hAnsi="宋体" w:cs="宋体"/>
          <w:bCs/>
          <w:sz w:val="24"/>
        </w:rPr>
        <w:t>，要求中标单位承诺合同履约开始时（202</w:t>
      </w:r>
      <w:r>
        <w:rPr>
          <w:rFonts w:hint="eastAsia" w:ascii="宋体" w:hAnsi="宋体" w:cs="宋体"/>
          <w:bCs/>
          <w:sz w:val="24"/>
          <w:lang w:val="en-US" w:eastAsia="zh-CN"/>
        </w:rPr>
        <w:t>5</w:t>
      </w:r>
      <w:r>
        <w:rPr>
          <w:rFonts w:hint="eastAsia" w:ascii="宋体" w:hAnsi="宋体" w:cs="宋体"/>
          <w:bCs/>
          <w:sz w:val="24"/>
        </w:rPr>
        <w:t xml:space="preserve">年8月1日）提前三天人员全部到位，进行熟悉现场环境及服务内容，并完成与原服务供应商的工作交接。 </w:t>
      </w:r>
    </w:p>
    <w:p w14:paraId="3AB08D4A">
      <w:pPr>
        <w:pStyle w:val="38"/>
        <w:spacing w:before="0" w:beforeAutospacing="0" w:after="0" w:afterAutospacing="0" w:line="440" w:lineRule="exact"/>
        <w:ind w:firstLine="373"/>
      </w:pPr>
      <w:r>
        <w:rPr>
          <w:rFonts w:hint="eastAsia"/>
        </w:rPr>
        <w:t>2、</w:t>
      </w:r>
      <w:r>
        <w:rPr>
          <w:rFonts w:hint="eastAsia"/>
          <w:bCs/>
        </w:rPr>
        <w:t>若遇北京疫</w:t>
      </w:r>
      <w:r>
        <w:rPr>
          <w:rFonts w:hint="eastAsia"/>
        </w:rPr>
        <w:t>情防控需要，校园实行动态封闭式管理期间，合同结算时将按照实际到岗人数进行核算。人员工资在原合同标准的基础上参照北京相关政策执行。</w:t>
      </w:r>
    </w:p>
    <w:p w14:paraId="7385238C">
      <w:pPr>
        <w:spacing w:line="440" w:lineRule="exact"/>
        <w:ind w:firstLine="240" w:firstLineChars="100"/>
        <w:jc w:val="left"/>
        <w:rPr>
          <w:rFonts w:ascii="宋体" w:hAnsi="宋体" w:cs="宋体"/>
          <w:sz w:val="24"/>
        </w:rPr>
      </w:pPr>
      <w:r>
        <w:rPr>
          <w:rFonts w:hint="eastAsia" w:ascii="宋体" w:hAnsi="宋体" w:cs="宋体"/>
          <w:sz w:val="24"/>
        </w:rPr>
        <w:t>（六）付款条件（进度和方式）</w:t>
      </w:r>
      <w:r>
        <w:rPr>
          <w:rFonts w:hint="eastAsia" w:ascii="宋体" w:hAnsi="宋体" w:cs="宋体"/>
          <w:sz w:val="24"/>
          <w:lang w:val="en-US" w:eastAsia="zh-CN"/>
        </w:rPr>
        <w:t>按</w:t>
      </w:r>
      <w:r>
        <w:rPr>
          <w:rFonts w:hint="eastAsia" w:ascii="宋体" w:hAnsi="宋体" w:cs="宋体"/>
          <w:sz w:val="24"/>
        </w:rPr>
        <w:t>合同相关规定。</w:t>
      </w:r>
    </w:p>
    <w:p w14:paraId="78FF61C6">
      <w:pPr>
        <w:spacing w:line="440" w:lineRule="exact"/>
        <w:ind w:firstLine="240" w:firstLineChars="100"/>
        <w:jc w:val="left"/>
        <w:rPr>
          <w:rFonts w:ascii="宋体" w:hAnsi="宋体" w:cs="宋体"/>
          <w:sz w:val="24"/>
        </w:rPr>
      </w:pPr>
      <w:r>
        <w:rPr>
          <w:rFonts w:hint="eastAsia" w:ascii="宋体" w:hAnsi="宋体" w:cs="宋体"/>
          <w:sz w:val="24"/>
        </w:rPr>
        <w:t>（七）验收标准</w:t>
      </w:r>
    </w:p>
    <w:p w14:paraId="4C5A7A11">
      <w:pPr>
        <w:spacing w:line="440" w:lineRule="exact"/>
        <w:ind w:firstLine="240" w:firstLineChars="100"/>
        <w:jc w:val="left"/>
        <w:rPr>
          <w:rFonts w:ascii="宋体" w:hAnsi="宋体" w:cs="宋体"/>
          <w:sz w:val="24"/>
        </w:rPr>
      </w:pPr>
      <w:r>
        <w:rPr>
          <w:rFonts w:hint="eastAsia" w:ascii="宋体" w:hAnsi="宋体" w:cs="宋体"/>
          <w:sz w:val="24"/>
        </w:rPr>
        <w:t>1、本项目进行过程验收及终验。</w:t>
      </w:r>
    </w:p>
    <w:p w14:paraId="6BDE20CB">
      <w:pPr>
        <w:spacing w:line="440" w:lineRule="exact"/>
        <w:ind w:firstLine="240" w:firstLineChars="100"/>
        <w:jc w:val="left"/>
        <w:rPr>
          <w:rFonts w:ascii="宋体" w:hAnsi="宋体" w:cs="宋体"/>
          <w:sz w:val="24"/>
        </w:rPr>
      </w:pPr>
      <w:r>
        <w:rPr>
          <w:rFonts w:hint="eastAsia" w:ascii="宋体" w:hAnsi="宋体" w:cs="宋体"/>
          <w:sz w:val="24"/>
        </w:rPr>
        <w:t>1）过程验收：采购人自行验收，合同执行中（第二次付款前），采购人根据招标文件、投标文件及与中标人签订的合同内容进行验收。验收方式为书面验收。</w:t>
      </w:r>
    </w:p>
    <w:p w14:paraId="466F032C">
      <w:pPr>
        <w:spacing w:line="440" w:lineRule="exact"/>
        <w:ind w:firstLine="240" w:firstLineChars="100"/>
        <w:jc w:val="left"/>
        <w:rPr>
          <w:rFonts w:ascii="宋体" w:hAnsi="宋体" w:cs="宋体"/>
          <w:sz w:val="24"/>
        </w:rPr>
      </w:pPr>
      <w:r>
        <w:rPr>
          <w:rFonts w:hint="eastAsia" w:ascii="宋体" w:hAnsi="宋体" w:cs="宋体"/>
          <w:sz w:val="24"/>
        </w:rPr>
        <w:t>验收合格标准：乙方为甲方提供的服务质量应符合国家或相关行业的标准。乙方为甲方提供的服务质量符合国家、北京市相关管理办法的规定、招标文件、投标文件及签订的合同内容，过程验收合格。</w:t>
      </w:r>
    </w:p>
    <w:p w14:paraId="050B6A86">
      <w:pPr>
        <w:spacing w:line="440" w:lineRule="exact"/>
        <w:ind w:firstLine="240" w:firstLineChars="100"/>
        <w:jc w:val="left"/>
        <w:rPr>
          <w:rFonts w:ascii="宋体" w:hAnsi="宋体" w:cs="宋体"/>
          <w:sz w:val="24"/>
        </w:rPr>
      </w:pPr>
      <w:r>
        <w:rPr>
          <w:rFonts w:hint="eastAsia" w:ascii="宋体" w:hAnsi="宋体" w:cs="宋体"/>
          <w:sz w:val="24"/>
        </w:rPr>
        <w:t>2）终验：采购人自行验收，合同履行期限结束时，采购人根据招标文件、投标文件及与中标人签订的合同内容进行验收。验收方式为书面验收。</w:t>
      </w:r>
    </w:p>
    <w:p w14:paraId="5486DA5F">
      <w:pPr>
        <w:spacing w:line="440" w:lineRule="exact"/>
        <w:ind w:firstLine="240" w:firstLineChars="100"/>
        <w:jc w:val="left"/>
        <w:rPr>
          <w:rFonts w:ascii="宋体" w:hAnsi="宋体" w:cs="宋体"/>
          <w:sz w:val="24"/>
        </w:rPr>
      </w:pPr>
      <w:r>
        <w:rPr>
          <w:rFonts w:hint="eastAsia" w:ascii="宋体" w:hAnsi="宋体" w:cs="宋体"/>
          <w:sz w:val="24"/>
        </w:rPr>
        <w:t>验收合格标准：乙方为甲方提供的服务质量应符合国家或相关行业的标准。乙方为甲方提供的服务质量符合国家、北京市相关管理办法的规定、招标文件、投标文件及签订的合同内容，验收合格</w:t>
      </w:r>
      <w:r>
        <w:rPr>
          <w:rFonts w:ascii="宋体" w:hAnsi="宋体" w:cs="宋体"/>
          <w:color w:val="7030A0"/>
          <w:sz w:val="24"/>
        </w:rPr>
        <w:t>。</w:t>
      </w:r>
    </w:p>
    <w:p w14:paraId="245E4D15">
      <w:pPr>
        <w:spacing w:line="440" w:lineRule="exact"/>
        <w:ind w:firstLine="240" w:firstLineChars="100"/>
        <w:jc w:val="left"/>
        <w:rPr>
          <w:rFonts w:ascii="宋体" w:hAnsi="宋体" w:cs="宋体"/>
          <w:sz w:val="24"/>
        </w:rPr>
      </w:pPr>
      <w:r>
        <w:rPr>
          <w:rFonts w:hint="eastAsia" w:ascii="宋体" w:hAnsi="宋体" w:cs="宋体"/>
          <w:sz w:val="24"/>
        </w:rPr>
        <w:t xml:space="preserve">2、履约验收程序： </w:t>
      </w:r>
    </w:p>
    <w:p w14:paraId="357C73A3">
      <w:pPr>
        <w:spacing w:line="440" w:lineRule="exact"/>
        <w:ind w:firstLine="240" w:firstLineChars="100"/>
        <w:jc w:val="left"/>
        <w:rPr>
          <w:rFonts w:ascii="宋体" w:hAnsi="宋体" w:cs="宋体"/>
          <w:sz w:val="24"/>
        </w:rPr>
      </w:pPr>
      <w:r>
        <w:rPr>
          <w:rFonts w:hint="eastAsia" w:ascii="宋体" w:hAnsi="宋体" w:cs="宋体"/>
          <w:sz w:val="24"/>
        </w:rPr>
        <w:t>甲方根据合同约定对乙方提交的成果进行验收，验收合格的，视为乙方已交付工作成果。验收不合格的，乙方应当在 10 日内按照甲方要求进行返工或调整，并重新提交甲方验收。乙方因此未能按时交付或经整改后仍未通过甲方验收的，应按本合同约定承担逾期交付的违约责任。）</w:t>
      </w:r>
    </w:p>
    <w:p w14:paraId="26B11D64">
      <w:pPr>
        <w:spacing w:line="440" w:lineRule="exact"/>
        <w:ind w:firstLine="240" w:firstLineChars="100"/>
        <w:jc w:val="left"/>
        <w:rPr>
          <w:rFonts w:ascii="宋体" w:hAnsi="宋体" w:cs="宋体"/>
          <w:sz w:val="24"/>
        </w:rPr>
      </w:pPr>
      <w:r>
        <w:rPr>
          <w:rFonts w:hint="eastAsia" w:ascii="宋体" w:hAnsi="宋体" w:cs="宋体"/>
          <w:sz w:val="24"/>
        </w:rPr>
        <w:t xml:space="preserve">3、履约验收的内容： </w:t>
      </w:r>
    </w:p>
    <w:p w14:paraId="41374890">
      <w:pPr>
        <w:spacing w:line="440" w:lineRule="exact"/>
        <w:ind w:firstLine="240" w:firstLineChars="100"/>
        <w:jc w:val="left"/>
        <w:rPr>
          <w:rFonts w:ascii="宋体" w:hAnsi="宋体" w:cs="宋体"/>
          <w:sz w:val="24"/>
        </w:rPr>
      </w:pPr>
      <w:r>
        <w:rPr>
          <w:rFonts w:hint="eastAsia" w:ascii="宋体" w:hAnsi="宋体" w:cs="宋体"/>
          <w:sz w:val="24"/>
        </w:rPr>
        <w:t>针对招标文件的每一项商务、技术要求进行验收。</w:t>
      </w:r>
    </w:p>
    <w:p w14:paraId="02E9B38A">
      <w:pPr>
        <w:spacing w:line="440" w:lineRule="exact"/>
        <w:ind w:firstLine="240" w:firstLineChars="100"/>
        <w:jc w:val="left"/>
        <w:rPr>
          <w:rFonts w:ascii="宋体" w:hAnsi="宋体" w:cs="宋体"/>
          <w:color w:val="7030A0"/>
          <w:sz w:val="24"/>
        </w:rPr>
      </w:pPr>
      <w:r>
        <w:rPr>
          <w:rFonts w:hint="eastAsia" w:ascii="宋体" w:hAnsi="宋体" w:cs="宋体"/>
          <w:sz w:val="24"/>
        </w:rPr>
        <w:t>4、验收标准:</w:t>
      </w:r>
    </w:p>
    <w:p w14:paraId="78F8DEC9">
      <w:pPr>
        <w:spacing w:line="440" w:lineRule="exact"/>
        <w:ind w:firstLine="240" w:firstLineChars="100"/>
        <w:jc w:val="left"/>
        <w:rPr>
          <w:rFonts w:ascii="宋体" w:hAnsi="宋体" w:cs="宋体"/>
          <w:sz w:val="24"/>
        </w:rPr>
      </w:pPr>
      <w:r>
        <w:rPr>
          <w:rFonts w:hint="eastAsia" w:ascii="宋体" w:hAnsi="宋体" w:cs="宋体"/>
          <w:sz w:val="24"/>
        </w:rPr>
        <w:t>乙方为甲方提供的服务质量应符合国家或相关行业的标准。乙方为甲方提供的服务质量符合国家、北京市相关管理办法的规定、招</w:t>
      </w:r>
      <w:r>
        <w:rPr>
          <w:rFonts w:ascii="宋体" w:hAnsi="宋体" w:cs="宋体"/>
          <w:sz w:val="24"/>
        </w:rPr>
        <w:t>标</w:t>
      </w:r>
      <w:r>
        <w:rPr>
          <w:rFonts w:hint="eastAsia" w:ascii="宋体" w:hAnsi="宋体" w:cs="宋体"/>
          <w:sz w:val="24"/>
        </w:rPr>
        <w:t>文件</w:t>
      </w:r>
      <w:r>
        <w:rPr>
          <w:rFonts w:ascii="宋体" w:hAnsi="宋体" w:cs="宋体"/>
          <w:sz w:val="24"/>
        </w:rPr>
        <w:t>、投标文件及</w:t>
      </w:r>
      <w:r>
        <w:rPr>
          <w:rFonts w:hint="eastAsia" w:ascii="宋体" w:hAnsi="宋体" w:cs="宋体"/>
          <w:sz w:val="24"/>
        </w:rPr>
        <w:t>签订的合同内容，</w:t>
      </w:r>
      <w:r>
        <w:rPr>
          <w:rFonts w:ascii="宋体" w:hAnsi="宋体" w:cs="宋体"/>
          <w:sz w:val="24"/>
        </w:rPr>
        <w:t>验收合格。</w:t>
      </w:r>
    </w:p>
    <w:p w14:paraId="58454324">
      <w:pPr>
        <w:ind w:firstLine="482" w:firstLineChars="200"/>
        <w:rPr>
          <w:rFonts w:hint="eastAsia" w:ascii="宋体" w:hAnsi="宋体" w:cs="宋体"/>
          <w:b/>
          <w:sz w:val="24"/>
        </w:rPr>
      </w:pPr>
    </w:p>
    <w:p w14:paraId="12AE1461">
      <w:pPr>
        <w:ind w:firstLine="482" w:firstLineChars="200"/>
        <w:rPr>
          <w:rFonts w:hint="eastAsia" w:ascii="宋体" w:hAnsi="宋体" w:cs="宋体"/>
          <w:b/>
          <w:sz w:val="24"/>
        </w:rPr>
      </w:pPr>
    </w:p>
    <w:p w14:paraId="101A146F">
      <w:pPr>
        <w:ind w:firstLine="482" w:firstLineChars="200"/>
        <w:rPr>
          <w:rFonts w:hint="eastAsia" w:ascii="宋体" w:hAnsi="宋体" w:cs="宋体"/>
          <w:b/>
          <w:sz w:val="24"/>
        </w:rPr>
      </w:pPr>
    </w:p>
    <w:p w14:paraId="276E642B">
      <w:pPr>
        <w:ind w:firstLine="482" w:firstLineChars="200"/>
        <w:rPr>
          <w:rFonts w:hint="eastAsia" w:ascii="宋体" w:hAnsi="宋体" w:cs="宋体"/>
          <w:b/>
          <w:sz w:val="24"/>
        </w:rPr>
      </w:pPr>
    </w:p>
    <w:p w14:paraId="3D514DAE">
      <w:pPr>
        <w:ind w:firstLine="482" w:firstLineChars="200"/>
        <w:rPr>
          <w:rFonts w:hint="eastAsia" w:ascii="宋体" w:hAnsi="宋体" w:cs="宋体"/>
          <w:b/>
          <w:sz w:val="24"/>
        </w:rPr>
      </w:pPr>
    </w:p>
    <w:p w14:paraId="6AC7CD91">
      <w:pPr>
        <w:ind w:firstLine="482" w:firstLineChars="200"/>
        <w:rPr>
          <w:rFonts w:hint="eastAsia" w:ascii="宋体" w:hAnsi="宋体" w:cs="宋体"/>
          <w:b/>
          <w:sz w:val="24"/>
        </w:rPr>
      </w:pPr>
    </w:p>
    <w:p w14:paraId="5AB20B83">
      <w:pPr>
        <w:ind w:firstLine="482" w:firstLineChars="200"/>
        <w:rPr>
          <w:rFonts w:ascii="宋体" w:hAnsi="宋体" w:cs="宋体"/>
          <w:b/>
          <w:sz w:val="24"/>
        </w:rPr>
      </w:pPr>
      <w:r>
        <w:rPr>
          <w:rFonts w:hint="eastAsia" w:ascii="宋体" w:hAnsi="宋体" w:cs="宋体"/>
          <w:b/>
          <w:sz w:val="24"/>
        </w:rPr>
        <w:t>附件：学生公寓标准化管理项目人员配备表</w:t>
      </w:r>
    </w:p>
    <w:p w14:paraId="5A08E06D">
      <w:pPr>
        <w:snapToGrid w:val="0"/>
        <w:rPr>
          <w:rFonts w:ascii="宋体" w:hAnsi="宋体" w:cs="宋体"/>
          <w:sz w:val="24"/>
        </w:rPr>
      </w:pPr>
    </w:p>
    <w:p w14:paraId="4DE87495">
      <w:pPr>
        <w:snapToGrid w:val="0"/>
        <w:rPr>
          <w:rFonts w:ascii="宋体" w:hAnsi="宋体" w:cs="宋体"/>
          <w:sz w:val="24"/>
        </w:rPr>
      </w:pPr>
    </w:p>
    <w:p w14:paraId="03174DD1">
      <w:pPr>
        <w:snapToGrid w:val="0"/>
        <w:jc w:val="center"/>
        <w:rPr>
          <w:rFonts w:ascii="宋体" w:hAnsi="宋体" w:cs="宋体"/>
          <w:b/>
          <w:sz w:val="24"/>
        </w:rPr>
      </w:pPr>
      <w:r>
        <w:rPr>
          <w:rFonts w:hint="eastAsia" w:ascii="宋体" w:hAnsi="宋体" w:cs="宋体"/>
          <w:b/>
          <w:sz w:val="24"/>
        </w:rPr>
        <w:t>学生公寓标准化管理项目人员配备表</w:t>
      </w:r>
    </w:p>
    <w:p w14:paraId="531F8D9E">
      <w:pPr>
        <w:snapToGrid w:val="0"/>
        <w:jc w:val="center"/>
        <w:rPr>
          <w:rFonts w:ascii="宋体" w:hAnsi="宋体" w:cs="宋体"/>
          <w:b/>
          <w:sz w:val="24"/>
        </w:rPr>
      </w:pP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664"/>
        <w:gridCol w:w="835"/>
        <w:gridCol w:w="773"/>
        <w:gridCol w:w="647"/>
        <w:gridCol w:w="777"/>
        <w:gridCol w:w="777"/>
        <w:gridCol w:w="780"/>
        <w:gridCol w:w="773"/>
        <w:gridCol w:w="782"/>
        <w:gridCol w:w="774"/>
      </w:tblGrid>
      <w:tr w14:paraId="65D4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Merge w:val="restart"/>
            <w:vAlign w:val="center"/>
          </w:tcPr>
          <w:p w14:paraId="1425B26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服务场地</w:t>
            </w:r>
          </w:p>
        </w:tc>
        <w:tc>
          <w:tcPr>
            <w:tcW w:w="390" w:type="pct"/>
            <w:vMerge w:val="restart"/>
            <w:vAlign w:val="center"/>
          </w:tcPr>
          <w:p w14:paraId="5292BD56">
            <w:pPr>
              <w:widowControl/>
              <w:adjustRightInd w:val="0"/>
              <w:snapToGrid w:val="0"/>
              <w:jc w:val="center"/>
              <w:rPr>
                <w:rFonts w:ascii="宋体" w:hAnsi="宋体" w:cs="宋体"/>
                <w:kern w:val="0"/>
                <w:szCs w:val="21"/>
              </w:rPr>
            </w:pPr>
            <w:r>
              <w:rPr>
                <w:rFonts w:hint="eastAsia" w:ascii="宋体" w:hAnsi="宋体" w:cs="宋体"/>
                <w:kern w:val="0"/>
                <w:szCs w:val="21"/>
              </w:rPr>
              <w:t>楼层</w:t>
            </w:r>
          </w:p>
        </w:tc>
        <w:tc>
          <w:tcPr>
            <w:tcW w:w="489" w:type="pct"/>
            <w:vMerge w:val="restart"/>
            <w:vAlign w:val="center"/>
          </w:tcPr>
          <w:p w14:paraId="17DEE00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住宿人员</w:t>
            </w:r>
          </w:p>
        </w:tc>
        <w:tc>
          <w:tcPr>
            <w:tcW w:w="454" w:type="pct"/>
            <w:vMerge w:val="restart"/>
            <w:vAlign w:val="center"/>
          </w:tcPr>
          <w:p w14:paraId="0A7D2C6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住宿人数</w:t>
            </w:r>
          </w:p>
        </w:tc>
        <w:tc>
          <w:tcPr>
            <w:tcW w:w="1750" w:type="pct"/>
            <w:gridSpan w:val="4"/>
            <w:vAlign w:val="center"/>
          </w:tcPr>
          <w:p w14:paraId="73044F2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教学期</w:t>
            </w:r>
          </w:p>
        </w:tc>
        <w:tc>
          <w:tcPr>
            <w:tcW w:w="913" w:type="pct"/>
            <w:gridSpan w:val="2"/>
            <w:vAlign w:val="center"/>
          </w:tcPr>
          <w:p w14:paraId="4914BD3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假期</w:t>
            </w:r>
          </w:p>
        </w:tc>
        <w:tc>
          <w:tcPr>
            <w:tcW w:w="454" w:type="pct"/>
            <w:vMerge w:val="restart"/>
            <w:vAlign w:val="center"/>
          </w:tcPr>
          <w:p w14:paraId="3035DAB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备注</w:t>
            </w:r>
          </w:p>
        </w:tc>
      </w:tr>
      <w:tr w14:paraId="6B3C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Merge w:val="continue"/>
            <w:vAlign w:val="center"/>
          </w:tcPr>
          <w:p w14:paraId="50514E3D">
            <w:pPr>
              <w:widowControl/>
              <w:tabs>
                <w:tab w:val="left" w:pos="8400"/>
              </w:tabs>
              <w:adjustRightInd w:val="0"/>
              <w:snapToGrid w:val="0"/>
              <w:jc w:val="center"/>
              <w:rPr>
                <w:rFonts w:ascii="宋体" w:hAnsi="宋体" w:cs="宋体"/>
                <w:kern w:val="0"/>
                <w:szCs w:val="21"/>
              </w:rPr>
            </w:pPr>
          </w:p>
        </w:tc>
        <w:tc>
          <w:tcPr>
            <w:tcW w:w="390" w:type="pct"/>
            <w:vMerge w:val="continue"/>
            <w:vAlign w:val="center"/>
          </w:tcPr>
          <w:p w14:paraId="36F088B8">
            <w:pPr>
              <w:widowControl/>
              <w:adjustRightInd w:val="0"/>
              <w:snapToGrid w:val="0"/>
              <w:jc w:val="center"/>
              <w:rPr>
                <w:rFonts w:ascii="宋体" w:hAnsi="宋体" w:cs="宋体"/>
                <w:kern w:val="0"/>
                <w:szCs w:val="21"/>
              </w:rPr>
            </w:pPr>
          </w:p>
        </w:tc>
        <w:tc>
          <w:tcPr>
            <w:tcW w:w="489" w:type="pct"/>
            <w:vMerge w:val="continue"/>
            <w:vAlign w:val="center"/>
          </w:tcPr>
          <w:p w14:paraId="0F694F1D">
            <w:pPr>
              <w:widowControl/>
              <w:tabs>
                <w:tab w:val="left" w:pos="8400"/>
              </w:tabs>
              <w:adjustRightInd w:val="0"/>
              <w:snapToGrid w:val="0"/>
              <w:jc w:val="center"/>
              <w:rPr>
                <w:rFonts w:ascii="宋体" w:hAnsi="宋体" w:cs="宋体"/>
                <w:kern w:val="0"/>
                <w:szCs w:val="21"/>
              </w:rPr>
            </w:pPr>
          </w:p>
        </w:tc>
        <w:tc>
          <w:tcPr>
            <w:tcW w:w="454" w:type="pct"/>
            <w:vMerge w:val="continue"/>
            <w:vAlign w:val="center"/>
          </w:tcPr>
          <w:p w14:paraId="4C512A78">
            <w:pPr>
              <w:widowControl/>
              <w:tabs>
                <w:tab w:val="left" w:pos="8400"/>
              </w:tabs>
              <w:adjustRightInd w:val="0"/>
              <w:snapToGrid w:val="0"/>
              <w:jc w:val="center"/>
              <w:rPr>
                <w:rFonts w:ascii="宋体" w:hAnsi="宋体" w:cs="宋体"/>
                <w:kern w:val="0"/>
                <w:szCs w:val="21"/>
              </w:rPr>
            </w:pPr>
          </w:p>
        </w:tc>
        <w:tc>
          <w:tcPr>
            <w:tcW w:w="836" w:type="pct"/>
            <w:gridSpan w:val="2"/>
            <w:vAlign w:val="center"/>
          </w:tcPr>
          <w:p w14:paraId="7D3DF0C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南校</w:t>
            </w:r>
          </w:p>
        </w:tc>
        <w:tc>
          <w:tcPr>
            <w:tcW w:w="913" w:type="pct"/>
            <w:gridSpan w:val="2"/>
            <w:vAlign w:val="center"/>
          </w:tcPr>
          <w:p w14:paraId="5A2412F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北校</w:t>
            </w:r>
          </w:p>
        </w:tc>
        <w:tc>
          <w:tcPr>
            <w:tcW w:w="454" w:type="pct"/>
            <w:vMerge w:val="restart"/>
            <w:vAlign w:val="center"/>
          </w:tcPr>
          <w:p w14:paraId="29A867A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南校</w:t>
            </w:r>
          </w:p>
        </w:tc>
        <w:tc>
          <w:tcPr>
            <w:tcW w:w="458" w:type="pct"/>
            <w:vMerge w:val="restart"/>
            <w:vAlign w:val="center"/>
          </w:tcPr>
          <w:p w14:paraId="2E8578AF">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北校</w:t>
            </w:r>
          </w:p>
        </w:tc>
        <w:tc>
          <w:tcPr>
            <w:tcW w:w="454" w:type="pct"/>
            <w:vMerge w:val="continue"/>
            <w:vAlign w:val="center"/>
          </w:tcPr>
          <w:p w14:paraId="2017AF58">
            <w:pPr>
              <w:widowControl/>
              <w:tabs>
                <w:tab w:val="left" w:pos="8400"/>
              </w:tabs>
              <w:adjustRightInd w:val="0"/>
              <w:snapToGrid w:val="0"/>
              <w:jc w:val="center"/>
              <w:rPr>
                <w:rFonts w:ascii="宋体" w:hAnsi="宋体" w:cs="宋体"/>
                <w:kern w:val="0"/>
                <w:szCs w:val="21"/>
              </w:rPr>
            </w:pPr>
          </w:p>
        </w:tc>
      </w:tr>
      <w:tr w14:paraId="0215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Merge w:val="continue"/>
            <w:vAlign w:val="center"/>
          </w:tcPr>
          <w:p w14:paraId="1AA315C4">
            <w:pPr>
              <w:widowControl/>
              <w:tabs>
                <w:tab w:val="left" w:pos="8400"/>
              </w:tabs>
              <w:adjustRightInd w:val="0"/>
              <w:snapToGrid w:val="0"/>
              <w:jc w:val="center"/>
              <w:rPr>
                <w:rFonts w:ascii="宋体" w:hAnsi="宋体" w:cs="宋体"/>
                <w:kern w:val="0"/>
                <w:szCs w:val="21"/>
              </w:rPr>
            </w:pPr>
          </w:p>
        </w:tc>
        <w:tc>
          <w:tcPr>
            <w:tcW w:w="390" w:type="pct"/>
            <w:vMerge w:val="continue"/>
            <w:vAlign w:val="center"/>
          </w:tcPr>
          <w:p w14:paraId="6249F4FC">
            <w:pPr>
              <w:widowControl/>
              <w:adjustRightInd w:val="0"/>
              <w:snapToGrid w:val="0"/>
              <w:jc w:val="center"/>
              <w:rPr>
                <w:rFonts w:ascii="宋体" w:hAnsi="宋体" w:cs="宋体"/>
                <w:kern w:val="0"/>
                <w:szCs w:val="21"/>
              </w:rPr>
            </w:pPr>
          </w:p>
        </w:tc>
        <w:tc>
          <w:tcPr>
            <w:tcW w:w="489" w:type="pct"/>
            <w:vMerge w:val="continue"/>
            <w:vAlign w:val="center"/>
          </w:tcPr>
          <w:p w14:paraId="26900937">
            <w:pPr>
              <w:widowControl/>
              <w:tabs>
                <w:tab w:val="left" w:pos="8400"/>
              </w:tabs>
              <w:adjustRightInd w:val="0"/>
              <w:snapToGrid w:val="0"/>
              <w:jc w:val="center"/>
              <w:rPr>
                <w:rFonts w:ascii="宋体" w:hAnsi="宋体" w:cs="宋体"/>
                <w:kern w:val="0"/>
                <w:szCs w:val="21"/>
              </w:rPr>
            </w:pPr>
          </w:p>
        </w:tc>
        <w:tc>
          <w:tcPr>
            <w:tcW w:w="454" w:type="pct"/>
            <w:vMerge w:val="continue"/>
            <w:vAlign w:val="center"/>
          </w:tcPr>
          <w:p w14:paraId="2B26AD60">
            <w:pPr>
              <w:widowControl/>
              <w:tabs>
                <w:tab w:val="left" w:pos="8400"/>
              </w:tabs>
              <w:adjustRightInd w:val="0"/>
              <w:snapToGrid w:val="0"/>
              <w:jc w:val="center"/>
              <w:rPr>
                <w:rFonts w:ascii="宋体" w:hAnsi="宋体" w:cs="宋体"/>
                <w:kern w:val="0"/>
                <w:szCs w:val="21"/>
              </w:rPr>
            </w:pPr>
          </w:p>
        </w:tc>
        <w:tc>
          <w:tcPr>
            <w:tcW w:w="380" w:type="pct"/>
            <w:vAlign w:val="center"/>
          </w:tcPr>
          <w:p w14:paraId="2CCE853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宿管</w:t>
            </w:r>
          </w:p>
        </w:tc>
        <w:tc>
          <w:tcPr>
            <w:tcW w:w="456" w:type="pct"/>
            <w:vAlign w:val="center"/>
          </w:tcPr>
          <w:p w14:paraId="721927D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保洁</w:t>
            </w:r>
          </w:p>
        </w:tc>
        <w:tc>
          <w:tcPr>
            <w:tcW w:w="456" w:type="pct"/>
            <w:vAlign w:val="center"/>
          </w:tcPr>
          <w:p w14:paraId="70BA184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宿管</w:t>
            </w:r>
          </w:p>
        </w:tc>
        <w:tc>
          <w:tcPr>
            <w:tcW w:w="457" w:type="pct"/>
            <w:vAlign w:val="center"/>
          </w:tcPr>
          <w:p w14:paraId="34F71A4C">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保洁</w:t>
            </w:r>
          </w:p>
        </w:tc>
        <w:tc>
          <w:tcPr>
            <w:tcW w:w="454" w:type="pct"/>
            <w:vMerge w:val="continue"/>
            <w:vAlign w:val="center"/>
          </w:tcPr>
          <w:p w14:paraId="2F42AD73">
            <w:pPr>
              <w:widowControl/>
              <w:tabs>
                <w:tab w:val="left" w:pos="8400"/>
              </w:tabs>
              <w:adjustRightInd w:val="0"/>
              <w:snapToGrid w:val="0"/>
              <w:jc w:val="center"/>
              <w:rPr>
                <w:rFonts w:ascii="宋体" w:hAnsi="宋体" w:cs="宋体"/>
                <w:kern w:val="0"/>
                <w:szCs w:val="21"/>
              </w:rPr>
            </w:pPr>
          </w:p>
        </w:tc>
        <w:tc>
          <w:tcPr>
            <w:tcW w:w="458" w:type="pct"/>
            <w:vMerge w:val="continue"/>
            <w:vAlign w:val="center"/>
          </w:tcPr>
          <w:p w14:paraId="0FEA8CAC">
            <w:pPr>
              <w:widowControl/>
              <w:tabs>
                <w:tab w:val="left" w:pos="8400"/>
              </w:tabs>
              <w:adjustRightInd w:val="0"/>
              <w:snapToGrid w:val="0"/>
              <w:jc w:val="center"/>
              <w:rPr>
                <w:rFonts w:ascii="宋体" w:hAnsi="宋体" w:cs="宋体"/>
                <w:kern w:val="0"/>
                <w:szCs w:val="21"/>
              </w:rPr>
            </w:pPr>
          </w:p>
        </w:tc>
        <w:tc>
          <w:tcPr>
            <w:tcW w:w="454" w:type="pct"/>
            <w:vMerge w:val="continue"/>
            <w:vAlign w:val="center"/>
          </w:tcPr>
          <w:p w14:paraId="25291146">
            <w:pPr>
              <w:widowControl/>
              <w:tabs>
                <w:tab w:val="left" w:pos="8400"/>
              </w:tabs>
              <w:adjustRightInd w:val="0"/>
              <w:snapToGrid w:val="0"/>
              <w:jc w:val="center"/>
              <w:rPr>
                <w:rFonts w:ascii="宋体" w:hAnsi="宋体" w:cs="宋体"/>
                <w:kern w:val="0"/>
                <w:szCs w:val="21"/>
              </w:rPr>
            </w:pPr>
          </w:p>
        </w:tc>
      </w:tr>
      <w:tr w14:paraId="0CF0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Align w:val="center"/>
          </w:tcPr>
          <w:p w14:paraId="02898AE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1号学生公寓</w:t>
            </w:r>
          </w:p>
        </w:tc>
        <w:tc>
          <w:tcPr>
            <w:tcW w:w="390" w:type="pct"/>
            <w:vAlign w:val="center"/>
          </w:tcPr>
          <w:p w14:paraId="6431762F">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89" w:type="pct"/>
            <w:vAlign w:val="center"/>
          </w:tcPr>
          <w:p w14:paraId="2A334DA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p>
        </w:tc>
        <w:tc>
          <w:tcPr>
            <w:tcW w:w="454" w:type="pct"/>
            <w:vAlign w:val="center"/>
          </w:tcPr>
          <w:p w14:paraId="4C5F0EF9">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462</w:t>
            </w:r>
          </w:p>
        </w:tc>
        <w:tc>
          <w:tcPr>
            <w:tcW w:w="380" w:type="pct"/>
            <w:vAlign w:val="center"/>
          </w:tcPr>
          <w:p w14:paraId="25DF4A9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7BD0288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5C621C5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57" w:type="pct"/>
            <w:vAlign w:val="center"/>
          </w:tcPr>
          <w:p w14:paraId="31BB432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272EA13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vAlign w:val="center"/>
          </w:tcPr>
          <w:p w14:paraId="5D53365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5A629957">
            <w:pPr>
              <w:widowControl/>
              <w:tabs>
                <w:tab w:val="left" w:pos="8400"/>
              </w:tabs>
              <w:adjustRightInd w:val="0"/>
              <w:snapToGrid w:val="0"/>
              <w:jc w:val="center"/>
              <w:rPr>
                <w:rFonts w:ascii="宋体" w:hAnsi="宋体" w:cs="宋体"/>
                <w:kern w:val="0"/>
                <w:szCs w:val="21"/>
              </w:rPr>
            </w:pPr>
          </w:p>
        </w:tc>
      </w:tr>
      <w:tr w14:paraId="7814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Align w:val="center"/>
          </w:tcPr>
          <w:p w14:paraId="1B3243D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2号学生公寓</w:t>
            </w:r>
          </w:p>
        </w:tc>
        <w:tc>
          <w:tcPr>
            <w:tcW w:w="390" w:type="pct"/>
            <w:vAlign w:val="center"/>
          </w:tcPr>
          <w:p w14:paraId="13230100">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89" w:type="pct"/>
            <w:vAlign w:val="center"/>
          </w:tcPr>
          <w:p w14:paraId="5CCCD4E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p>
        </w:tc>
        <w:tc>
          <w:tcPr>
            <w:tcW w:w="454" w:type="pct"/>
            <w:vAlign w:val="center"/>
          </w:tcPr>
          <w:p w14:paraId="66FFE4B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742</w:t>
            </w:r>
          </w:p>
        </w:tc>
        <w:tc>
          <w:tcPr>
            <w:tcW w:w="380" w:type="pct"/>
            <w:vAlign w:val="center"/>
          </w:tcPr>
          <w:p w14:paraId="03CEBC89">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36DE527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2761348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57" w:type="pct"/>
            <w:vAlign w:val="center"/>
          </w:tcPr>
          <w:p w14:paraId="65D78951">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4B7101A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vAlign w:val="center"/>
          </w:tcPr>
          <w:p w14:paraId="06C91C9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1256F302">
            <w:pPr>
              <w:widowControl/>
              <w:tabs>
                <w:tab w:val="left" w:pos="8400"/>
              </w:tabs>
              <w:adjustRightInd w:val="0"/>
              <w:snapToGrid w:val="0"/>
              <w:jc w:val="center"/>
              <w:rPr>
                <w:rFonts w:ascii="宋体" w:hAnsi="宋体" w:cs="宋体"/>
                <w:kern w:val="0"/>
                <w:szCs w:val="21"/>
              </w:rPr>
            </w:pPr>
          </w:p>
        </w:tc>
      </w:tr>
      <w:tr w14:paraId="0BA3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Align w:val="center"/>
          </w:tcPr>
          <w:p w14:paraId="554AC58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3号学生公寓</w:t>
            </w:r>
          </w:p>
        </w:tc>
        <w:tc>
          <w:tcPr>
            <w:tcW w:w="390" w:type="pct"/>
            <w:vAlign w:val="center"/>
          </w:tcPr>
          <w:p w14:paraId="736AB14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89" w:type="pct"/>
            <w:vAlign w:val="center"/>
          </w:tcPr>
          <w:p w14:paraId="3F11BD6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女生</w:t>
            </w:r>
          </w:p>
        </w:tc>
        <w:tc>
          <w:tcPr>
            <w:tcW w:w="454" w:type="pct"/>
            <w:vAlign w:val="center"/>
          </w:tcPr>
          <w:p w14:paraId="6277797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1176</w:t>
            </w:r>
          </w:p>
        </w:tc>
        <w:tc>
          <w:tcPr>
            <w:tcW w:w="380" w:type="pct"/>
            <w:vAlign w:val="center"/>
          </w:tcPr>
          <w:p w14:paraId="08A833D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13E18771">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5D8EB16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57" w:type="pct"/>
            <w:vAlign w:val="center"/>
          </w:tcPr>
          <w:p w14:paraId="60098AC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3C2DF519">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vAlign w:val="center"/>
          </w:tcPr>
          <w:p w14:paraId="383E58F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0D7D00BE">
            <w:pPr>
              <w:widowControl/>
              <w:tabs>
                <w:tab w:val="left" w:pos="8400"/>
              </w:tabs>
              <w:adjustRightInd w:val="0"/>
              <w:snapToGrid w:val="0"/>
              <w:jc w:val="center"/>
              <w:rPr>
                <w:rFonts w:ascii="宋体" w:hAnsi="宋体" w:cs="宋体"/>
                <w:kern w:val="0"/>
                <w:szCs w:val="21"/>
              </w:rPr>
            </w:pPr>
          </w:p>
        </w:tc>
      </w:tr>
      <w:tr w14:paraId="5BB3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Align w:val="center"/>
          </w:tcPr>
          <w:p w14:paraId="4D16C49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4号学生公寓</w:t>
            </w:r>
          </w:p>
        </w:tc>
        <w:tc>
          <w:tcPr>
            <w:tcW w:w="390" w:type="pct"/>
            <w:vAlign w:val="center"/>
          </w:tcPr>
          <w:p w14:paraId="05CE5770">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89" w:type="pct"/>
            <w:vAlign w:val="center"/>
          </w:tcPr>
          <w:p w14:paraId="3687731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r>
              <w:rPr>
                <w:rFonts w:hint="eastAsia" w:ascii="宋体" w:hAnsi="宋体" w:cs="宋体"/>
                <w:kern w:val="0"/>
                <w:szCs w:val="21"/>
                <w:lang w:val="en-US" w:eastAsia="zh-CN"/>
              </w:rPr>
              <w:t xml:space="preserve"> </w:t>
            </w:r>
            <w:r>
              <w:rPr>
                <w:rFonts w:hint="eastAsia" w:ascii="宋体" w:hAnsi="宋体" w:cs="宋体"/>
                <w:kern w:val="0"/>
                <w:szCs w:val="21"/>
              </w:rPr>
              <w:t>女生</w:t>
            </w:r>
          </w:p>
        </w:tc>
        <w:tc>
          <w:tcPr>
            <w:tcW w:w="454" w:type="pct"/>
            <w:vAlign w:val="center"/>
          </w:tcPr>
          <w:p w14:paraId="291F4EC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726</w:t>
            </w:r>
          </w:p>
        </w:tc>
        <w:tc>
          <w:tcPr>
            <w:tcW w:w="380" w:type="pct"/>
            <w:vAlign w:val="center"/>
          </w:tcPr>
          <w:p w14:paraId="542250FC">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3D026D2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1D1214A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57" w:type="pct"/>
            <w:vAlign w:val="center"/>
          </w:tcPr>
          <w:p w14:paraId="3082304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0BC1354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vAlign w:val="center"/>
          </w:tcPr>
          <w:p w14:paraId="2789CB0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vAlign w:val="center"/>
          </w:tcPr>
          <w:p w14:paraId="505DE2C2">
            <w:pPr>
              <w:widowControl/>
              <w:tabs>
                <w:tab w:val="left" w:pos="8400"/>
              </w:tabs>
              <w:adjustRightInd w:val="0"/>
              <w:snapToGrid w:val="0"/>
              <w:jc w:val="center"/>
              <w:rPr>
                <w:rFonts w:ascii="宋体" w:hAnsi="宋体" w:cs="宋体"/>
                <w:kern w:val="0"/>
                <w:szCs w:val="21"/>
              </w:rPr>
            </w:pPr>
          </w:p>
        </w:tc>
      </w:tr>
      <w:tr w14:paraId="3A0D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Align w:val="center"/>
          </w:tcPr>
          <w:p w14:paraId="41D14062">
            <w:pPr>
              <w:widowControl/>
              <w:tabs>
                <w:tab w:val="left" w:pos="367"/>
                <w:tab w:val="left" w:pos="8400"/>
              </w:tabs>
              <w:adjustRightInd w:val="0"/>
              <w:snapToGrid w:val="0"/>
              <w:jc w:val="center"/>
              <w:rPr>
                <w:rFonts w:ascii="宋体" w:hAnsi="宋体" w:cs="宋体"/>
                <w:kern w:val="0"/>
                <w:szCs w:val="21"/>
              </w:rPr>
            </w:pPr>
            <w:r>
              <w:rPr>
                <w:rFonts w:hint="eastAsia" w:ascii="宋体" w:hAnsi="宋体" w:cs="宋体"/>
                <w:kern w:val="0"/>
                <w:szCs w:val="21"/>
              </w:rPr>
              <w:t>5号学生公寓</w:t>
            </w:r>
          </w:p>
        </w:tc>
        <w:tc>
          <w:tcPr>
            <w:tcW w:w="390" w:type="pct"/>
            <w:vAlign w:val="center"/>
          </w:tcPr>
          <w:p w14:paraId="4CABF048">
            <w:pPr>
              <w:widowControl/>
              <w:tabs>
                <w:tab w:val="left" w:pos="367"/>
                <w:tab w:val="left" w:pos="8400"/>
              </w:tabs>
              <w:adjustRightInd w:val="0"/>
              <w:snapToGrid w:val="0"/>
              <w:jc w:val="center"/>
              <w:rPr>
                <w:rFonts w:ascii="宋体" w:hAnsi="宋体" w:cs="宋体"/>
                <w:kern w:val="0"/>
                <w:szCs w:val="21"/>
              </w:rPr>
            </w:pPr>
            <w:r>
              <w:rPr>
                <w:rFonts w:hint="eastAsia" w:ascii="宋体" w:hAnsi="宋体" w:cs="宋体"/>
                <w:kern w:val="0"/>
                <w:szCs w:val="21"/>
              </w:rPr>
              <w:t>5</w:t>
            </w:r>
          </w:p>
        </w:tc>
        <w:tc>
          <w:tcPr>
            <w:tcW w:w="489" w:type="pct"/>
            <w:vAlign w:val="center"/>
          </w:tcPr>
          <w:p w14:paraId="52BE20D1">
            <w:pPr>
              <w:widowControl/>
              <w:tabs>
                <w:tab w:val="left" w:pos="367"/>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r>
              <w:rPr>
                <w:rFonts w:hint="eastAsia" w:ascii="宋体" w:hAnsi="宋体" w:cs="宋体"/>
                <w:kern w:val="0"/>
                <w:szCs w:val="21"/>
                <w:lang w:val="en-US" w:eastAsia="zh-CN"/>
              </w:rPr>
              <w:t xml:space="preserve"> </w:t>
            </w:r>
            <w:r>
              <w:rPr>
                <w:rFonts w:hint="eastAsia" w:ascii="宋体" w:hAnsi="宋体" w:cs="宋体"/>
                <w:kern w:val="0"/>
                <w:szCs w:val="21"/>
              </w:rPr>
              <w:t>女生</w:t>
            </w:r>
          </w:p>
        </w:tc>
        <w:tc>
          <w:tcPr>
            <w:tcW w:w="454" w:type="pct"/>
            <w:vAlign w:val="center"/>
          </w:tcPr>
          <w:p w14:paraId="6CE0BCE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623</w:t>
            </w:r>
          </w:p>
        </w:tc>
        <w:tc>
          <w:tcPr>
            <w:tcW w:w="380" w:type="pct"/>
            <w:vAlign w:val="center"/>
          </w:tcPr>
          <w:p w14:paraId="65F34981">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456" w:type="pct"/>
            <w:vAlign w:val="center"/>
          </w:tcPr>
          <w:p w14:paraId="3A0941E2">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456" w:type="pct"/>
            <w:vAlign w:val="center"/>
          </w:tcPr>
          <w:p w14:paraId="39FBD169">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7" w:type="pct"/>
            <w:vAlign w:val="center"/>
          </w:tcPr>
          <w:p w14:paraId="7A017170">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vAlign w:val="center"/>
          </w:tcPr>
          <w:p w14:paraId="05C8BBE9">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8" w:type="pct"/>
            <w:vAlign w:val="center"/>
          </w:tcPr>
          <w:p w14:paraId="5426AD0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vAlign w:val="center"/>
          </w:tcPr>
          <w:p w14:paraId="3C4E2D85">
            <w:pPr>
              <w:widowControl/>
              <w:tabs>
                <w:tab w:val="left" w:pos="8400"/>
              </w:tabs>
              <w:adjustRightInd w:val="0"/>
              <w:snapToGrid w:val="0"/>
              <w:jc w:val="center"/>
              <w:rPr>
                <w:rFonts w:ascii="宋体" w:hAnsi="宋体" w:cs="宋体"/>
                <w:kern w:val="0"/>
                <w:szCs w:val="21"/>
              </w:rPr>
            </w:pPr>
          </w:p>
        </w:tc>
      </w:tr>
      <w:tr w14:paraId="5E61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vAlign w:val="center"/>
          </w:tcPr>
          <w:p w14:paraId="1EDB9124">
            <w:pPr>
              <w:widowControl/>
              <w:tabs>
                <w:tab w:val="left" w:pos="537"/>
                <w:tab w:val="left" w:pos="8400"/>
              </w:tabs>
              <w:adjustRightInd w:val="0"/>
              <w:snapToGrid w:val="0"/>
              <w:jc w:val="center"/>
              <w:rPr>
                <w:rFonts w:ascii="宋体" w:hAnsi="宋体" w:cs="宋体"/>
                <w:kern w:val="0"/>
                <w:szCs w:val="21"/>
              </w:rPr>
            </w:pPr>
            <w:r>
              <w:rPr>
                <w:rFonts w:hint="eastAsia" w:ascii="宋体" w:hAnsi="宋体" w:cs="宋体"/>
                <w:kern w:val="0"/>
                <w:szCs w:val="21"/>
              </w:rPr>
              <w:t>项目经理</w:t>
            </w:r>
          </w:p>
        </w:tc>
        <w:tc>
          <w:tcPr>
            <w:tcW w:w="454" w:type="pct"/>
            <w:vAlign w:val="center"/>
          </w:tcPr>
          <w:p w14:paraId="78080F6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380" w:type="pct"/>
            <w:vAlign w:val="center"/>
          </w:tcPr>
          <w:p w14:paraId="7D81F93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6" w:type="pct"/>
            <w:vAlign w:val="center"/>
          </w:tcPr>
          <w:p w14:paraId="1F4BA20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4F7C2A6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7" w:type="pct"/>
            <w:vAlign w:val="center"/>
          </w:tcPr>
          <w:p w14:paraId="0A623F0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vAlign w:val="center"/>
          </w:tcPr>
          <w:p w14:paraId="479308E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8" w:type="pct"/>
            <w:vAlign w:val="center"/>
          </w:tcPr>
          <w:p w14:paraId="4434C0CC">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4" w:type="pct"/>
            <w:vAlign w:val="center"/>
          </w:tcPr>
          <w:p w14:paraId="0EFD5FE0">
            <w:pPr>
              <w:widowControl/>
              <w:tabs>
                <w:tab w:val="left" w:pos="8400"/>
              </w:tabs>
              <w:adjustRightInd w:val="0"/>
              <w:snapToGrid w:val="0"/>
              <w:jc w:val="center"/>
              <w:rPr>
                <w:rFonts w:ascii="宋体" w:hAnsi="宋体" w:cs="宋体"/>
                <w:kern w:val="0"/>
                <w:szCs w:val="21"/>
              </w:rPr>
            </w:pPr>
          </w:p>
        </w:tc>
      </w:tr>
      <w:tr w14:paraId="2D60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vAlign w:val="center"/>
          </w:tcPr>
          <w:p w14:paraId="041C7159">
            <w:pPr>
              <w:widowControl/>
              <w:tabs>
                <w:tab w:val="left" w:pos="537"/>
                <w:tab w:val="left" w:pos="8400"/>
              </w:tabs>
              <w:adjustRightInd w:val="0"/>
              <w:snapToGrid w:val="0"/>
              <w:jc w:val="center"/>
              <w:rPr>
                <w:rFonts w:ascii="宋体" w:hAnsi="宋体" w:cs="宋体"/>
                <w:kern w:val="0"/>
                <w:szCs w:val="21"/>
              </w:rPr>
            </w:pPr>
            <w:r>
              <w:rPr>
                <w:rFonts w:hint="eastAsia" w:ascii="宋体" w:hAnsi="宋体" w:cs="宋体"/>
                <w:kern w:val="0"/>
                <w:szCs w:val="21"/>
              </w:rPr>
              <w:t>办公室文员</w:t>
            </w:r>
          </w:p>
        </w:tc>
        <w:tc>
          <w:tcPr>
            <w:tcW w:w="454" w:type="pct"/>
            <w:vAlign w:val="center"/>
          </w:tcPr>
          <w:p w14:paraId="05E12BC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380" w:type="pct"/>
            <w:vAlign w:val="center"/>
          </w:tcPr>
          <w:p w14:paraId="4FB31904">
            <w:pPr>
              <w:widowControl/>
              <w:tabs>
                <w:tab w:val="left" w:pos="8400"/>
              </w:tabs>
              <w:adjustRightInd w:val="0"/>
              <w:snapToGrid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w:t>
            </w:r>
          </w:p>
        </w:tc>
        <w:tc>
          <w:tcPr>
            <w:tcW w:w="456" w:type="pct"/>
            <w:vAlign w:val="center"/>
          </w:tcPr>
          <w:p w14:paraId="77BB14D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vAlign w:val="center"/>
          </w:tcPr>
          <w:p w14:paraId="0AC270A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lang w:val="en-US" w:eastAsia="zh-CN"/>
              </w:rPr>
              <w:t>1</w:t>
            </w:r>
          </w:p>
        </w:tc>
        <w:tc>
          <w:tcPr>
            <w:tcW w:w="457" w:type="pct"/>
            <w:vAlign w:val="center"/>
          </w:tcPr>
          <w:p w14:paraId="77FB529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vAlign w:val="center"/>
          </w:tcPr>
          <w:p w14:paraId="1796DAF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vAlign w:val="center"/>
          </w:tcPr>
          <w:p w14:paraId="5014163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vAlign w:val="center"/>
          </w:tcPr>
          <w:p w14:paraId="18DD6766">
            <w:pPr>
              <w:widowControl/>
              <w:tabs>
                <w:tab w:val="left" w:pos="8400"/>
              </w:tabs>
              <w:adjustRightInd w:val="0"/>
              <w:snapToGrid w:val="0"/>
              <w:jc w:val="center"/>
              <w:rPr>
                <w:rFonts w:ascii="宋体" w:hAnsi="宋体" w:cs="宋体"/>
                <w:kern w:val="0"/>
                <w:szCs w:val="21"/>
              </w:rPr>
            </w:pPr>
          </w:p>
        </w:tc>
      </w:tr>
      <w:tr w14:paraId="65E6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vMerge w:val="restart"/>
            <w:vAlign w:val="center"/>
          </w:tcPr>
          <w:p w14:paraId="35D0F3FF">
            <w:pPr>
              <w:widowControl/>
              <w:tabs>
                <w:tab w:val="left" w:pos="537"/>
                <w:tab w:val="left" w:pos="8400"/>
              </w:tabs>
              <w:adjustRightInd w:val="0"/>
              <w:snapToGrid w:val="0"/>
              <w:jc w:val="center"/>
              <w:rPr>
                <w:rFonts w:ascii="宋体" w:hAnsi="宋体" w:cs="宋体"/>
                <w:kern w:val="0"/>
                <w:szCs w:val="21"/>
              </w:rPr>
            </w:pPr>
            <w:r>
              <w:rPr>
                <w:rFonts w:hint="eastAsia" w:ascii="宋体" w:hAnsi="宋体" w:cs="宋体"/>
                <w:kern w:val="0"/>
                <w:szCs w:val="21"/>
              </w:rPr>
              <w:t>合计</w:t>
            </w:r>
          </w:p>
        </w:tc>
        <w:tc>
          <w:tcPr>
            <w:tcW w:w="454" w:type="pct"/>
            <w:vMerge w:val="restart"/>
            <w:vAlign w:val="center"/>
          </w:tcPr>
          <w:p w14:paraId="1D5D8D12">
            <w:pPr>
              <w:widowControl/>
              <w:tabs>
                <w:tab w:val="left" w:pos="8400"/>
              </w:tabs>
              <w:adjustRightInd w:val="0"/>
              <w:snapToGrid w:val="0"/>
              <w:jc w:val="center"/>
              <w:rPr>
                <w:rFonts w:hint="default"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729</w:t>
            </w:r>
          </w:p>
        </w:tc>
        <w:tc>
          <w:tcPr>
            <w:tcW w:w="380" w:type="pct"/>
            <w:vAlign w:val="center"/>
          </w:tcPr>
          <w:p w14:paraId="3D5BED0A">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456" w:type="pct"/>
            <w:vAlign w:val="center"/>
          </w:tcPr>
          <w:p w14:paraId="3604AB5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6" w:type="pct"/>
            <w:vAlign w:val="center"/>
          </w:tcPr>
          <w:p w14:paraId="0DE1F4A2">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2</w:t>
            </w:r>
          </w:p>
        </w:tc>
        <w:tc>
          <w:tcPr>
            <w:tcW w:w="457" w:type="pct"/>
            <w:vAlign w:val="center"/>
          </w:tcPr>
          <w:p w14:paraId="6F0E4ED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8</w:t>
            </w:r>
          </w:p>
        </w:tc>
        <w:tc>
          <w:tcPr>
            <w:tcW w:w="454" w:type="pct"/>
            <w:vAlign w:val="center"/>
          </w:tcPr>
          <w:p w14:paraId="04BB4215">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458" w:type="pct"/>
            <w:vAlign w:val="center"/>
          </w:tcPr>
          <w:p w14:paraId="18C5068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9</w:t>
            </w:r>
          </w:p>
        </w:tc>
        <w:tc>
          <w:tcPr>
            <w:tcW w:w="454" w:type="pct"/>
            <w:vAlign w:val="center"/>
          </w:tcPr>
          <w:p w14:paraId="2B585E5A">
            <w:pPr>
              <w:widowControl/>
              <w:tabs>
                <w:tab w:val="left" w:pos="8400"/>
              </w:tabs>
              <w:adjustRightInd w:val="0"/>
              <w:snapToGrid w:val="0"/>
              <w:jc w:val="center"/>
              <w:rPr>
                <w:rFonts w:ascii="宋体" w:hAnsi="宋体" w:cs="宋体"/>
                <w:kern w:val="0"/>
                <w:szCs w:val="21"/>
              </w:rPr>
            </w:pPr>
          </w:p>
        </w:tc>
      </w:tr>
      <w:tr w14:paraId="0B1F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vMerge w:val="continue"/>
            <w:vAlign w:val="center"/>
          </w:tcPr>
          <w:p w14:paraId="638CA8C0">
            <w:pPr>
              <w:widowControl/>
              <w:tabs>
                <w:tab w:val="left" w:pos="537"/>
                <w:tab w:val="left" w:pos="8400"/>
              </w:tabs>
              <w:adjustRightInd w:val="0"/>
              <w:snapToGrid w:val="0"/>
              <w:jc w:val="center"/>
              <w:rPr>
                <w:rFonts w:ascii="宋体" w:hAnsi="宋体" w:cs="宋体"/>
                <w:kern w:val="0"/>
                <w:szCs w:val="21"/>
              </w:rPr>
            </w:pPr>
          </w:p>
        </w:tc>
        <w:tc>
          <w:tcPr>
            <w:tcW w:w="454" w:type="pct"/>
            <w:vMerge w:val="continue"/>
            <w:vAlign w:val="center"/>
          </w:tcPr>
          <w:p w14:paraId="22A5145A">
            <w:pPr>
              <w:widowControl/>
              <w:tabs>
                <w:tab w:val="left" w:pos="8400"/>
              </w:tabs>
              <w:adjustRightInd w:val="0"/>
              <w:snapToGrid w:val="0"/>
              <w:jc w:val="center"/>
              <w:rPr>
                <w:rFonts w:ascii="宋体" w:hAnsi="宋体" w:cs="宋体"/>
                <w:kern w:val="0"/>
                <w:szCs w:val="21"/>
              </w:rPr>
            </w:pPr>
          </w:p>
        </w:tc>
        <w:tc>
          <w:tcPr>
            <w:tcW w:w="1750" w:type="pct"/>
            <w:gridSpan w:val="4"/>
            <w:vAlign w:val="center"/>
          </w:tcPr>
          <w:p w14:paraId="742A40D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39</w:t>
            </w:r>
          </w:p>
        </w:tc>
        <w:tc>
          <w:tcPr>
            <w:tcW w:w="913" w:type="pct"/>
            <w:gridSpan w:val="2"/>
            <w:vAlign w:val="center"/>
          </w:tcPr>
          <w:p w14:paraId="1AD0C1FA">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2</w:t>
            </w:r>
          </w:p>
        </w:tc>
        <w:tc>
          <w:tcPr>
            <w:tcW w:w="454" w:type="pct"/>
            <w:vAlign w:val="center"/>
          </w:tcPr>
          <w:p w14:paraId="43740B17">
            <w:pPr>
              <w:widowControl/>
              <w:tabs>
                <w:tab w:val="left" w:pos="8400"/>
              </w:tabs>
              <w:adjustRightInd w:val="0"/>
              <w:snapToGrid w:val="0"/>
              <w:jc w:val="center"/>
              <w:rPr>
                <w:rFonts w:ascii="宋体" w:hAnsi="宋体" w:cs="宋体"/>
                <w:kern w:val="0"/>
                <w:szCs w:val="21"/>
              </w:rPr>
            </w:pPr>
          </w:p>
        </w:tc>
      </w:tr>
    </w:tbl>
    <w:p w14:paraId="16286D26">
      <w:pPr>
        <w:rPr>
          <w:rFonts w:hint="eastAsia" w:ascii="宋体" w:hAnsi="宋体"/>
          <w:bCs/>
          <w:kern w:val="0"/>
          <w:sz w:val="24"/>
        </w:rPr>
      </w:pPr>
      <w:r>
        <w:rPr>
          <w:rFonts w:hint="eastAsia" w:ascii="宋体" w:hAnsi="宋体"/>
          <w:bCs/>
          <w:kern w:val="0"/>
          <w:sz w:val="24"/>
        </w:rPr>
        <w:br w:type="page"/>
      </w:r>
    </w:p>
    <w:p w14:paraId="1B5444C9">
      <w:pPr>
        <w:pStyle w:val="17"/>
      </w:pPr>
    </w:p>
    <w:p w14:paraId="6B291CB1">
      <w:pPr>
        <w:spacing w:line="360" w:lineRule="auto"/>
        <w:jc w:val="center"/>
        <w:outlineLvl w:val="0"/>
        <w:rPr>
          <w:b/>
          <w:color w:val="auto"/>
          <w:sz w:val="36"/>
          <w:szCs w:val="36"/>
          <w:highlight w:val="none"/>
        </w:rPr>
      </w:pPr>
      <w:r>
        <w:rPr>
          <w:b/>
          <w:color w:val="auto"/>
          <w:sz w:val="36"/>
          <w:szCs w:val="36"/>
          <w:highlight w:val="none"/>
        </w:rPr>
        <w:t>第六章   拟签订的合同文本</w:t>
      </w:r>
      <w:bookmarkEnd w:id="768"/>
    </w:p>
    <w:p w14:paraId="5018ACD3">
      <w:pPr>
        <w:tabs>
          <w:tab w:val="left" w:pos="900"/>
          <w:tab w:val="left" w:pos="1080"/>
        </w:tabs>
        <w:snapToGrid w:val="0"/>
        <w:spacing w:line="360" w:lineRule="auto"/>
        <w:rPr>
          <w:color w:val="auto"/>
          <w:kern w:val="0"/>
          <w:sz w:val="18"/>
          <w:szCs w:val="18"/>
          <w:highlight w:val="none"/>
        </w:rPr>
      </w:pPr>
    </w:p>
    <w:p w14:paraId="073D5A3A">
      <w:pPr>
        <w:tabs>
          <w:tab w:val="left" w:pos="900"/>
          <w:tab w:val="left" w:pos="1080"/>
        </w:tabs>
        <w:snapToGrid w:val="0"/>
        <w:spacing w:line="360" w:lineRule="auto"/>
        <w:rPr>
          <w:color w:val="auto"/>
          <w:kern w:val="0"/>
          <w:sz w:val="24"/>
          <w:highlight w:val="none"/>
        </w:rPr>
      </w:pPr>
      <w:r>
        <w:rPr>
          <w:color w:val="auto"/>
          <w:kern w:val="0"/>
          <w:sz w:val="24"/>
          <w:highlight w:val="none"/>
        </w:rPr>
        <w:t>说明：</w:t>
      </w:r>
    </w:p>
    <w:p w14:paraId="75DE9FCE">
      <w:pPr>
        <w:tabs>
          <w:tab w:val="left" w:pos="900"/>
          <w:tab w:val="left" w:pos="1080"/>
        </w:tabs>
        <w:snapToGrid w:val="0"/>
        <w:spacing w:line="360" w:lineRule="auto"/>
        <w:rPr>
          <w:color w:val="auto"/>
          <w:kern w:val="0"/>
          <w:sz w:val="24"/>
          <w:highlight w:val="none"/>
        </w:rPr>
      </w:pPr>
      <w:r>
        <w:rPr>
          <w:color w:val="auto"/>
          <w:kern w:val="0"/>
          <w:sz w:val="24"/>
          <w:highlight w:val="none"/>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p w14:paraId="06E8BE9C">
      <w:pPr>
        <w:tabs>
          <w:tab w:val="left" w:pos="900"/>
          <w:tab w:val="left" w:pos="1080"/>
        </w:tabs>
        <w:snapToGrid w:val="0"/>
        <w:spacing w:line="360" w:lineRule="auto"/>
        <w:rPr>
          <w:color w:val="auto"/>
          <w:kern w:val="0"/>
          <w:sz w:val="24"/>
          <w:highlight w:val="none"/>
        </w:rPr>
      </w:pPr>
      <w:r>
        <w:rPr>
          <w:color w:val="auto"/>
          <w:kern w:val="0"/>
          <w:sz w:val="24"/>
          <w:highlight w:val="none"/>
        </w:rPr>
        <w:t>2.</w:t>
      </w:r>
      <w:r>
        <w:rPr>
          <w:color w:val="auto"/>
          <w:highlight w:val="none"/>
        </w:rPr>
        <w:t xml:space="preserve"> </w:t>
      </w:r>
      <w:r>
        <w:rPr>
          <w:color w:val="auto"/>
          <w:kern w:val="0"/>
          <w:sz w:val="24"/>
          <w:highlight w:val="none"/>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9EB9254">
      <w:pPr>
        <w:tabs>
          <w:tab w:val="left" w:pos="900"/>
          <w:tab w:val="left" w:pos="1080"/>
        </w:tabs>
        <w:snapToGrid w:val="0"/>
        <w:spacing w:line="360" w:lineRule="auto"/>
        <w:rPr>
          <w:color w:val="auto"/>
          <w:kern w:val="0"/>
          <w:sz w:val="24"/>
          <w:highlight w:val="none"/>
        </w:rPr>
      </w:pPr>
      <w:r>
        <w:rPr>
          <w:color w:val="auto"/>
          <w:kern w:val="0"/>
          <w:sz w:val="24"/>
          <w:highlight w:val="none"/>
        </w:rPr>
        <w:t>3. 合同条款中应规定，乙方完全遵守《中华人民共和国妇女权益保障法》中关于“劳动和社会保障权益”的有关要求。</w:t>
      </w:r>
    </w:p>
    <w:p w14:paraId="7C10C2F4">
      <w:pPr>
        <w:tabs>
          <w:tab w:val="left" w:pos="900"/>
          <w:tab w:val="left" w:pos="1080"/>
        </w:tabs>
        <w:snapToGrid w:val="0"/>
        <w:spacing w:line="360" w:lineRule="auto"/>
        <w:rPr>
          <w:color w:val="auto"/>
          <w:sz w:val="24"/>
          <w:highlight w:val="none"/>
        </w:rPr>
      </w:pPr>
      <w:r>
        <w:rPr>
          <w:color w:val="auto"/>
          <w:kern w:val="0"/>
          <w:sz w:val="24"/>
          <w:highlight w:val="none"/>
        </w:rPr>
        <w:t xml:space="preserve">4. </w:t>
      </w:r>
      <w:r>
        <w:rPr>
          <w:color w:val="auto"/>
          <w:sz w:val="24"/>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D42AAFA">
      <w:pPr>
        <w:tabs>
          <w:tab w:val="left" w:pos="900"/>
          <w:tab w:val="left" w:pos="1080"/>
        </w:tabs>
        <w:snapToGrid w:val="0"/>
        <w:spacing w:line="360" w:lineRule="auto"/>
        <w:rPr>
          <w:color w:val="auto"/>
          <w:sz w:val="24"/>
          <w:highlight w:val="none"/>
        </w:rPr>
      </w:pPr>
      <w:r>
        <w:rPr>
          <w:color w:val="auto"/>
          <w:sz w:val="24"/>
          <w:highlight w:val="none"/>
        </w:rPr>
        <w:t>5. 政府采购合同设定首付款支付方式的，首付款支付比例原则上不低于合同金额的30%；对于中小企业，首付款支付比例原则上不低于合同金额的50%。</w:t>
      </w:r>
    </w:p>
    <w:p w14:paraId="5C2497B0">
      <w:pPr>
        <w:tabs>
          <w:tab w:val="left" w:pos="900"/>
          <w:tab w:val="left" w:pos="1080"/>
        </w:tabs>
        <w:snapToGrid w:val="0"/>
        <w:spacing w:line="360" w:lineRule="auto"/>
        <w:rPr>
          <w:color w:val="auto"/>
          <w:sz w:val="24"/>
          <w:highlight w:val="none"/>
        </w:rPr>
      </w:pPr>
      <w:r>
        <w:rPr>
          <w:color w:val="auto"/>
          <w:sz w:val="24"/>
          <w:highlight w:val="none"/>
        </w:rPr>
        <w:t>6. 政府采购合同应当约定资金支付的方式、时间和条件，明确逾期支付资金的违约责任。对于满足合同约定支付条件的，采购人应当自收到发票后30日内将资金支付到合同约定的供应商账户，不得以机构变动、人员更替、政策调整等为由延迟付款，不得将采购文件和合同中未规定的义务作为向供应商付款的条件。</w:t>
      </w:r>
    </w:p>
    <w:p w14:paraId="213D5542">
      <w:pPr>
        <w:tabs>
          <w:tab w:val="left" w:pos="900"/>
          <w:tab w:val="left" w:pos="1080"/>
        </w:tabs>
        <w:snapToGrid w:val="0"/>
        <w:spacing w:line="360" w:lineRule="auto"/>
        <w:rPr>
          <w:color w:val="auto"/>
          <w:sz w:val="24"/>
          <w:highlight w:val="none"/>
        </w:rPr>
      </w:pPr>
      <w:r>
        <w:rPr>
          <w:color w:val="auto"/>
          <w:sz w:val="24"/>
          <w:highlight w:val="none"/>
        </w:rPr>
        <w:t>7.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458C2F">
      <w:pPr>
        <w:tabs>
          <w:tab w:val="left" w:pos="900"/>
          <w:tab w:val="left" w:pos="1080"/>
        </w:tabs>
        <w:snapToGrid w:val="0"/>
        <w:spacing w:line="360" w:lineRule="auto"/>
        <w:rPr>
          <w:b/>
          <w:color w:val="auto"/>
          <w:sz w:val="36"/>
          <w:szCs w:val="36"/>
          <w:highlight w:val="none"/>
        </w:rPr>
      </w:pPr>
      <w:r>
        <w:rPr>
          <w:color w:val="auto"/>
          <w:sz w:val="24"/>
          <w:highlight w:val="none"/>
        </w:rPr>
        <w:t>8. 当采购项目涉及数据中心相关设备、运维服务时，采购需求应当符合《绿色数据中心政府采购需求标准（试行）》（财库〔2023〕7号）的有关要求，并在合同中明确对相关指标的验收方式和违约责任。</w:t>
      </w:r>
    </w:p>
    <w:p w14:paraId="667F5600">
      <w:pPr>
        <w:widowControl/>
        <w:jc w:val="left"/>
        <w:rPr>
          <w:b/>
          <w:color w:val="auto"/>
          <w:sz w:val="36"/>
          <w:szCs w:val="36"/>
          <w:highlight w:val="none"/>
        </w:rPr>
      </w:pPr>
    </w:p>
    <w:p w14:paraId="708D846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3BD024">
      <w:pPr>
        <w:spacing w:line="360" w:lineRule="auto"/>
        <w:rPr>
          <w:rFonts w:hint="default" w:ascii="宋体" w:hAnsi="宋体" w:eastAsia="宋体" w:cs="宋体"/>
          <w:color w:val="auto"/>
          <w:sz w:val="24"/>
          <w:szCs w:val="24"/>
          <w:highlight w:val="none"/>
          <w:lang w:val="en-US" w:eastAsia="zh-CN"/>
        </w:rPr>
      </w:pPr>
      <w:bookmarkStart w:id="770" w:name="_Toc332808021"/>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lang w:val="en-US" w:eastAsia="zh-CN"/>
        </w:rPr>
        <w:t xml:space="preserve">                                                        </w:t>
      </w:r>
      <w:r>
        <w:rPr>
          <w:rFonts w:hint="eastAsia"/>
          <w:color w:val="auto"/>
          <w:sz w:val="24"/>
          <w:szCs w:val="24"/>
          <w:highlight w:val="none"/>
          <w:lang w:val="en-US" w:eastAsia="zh-CN"/>
        </w:rPr>
        <w:t>正本</w:t>
      </w:r>
    </w:p>
    <w:p w14:paraId="5CF87B02">
      <w:pPr>
        <w:spacing w:before="120" w:line="360" w:lineRule="auto"/>
        <w:jc w:val="center"/>
        <w:rPr>
          <w:rFonts w:ascii="宋体" w:hAnsi="宋体"/>
          <w:b/>
          <w:sz w:val="28"/>
          <w:szCs w:val="28"/>
        </w:rPr>
      </w:pPr>
      <w:r>
        <w:rPr>
          <w:rFonts w:hint="eastAsia" w:ascii="宋体" w:hAnsi="宋体"/>
          <w:b/>
          <w:sz w:val="28"/>
          <w:szCs w:val="28"/>
        </w:rPr>
        <w:t>政 府 采 购 合 同</w:t>
      </w:r>
    </w:p>
    <w:p w14:paraId="7033FE9A">
      <w:pPr>
        <w:pStyle w:val="12"/>
        <w:spacing w:line="520" w:lineRule="exact"/>
        <w:ind w:firstLine="560"/>
        <w:rPr>
          <w:rFonts w:hAnsi="宋体"/>
          <w:sz w:val="28"/>
        </w:rPr>
      </w:pPr>
    </w:p>
    <w:p w14:paraId="2C027068">
      <w:pPr>
        <w:ind w:firstLine="6720" w:firstLineChars="3200"/>
        <w:rPr>
          <w:rFonts w:ascii="宋体" w:hAnsi="宋体"/>
        </w:rPr>
      </w:pPr>
      <w:bookmarkStart w:id="771" w:name="_Toc109543216"/>
      <w:bookmarkStart w:id="772" w:name="_Toc109542396"/>
    </w:p>
    <w:p w14:paraId="52C625F5">
      <w:pPr>
        <w:spacing w:before="120" w:line="360" w:lineRule="auto"/>
        <w:ind w:firstLine="5880" w:firstLineChars="2450"/>
        <w:rPr>
          <w:rFonts w:ascii="宋体" w:hAnsi="宋体"/>
        </w:rPr>
      </w:pPr>
      <w:r>
        <w:rPr>
          <w:rFonts w:hint="eastAsia" w:ascii="宋体" w:hAnsi="宋体"/>
          <w:sz w:val="24"/>
        </w:rPr>
        <w:t>合同编号：</w:t>
      </w:r>
      <w:bookmarkEnd w:id="771"/>
      <w:bookmarkEnd w:id="772"/>
      <w:r>
        <w:rPr>
          <w:rFonts w:hint="eastAsia" w:ascii="宋体" w:hAnsi="宋体"/>
          <w:u w:val="single"/>
        </w:rPr>
        <w:t xml:space="preserve">               </w:t>
      </w:r>
      <w:r>
        <w:rPr>
          <w:rFonts w:hint="eastAsia" w:ascii="宋体" w:hAnsi="宋体"/>
        </w:rPr>
        <w:t xml:space="preserve">                  </w:t>
      </w:r>
    </w:p>
    <w:p w14:paraId="721E42BD">
      <w:pPr>
        <w:pStyle w:val="12"/>
        <w:spacing w:line="520" w:lineRule="exact"/>
        <w:ind w:firstLine="560"/>
        <w:rPr>
          <w:rFonts w:hAnsi="宋体"/>
          <w:sz w:val="28"/>
        </w:rPr>
      </w:pPr>
    </w:p>
    <w:p w14:paraId="71B80BAB">
      <w:pPr>
        <w:spacing w:before="120" w:line="520" w:lineRule="exact"/>
        <w:rPr>
          <w:rFonts w:ascii="宋体" w:hAnsi="宋体"/>
          <w:sz w:val="28"/>
        </w:rPr>
      </w:pPr>
    </w:p>
    <w:p w14:paraId="07C25607">
      <w:pPr>
        <w:spacing w:before="120" w:line="520" w:lineRule="exact"/>
        <w:rPr>
          <w:rFonts w:ascii="宋体" w:hAnsi="宋体"/>
          <w:sz w:val="28"/>
        </w:rPr>
      </w:pPr>
    </w:p>
    <w:p w14:paraId="7AC6F112">
      <w:pPr>
        <w:spacing w:before="120" w:line="520" w:lineRule="exact"/>
        <w:ind w:left="960"/>
        <w:rPr>
          <w:rFonts w:ascii="宋体" w:hAnsi="宋体"/>
          <w:sz w:val="24"/>
        </w:rPr>
      </w:pPr>
      <w:r>
        <w:rPr>
          <w:rFonts w:hint="eastAsia" w:ascii="宋体" w:hAnsi="宋体"/>
          <w:sz w:val="24"/>
        </w:rPr>
        <w:t>项目名称：</w:t>
      </w:r>
      <w:r>
        <w:rPr>
          <w:rFonts w:hint="eastAsia" w:ascii="宋体" w:hAnsi="宋体"/>
          <w:sz w:val="24"/>
          <w:u w:val="single"/>
        </w:rPr>
        <w:t xml:space="preserve">  特定行业公用经费（学生公寓标准化管理项目）    </w:t>
      </w:r>
      <w:r>
        <w:rPr>
          <w:rFonts w:ascii="宋体" w:hAnsi="宋体"/>
          <w:sz w:val="24"/>
          <w:u w:val="single"/>
        </w:rPr>
        <w:t xml:space="preserve">        </w:t>
      </w:r>
      <w:r>
        <w:rPr>
          <w:rFonts w:hint="eastAsia" w:ascii="宋体" w:hAnsi="宋体"/>
          <w:sz w:val="24"/>
        </w:rPr>
        <w:t xml:space="preserve">                                    </w:t>
      </w:r>
    </w:p>
    <w:p w14:paraId="617AF6FD">
      <w:pPr>
        <w:spacing w:before="120" w:line="520" w:lineRule="exact"/>
        <w:ind w:left="960"/>
        <w:rPr>
          <w:rFonts w:ascii="宋体" w:hAnsi="宋体"/>
          <w:sz w:val="24"/>
        </w:rPr>
      </w:pPr>
    </w:p>
    <w:p w14:paraId="7EF114B0">
      <w:pPr>
        <w:pStyle w:val="39"/>
        <w:spacing w:before="120" w:line="520" w:lineRule="exact"/>
        <w:rPr>
          <w:rFonts w:ascii="宋体" w:hAnsi="宋体"/>
          <w:sz w:val="24"/>
          <w:szCs w:val="24"/>
        </w:rPr>
      </w:pPr>
    </w:p>
    <w:p w14:paraId="3F411336">
      <w:pPr>
        <w:spacing w:before="120" w:line="520" w:lineRule="exact"/>
        <w:ind w:left="960"/>
        <w:rPr>
          <w:rFonts w:ascii="宋体" w:hAnsi="宋体"/>
          <w:sz w:val="24"/>
        </w:rPr>
      </w:pPr>
      <w:r>
        <w:rPr>
          <w:rFonts w:hint="eastAsia" w:ascii="宋体" w:hAnsi="宋体"/>
          <w:sz w:val="24"/>
        </w:rPr>
        <w:t>采购人：</w:t>
      </w:r>
      <w:r>
        <w:rPr>
          <w:rFonts w:hint="eastAsia" w:ascii="宋体" w:hAnsi="宋体"/>
          <w:sz w:val="24"/>
          <w:u w:val="single"/>
        </w:rPr>
        <w:t xml:space="preserve">    北京劳动保障职业学院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14:paraId="65006505">
      <w:pPr>
        <w:spacing w:before="120" w:line="520" w:lineRule="exact"/>
        <w:ind w:left="960"/>
        <w:rPr>
          <w:rFonts w:ascii="宋体" w:hAnsi="宋体"/>
          <w:sz w:val="24"/>
        </w:rPr>
      </w:pPr>
    </w:p>
    <w:p w14:paraId="239FD482">
      <w:pPr>
        <w:spacing w:before="120" w:line="520" w:lineRule="exact"/>
        <w:ind w:left="960"/>
        <w:rPr>
          <w:rFonts w:ascii="宋体" w:hAnsi="宋体"/>
          <w:sz w:val="24"/>
        </w:rPr>
      </w:pPr>
      <w:r>
        <w:rPr>
          <w:rFonts w:hint="eastAsia" w:ascii="宋体" w:hAnsi="宋体"/>
          <w:sz w:val="24"/>
        </w:rPr>
        <w:t>中标人：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476895AF">
      <w:pPr>
        <w:spacing w:before="120" w:line="520" w:lineRule="exact"/>
        <w:ind w:firstLine="840" w:firstLineChars="350"/>
        <w:rPr>
          <w:rFonts w:ascii="宋体" w:hAnsi="宋体"/>
          <w:sz w:val="24"/>
        </w:rPr>
      </w:pPr>
    </w:p>
    <w:p w14:paraId="36986FB5">
      <w:pPr>
        <w:spacing w:before="120" w:line="520" w:lineRule="exact"/>
        <w:ind w:left="960"/>
        <w:rPr>
          <w:rFonts w:ascii="宋体" w:hAnsi="宋体"/>
          <w:sz w:val="28"/>
          <w:u w:val="single"/>
        </w:rPr>
      </w:pPr>
      <w:r>
        <w:rPr>
          <w:rFonts w:hint="eastAsia" w:ascii="宋体" w:hAnsi="宋体"/>
          <w:sz w:val="24"/>
        </w:rPr>
        <w:t>签署日期：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33F46124">
      <w:pPr>
        <w:widowControl/>
        <w:jc w:val="left"/>
        <w:rPr>
          <w:rFonts w:ascii="宋体" w:hAnsi="宋体"/>
          <w:b/>
          <w:sz w:val="28"/>
          <w:szCs w:val="28"/>
        </w:rPr>
      </w:pPr>
      <w:r>
        <w:rPr>
          <w:rFonts w:ascii="宋体" w:hAnsi="宋体"/>
          <w:b/>
          <w:sz w:val="28"/>
          <w:szCs w:val="28"/>
        </w:rPr>
        <w:br w:type="page"/>
      </w:r>
    </w:p>
    <w:p w14:paraId="5A349CF3">
      <w:pPr>
        <w:spacing w:line="480" w:lineRule="auto"/>
        <w:rPr>
          <w:rFonts w:ascii="宋体" w:hAnsi="宋体" w:cs="宋体"/>
          <w:b/>
          <w:sz w:val="32"/>
          <w:szCs w:val="32"/>
        </w:rPr>
      </w:pPr>
    </w:p>
    <w:p w14:paraId="07380005">
      <w:pPr>
        <w:spacing w:line="480" w:lineRule="auto"/>
        <w:jc w:val="center"/>
        <w:rPr>
          <w:rFonts w:ascii="宋体" w:hAnsi="宋体" w:cs="宋体"/>
          <w:b/>
          <w:sz w:val="32"/>
          <w:szCs w:val="32"/>
        </w:rPr>
      </w:pPr>
      <w:r>
        <w:rPr>
          <w:rFonts w:hint="eastAsia" w:ascii="宋体" w:hAnsi="宋体" w:cs="宋体"/>
          <w:b/>
          <w:sz w:val="32"/>
          <w:szCs w:val="32"/>
        </w:rPr>
        <w:t>政府采购合同（服务类）</w:t>
      </w:r>
    </w:p>
    <w:p w14:paraId="424CAC03">
      <w:pPr>
        <w:spacing w:line="480" w:lineRule="auto"/>
        <w:jc w:val="center"/>
        <w:rPr>
          <w:rFonts w:ascii="宋体" w:hAnsi="宋体" w:cs="宋体"/>
          <w:b/>
          <w:sz w:val="28"/>
          <w:szCs w:val="28"/>
        </w:rPr>
      </w:pPr>
    </w:p>
    <w:p w14:paraId="6C3F077E">
      <w:pPr>
        <w:pStyle w:val="42"/>
        <w:ind w:firstLine="480"/>
      </w:pPr>
    </w:p>
    <w:p w14:paraId="3F58D520">
      <w:pPr>
        <w:pStyle w:val="42"/>
        <w:ind w:firstLine="480"/>
      </w:pPr>
    </w:p>
    <w:p w14:paraId="716EAD0F">
      <w:pPr>
        <w:widowControl/>
        <w:spacing w:before="120" w:line="480" w:lineRule="auto"/>
        <w:ind w:firstLine="700" w:firstLineChars="250"/>
        <w:rPr>
          <w:rFonts w:ascii="宋体" w:hAnsi="宋体" w:cs="宋体"/>
          <w:sz w:val="28"/>
          <w:szCs w:val="28"/>
          <w:u w:val="single"/>
        </w:rPr>
      </w:pPr>
      <w:bookmarkStart w:id="773" w:name="_Toc167500829"/>
      <w:bookmarkStart w:id="774" w:name="_Toc214771991"/>
      <w:bookmarkStart w:id="775" w:name="_Toc412905603"/>
      <w:bookmarkStart w:id="776" w:name="_Toc412905269"/>
      <w:bookmarkStart w:id="777" w:name="_Toc413156474"/>
      <w:r>
        <w:rPr>
          <w:rFonts w:hint="eastAsia" w:ascii="宋体" w:hAnsi="宋体" w:cs="宋体"/>
          <w:sz w:val="28"/>
          <w:szCs w:val="28"/>
        </w:rPr>
        <w:t>合同编号：</w:t>
      </w:r>
      <w:bookmarkEnd w:id="773"/>
      <w:bookmarkEnd w:id="774"/>
      <w:bookmarkEnd w:id="775"/>
      <w:bookmarkEnd w:id="776"/>
      <w:bookmarkEnd w:id="777"/>
      <w:r>
        <w:rPr>
          <w:rFonts w:hint="eastAsia" w:ascii="宋体" w:hAnsi="宋体" w:cs="宋体"/>
          <w:sz w:val="28"/>
          <w:szCs w:val="28"/>
          <w:u w:val="single"/>
        </w:rPr>
        <w:t xml:space="preserve">                       </w:t>
      </w:r>
      <w:r>
        <w:rPr>
          <w:rFonts w:ascii="宋体" w:hAnsi="宋体" w:cs="宋体"/>
          <w:sz w:val="28"/>
          <w:szCs w:val="28"/>
          <w:u w:val="single"/>
        </w:rPr>
        <w:t xml:space="preserve">                     </w:t>
      </w:r>
    </w:p>
    <w:p w14:paraId="4ADBAD57">
      <w:pPr>
        <w:widowControl/>
        <w:spacing w:before="120" w:line="480" w:lineRule="auto"/>
        <w:ind w:firstLine="700" w:firstLineChars="250"/>
        <w:rPr>
          <w:rFonts w:ascii="宋体" w:hAnsi="宋体" w:cs="宋体"/>
          <w:sz w:val="28"/>
          <w:szCs w:val="28"/>
          <w:u w:val="single"/>
        </w:rPr>
      </w:pPr>
      <w:r>
        <w:rPr>
          <w:rFonts w:hint="eastAsia" w:ascii="宋体" w:hAnsi="宋体" w:cs="宋体"/>
          <w:sz w:val="28"/>
          <w:szCs w:val="28"/>
        </w:rPr>
        <w:t>项目名称：</w:t>
      </w:r>
      <w:r>
        <w:rPr>
          <w:rFonts w:hint="eastAsia" w:ascii="宋体" w:hAnsi="宋体" w:cs="宋体"/>
          <w:sz w:val="28"/>
          <w:szCs w:val="28"/>
          <w:u w:val="single"/>
        </w:rPr>
        <w:t xml:space="preserve">特定行业公用经费（学生公寓标准化管理项目）  </w:t>
      </w:r>
    </w:p>
    <w:p w14:paraId="733EC7DA">
      <w:pPr>
        <w:widowControl/>
        <w:spacing w:before="120" w:line="480" w:lineRule="auto"/>
        <w:ind w:firstLine="700" w:firstLineChars="250"/>
        <w:rPr>
          <w:rFonts w:ascii="宋体" w:hAnsi="宋体" w:cs="宋体"/>
          <w:sz w:val="28"/>
          <w:szCs w:val="28"/>
          <w:u w:val="single"/>
        </w:rPr>
      </w:pPr>
      <w:r>
        <w:rPr>
          <w:rFonts w:hint="eastAsia" w:ascii="宋体" w:hAnsi="宋体" w:cs="宋体"/>
          <w:sz w:val="28"/>
          <w:szCs w:val="28"/>
        </w:rPr>
        <w:t>服务名称：</w:t>
      </w:r>
      <w:r>
        <w:rPr>
          <w:rFonts w:hint="eastAsia" w:ascii="宋体" w:hAnsi="宋体" w:cs="宋体"/>
          <w:sz w:val="28"/>
          <w:szCs w:val="28"/>
          <w:u w:val="single"/>
        </w:rPr>
        <w:t xml:space="preserve">学生公寓标准化管理  </w:t>
      </w:r>
      <w:r>
        <w:rPr>
          <w:rFonts w:ascii="宋体" w:hAnsi="宋体" w:cs="宋体"/>
          <w:sz w:val="28"/>
          <w:szCs w:val="28"/>
          <w:u w:val="single"/>
        </w:rPr>
        <w:t xml:space="preserve">                        </w:t>
      </w:r>
    </w:p>
    <w:p w14:paraId="65276B4A">
      <w:pPr>
        <w:widowControl/>
        <w:spacing w:before="120" w:line="480" w:lineRule="auto"/>
        <w:ind w:left="1701" w:hanging="1"/>
        <w:rPr>
          <w:rFonts w:ascii="宋体" w:hAnsi="宋体" w:cs="宋体"/>
          <w:sz w:val="28"/>
          <w:szCs w:val="28"/>
          <w:u w:val="single"/>
        </w:rPr>
      </w:pPr>
    </w:p>
    <w:p w14:paraId="524822BA">
      <w:pPr>
        <w:widowControl/>
        <w:spacing w:before="120" w:line="480" w:lineRule="auto"/>
        <w:ind w:left="1701" w:hanging="1"/>
        <w:rPr>
          <w:rFonts w:ascii="宋体" w:hAnsi="宋体" w:cs="宋体"/>
          <w:sz w:val="28"/>
          <w:szCs w:val="28"/>
          <w:u w:val="single"/>
        </w:rPr>
      </w:pPr>
    </w:p>
    <w:p w14:paraId="5BBB1223">
      <w:pPr>
        <w:widowControl/>
        <w:spacing w:before="120" w:line="480" w:lineRule="auto"/>
        <w:ind w:firstLine="700" w:firstLineChars="250"/>
        <w:rPr>
          <w:rFonts w:ascii="宋体" w:hAnsi="宋体" w:cs="宋体"/>
          <w:sz w:val="28"/>
          <w:szCs w:val="28"/>
          <w:u w:val="single"/>
        </w:rPr>
      </w:pPr>
      <w:r>
        <w:rPr>
          <w:rFonts w:hint="eastAsia" w:ascii="宋体" w:hAnsi="宋体" w:cs="宋体"/>
          <w:sz w:val="28"/>
          <w:szCs w:val="28"/>
        </w:rPr>
        <w:t>甲　　方：</w:t>
      </w:r>
      <w:r>
        <w:rPr>
          <w:rFonts w:hint="eastAsia" w:ascii="宋体" w:hAnsi="宋体" w:cs="宋体"/>
          <w:sz w:val="28"/>
          <w:szCs w:val="28"/>
          <w:u w:val="single"/>
        </w:rPr>
        <w:t xml:space="preserve">北京劳动保障职业学院  </w:t>
      </w:r>
      <w:r>
        <w:rPr>
          <w:rFonts w:ascii="宋体" w:hAnsi="宋体" w:cs="宋体"/>
          <w:sz w:val="28"/>
          <w:szCs w:val="28"/>
          <w:u w:val="single"/>
        </w:rPr>
        <w:t xml:space="preserve">                      </w:t>
      </w:r>
    </w:p>
    <w:p w14:paraId="00990D9E">
      <w:pPr>
        <w:widowControl/>
        <w:spacing w:before="120" w:line="480" w:lineRule="auto"/>
        <w:ind w:firstLine="700" w:firstLineChars="250"/>
        <w:rPr>
          <w:rFonts w:ascii="宋体" w:hAnsi="宋体" w:cs="宋体"/>
          <w:sz w:val="28"/>
          <w:szCs w:val="28"/>
          <w:u w:val="single"/>
        </w:rPr>
      </w:pPr>
      <w:r>
        <w:rPr>
          <w:rFonts w:hint="eastAsia" w:ascii="宋体" w:hAnsi="宋体" w:cs="宋体"/>
          <w:sz w:val="28"/>
          <w:szCs w:val="28"/>
        </w:rPr>
        <w:t>乙　　方：</w:t>
      </w:r>
      <w:r>
        <w:rPr>
          <w:rFonts w:hint="eastAsia" w:ascii="宋体" w:hAnsi="宋体" w:cs="宋体"/>
          <w:sz w:val="28"/>
          <w:szCs w:val="28"/>
          <w:lang w:val="en-US" w:eastAsia="zh-CN"/>
        </w:rPr>
        <w:t xml:space="preserve">    </w:t>
      </w:r>
      <w:r>
        <w:rPr>
          <w:rFonts w:ascii="宋体" w:hAnsi="宋体" w:cs="宋体"/>
          <w:sz w:val="28"/>
          <w:szCs w:val="28"/>
          <w:u w:val="single"/>
        </w:rPr>
        <w:t xml:space="preserve">                                        </w:t>
      </w:r>
    </w:p>
    <w:p w14:paraId="33223242">
      <w:pPr>
        <w:widowControl/>
        <w:spacing w:before="120" w:line="480" w:lineRule="auto"/>
        <w:ind w:firstLine="700" w:firstLineChars="250"/>
        <w:rPr>
          <w:rFonts w:ascii="宋体" w:hAnsi="宋体" w:cs="宋体"/>
          <w:sz w:val="24"/>
          <w:u w:val="single"/>
        </w:rPr>
      </w:pPr>
      <w:r>
        <w:rPr>
          <w:rFonts w:hint="eastAsia" w:ascii="宋体" w:hAnsi="宋体" w:cs="宋体"/>
          <w:sz w:val="28"/>
          <w:szCs w:val="28"/>
        </w:rPr>
        <w:t>签署日期：</w:t>
      </w:r>
      <w:r>
        <w:rPr>
          <w:rFonts w:hint="eastAsia" w:ascii="宋体" w:hAnsi="宋体" w:cs="宋体"/>
          <w:sz w:val="28"/>
          <w:szCs w:val="28"/>
          <w:u w:val="single"/>
        </w:rPr>
        <w:t xml:space="preserve">        </w:t>
      </w:r>
      <w:r>
        <w:rPr>
          <w:rFonts w:ascii="宋体" w:hAnsi="宋体" w:cs="宋体"/>
          <w:sz w:val="28"/>
          <w:szCs w:val="28"/>
          <w:u w:val="single"/>
        </w:rPr>
        <w:t xml:space="preserve">                                     </w:t>
      </w:r>
    </w:p>
    <w:p w14:paraId="2370CA18">
      <w:pPr>
        <w:spacing w:line="360" w:lineRule="auto"/>
        <w:rPr>
          <w:rFonts w:ascii="宋体" w:hAnsi="宋体" w:cs="宋体"/>
          <w:sz w:val="24"/>
        </w:rPr>
      </w:pPr>
    </w:p>
    <w:p w14:paraId="5BE0FC14">
      <w:pPr>
        <w:spacing w:line="360" w:lineRule="auto"/>
        <w:rPr>
          <w:rFonts w:ascii="宋体" w:hAnsi="宋体" w:cs="宋体"/>
          <w:sz w:val="24"/>
        </w:rPr>
      </w:pPr>
    </w:p>
    <w:p w14:paraId="4F7795EF">
      <w:pPr>
        <w:spacing w:line="360" w:lineRule="auto"/>
        <w:rPr>
          <w:rFonts w:ascii="宋体" w:hAnsi="宋体" w:cs="宋体"/>
          <w:sz w:val="24"/>
        </w:rPr>
      </w:pPr>
    </w:p>
    <w:p w14:paraId="7402CCEC">
      <w:pPr>
        <w:spacing w:line="360" w:lineRule="auto"/>
        <w:rPr>
          <w:rFonts w:ascii="宋体" w:hAnsi="宋体" w:cs="宋体"/>
          <w:b/>
          <w:sz w:val="24"/>
        </w:rPr>
      </w:pPr>
    </w:p>
    <w:p w14:paraId="1FE9DD96">
      <w:pPr>
        <w:spacing w:line="360" w:lineRule="auto"/>
        <w:rPr>
          <w:rFonts w:ascii="宋体" w:hAnsi="宋体" w:cs="宋体"/>
          <w:b/>
          <w:sz w:val="24"/>
        </w:rPr>
      </w:pPr>
    </w:p>
    <w:p w14:paraId="45FF02AA">
      <w:pPr>
        <w:widowControl/>
        <w:jc w:val="left"/>
        <w:rPr>
          <w:rFonts w:ascii="宋体" w:hAnsi="宋体" w:cs="宋体"/>
          <w:b/>
          <w:sz w:val="24"/>
        </w:rPr>
      </w:pPr>
      <w:r>
        <w:rPr>
          <w:rFonts w:ascii="宋体" w:hAnsi="宋体" w:cs="宋体"/>
          <w:b/>
          <w:sz w:val="24"/>
        </w:rPr>
        <w:br w:type="page"/>
      </w:r>
    </w:p>
    <w:p w14:paraId="1DA002F9">
      <w:pPr>
        <w:spacing w:line="560" w:lineRule="exact"/>
        <w:jc w:val="left"/>
        <w:rPr>
          <w:rFonts w:ascii="宋体" w:hAnsi="宋体" w:cs="宋体"/>
          <w:b/>
          <w:sz w:val="24"/>
        </w:rPr>
      </w:pPr>
      <w:r>
        <w:rPr>
          <w:rFonts w:hint="eastAsia" w:ascii="宋体" w:hAnsi="宋体" w:cs="宋体"/>
          <w:b/>
          <w:sz w:val="24"/>
        </w:rPr>
        <w:t>委托人（甲方）：</w:t>
      </w:r>
      <w:r>
        <w:rPr>
          <w:rFonts w:hint="eastAsia" w:ascii="宋体" w:hAnsi="宋体" w:cs="宋体"/>
          <w:b/>
          <w:sz w:val="24"/>
          <w:u w:val="single"/>
        </w:rPr>
        <w:t xml:space="preserve">  北京劳动保障职业学院 </w:t>
      </w:r>
      <w:r>
        <w:rPr>
          <w:rFonts w:ascii="宋体" w:hAnsi="宋体" w:cs="宋体"/>
          <w:b/>
          <w:sz w:val="24"/>
          <w:u w:val="single"/>
        </w:rPr>
        <w:t xml:space="preserve">                 </w:t>
      </w:r>
      <w:r>
        <w:rPr>
          <w:rFonts w:hint="eastAsia" w:ascii="宋体" w:hAnsi="宋体" w:cs="宋体"/>
          <w:b/>
          <w:sz w:val="24"/>
          <w:u w:val="single"/>
        </w:rPr>
        <w:t xml:space="preserve">   </w:t>
      </w:r>
      <w:r>
        <w:rPr>
          <w:rFonts w:ascii="宋体" w:hAnsi="宋体" w:cs="宋体"/>
          <w:b/>
          <w:sz w:val="24"/>
          <w:u w:val="single"/>
        </w:rPr>
        <w:t xml:space="preserve">   </w:t>
      </w:r>
    </w:p>
    <w:p w14:paraId="56AC0847">
      <w:pPr>
        <w:spacing w:line="560" w:lineRule="exact"/>
        <w:rPr>
          <w:rFonts w:ascii="宋体" w:hAnsi="宋体" w:cs="宋体"/>
          <w:b/>
          <w:sz w:val="24"/>
        </w:rPr>
      </w:pPr>
      <w:r>
        <w:rPr>
          <w:rFonts w:hint="eastAsia" w:ascii="宋体" w:hAnsi="宋体" w:cs="宋体"/>
          <w:b/>
          <w:sz w:val="24"/>
        </w:rPr>
        <w:t>法定代表人：</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
          <w:sz w:val="24"/>
          <w:u w:val="single"/>
        </w:rPr>
        <w:t xml:space="preserve">  </w:t>
      </w:r>
      <w:r>
        <w:rPr>
          <w:rFonts w:ascii="宋体" w:hAnsi="宋体" w:cs="宋体"/>
          <w:b/>
          <w:sz w:val="24"/>
          <w:u w:val="single"/>
        </w:rPr>
        <w:t xml:space="preserve">             </w:t>
      </w:r>
    </w:p>
    <w:p w14:paraId="7BB5727B">
      <w:pPr>
        <w:spacing w:line="560" w:lineRule="exact"/>
        <w:rPr>
          <w:rFonts w:ascii="宋体" w:hAnsi="宋体" w:cs="宋体"/>
          <w:b/>
          <w:sz w:val="24"/>
        </w:rPr>
      </w:pPr>
      <w:r>
        <w:rPr>
          <w:rFonts w:hint="eastAsia" w:ascii="宋体" w:hAnsi="宋体" w:cs="宋体"/>
          <w:b/>
          <w:sz w:val="24"/>
        </w:rPr>
        <w:t xml:space="preserve">住所： </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
          <w:sz w:val="24"/>
          <w:u w:val="single"/>
        </w:rPr>
        <w:t>北京市朝阳区惠新东街5号</w:t>
      </w:r>
      <w:r>
        <w:rPr>
          <w:rFonts w:ascii="宋体" w:hAnsi="宋体" w:cs="宋体"/>
          <w:b/>
          <w:sz w:val="24"/>
          <w:u w:val="single"/>
        </w:rPr>
        <w:t xml:space="preserve">                  </w:t>
      </w:r>
      <w:r>
        <w:rPr>
          <w:rFonts w:hint="eastAsia" w:ascii="宋体" w:hAnsi="宋体" w:cs="宋体"/>
          <w:b/>
          <w:sz w:val="24"/>
          <w:u w:val="single"/>
        </w:rPr>
        <w:t xml:space="preserve"> </w:t>
      </w:r>
      <w:r>
        <w:rPr>
          <w:rFonts w:ascii="宋体" w:hAnsi="宋体" w:cs="宋体"/>
          <w:b/>
          <w:sz w:val="24"/>
          <w:u w:val="single"/>
        </w:rPr>
        <w:t xml:space="preserve">         </w:t>
      </w:r>
    </w:p>
    <w:p w14:paraId="516A4F1A">
      <w:pPr>
        <w:spacing w:line="560" w:lineRule="exact"/>
        <w:rPr>
          <w:rFonts w:ascii="宋体" w:hAnsi="宋体" w:cs="宋体"/>
          <w:b/>
          <w:sz w:val="24"/>
        </w:rPr>
      </w:pPr>
    </w:p>
    <w:p w14:paraId="17946174">
      <w:pPr>
        <w:spacing w:line="560" w:lineRule="exact"/>
        <w:rPr>
          <w:rFonts w:ascii="宋体" w:hAnsi="宋体" w:cs="宋体"/>
          <w:b/>
          <w:sz w:val="24"/>
          <w:u w:val="single"/>
        </w:rPr>
      </w:pPr>
      <w:r>
        <w:rPr>
          <w:rFonts w:hint="eastAsia" w:ascii="宋体" w:hAnsi="宋体" w:cs="宋体"/>
          <w:b/>
          <w:sz w:val="24"/>
        </w:rPr>
        <w:t>受托人（乙方）：</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 xml:space="preserve"> </w:t>
      </w:r>
      <w:r>
        <w:rPr>
          <w:rFonts w:ascii="宋体" w:hAnsi="宋体" w:cs="宋体"/>
          <w:b/>
          <w:sz w:val="24"/>
          <w:u w:val="single"/>
        </w:rPr>
        <w:t xml:space="preserve">  </w:t>
      </w:r>
    </w:p>
    <w:p w14:paraId="7FCF15D7">
      <w:pPr>
        <w:spacing w:line="560" w:lineRule="exact"/>
        <w:rPr>
          <w:rFonts w:ascii="宋体" w:hAnsi="宋体" w:cs="宋体"/>
          <w:b/>
          <w:sz w:val="24"/>
        </w:rPr>
      </w:pPr>
      <w:r>
        <w:rPr>
          <w:rFonts w:hint="eastAsia" w:ascii="宋体" w:hAnsi="宋体" w:cs="宋体"/>
          <w:b/>
          <w:sz w:val="24"/>
        </w:rPr>
        <w:t>法定代表人：</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
          <w:sz w:val="24"/>
          <w:u w:val="single"/>
        </w:rPr>
        <w:t xml:space="preserve"> </w:t>
      </w:r>
      <w:r>
        <w:rPr>
          <w:rFonts w:ascii="宋体" w:hAnsi="宋体" w:cs="宋体"/>
          <w:b/>
          <w:sz w:val="24"/>
          <w:u w:val="single"/>
        </w:rPr>
        <w:t xml:space="preserve">    </w:t>
      </w:r>
    </w:p>
    <w:p w14:paraId="37B91300">
      <w:pPr>
        <w:spacing w:line="560" w:lineRule="exact"/>
        <w:rPr>
          <w:rFonts w:ascii="宋体" w:hAnsi="宋体" w:cs="宋体"/>
          <w:b/>
          <w:sz w:val="24"/>
        </w:rPr>
      </w:pPr>
      <w:r>
        <w:rPr>
          <w:rFonts w:hint="eastAsia" w:ascii="宋体" w:hAnsi="宋体" w:cs="宋体"/>
          <w:b/>
          <w:sz w:val="24"/>
        </w:rPr>
        <w:t>住所：</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 xml:space="preserve">    </w:t>
      </w:r>
    </w:p>
    <w:p w14:paraId="21FF6291">
      <w:pPr>
        <w:spacing w:line="560" w:lineRule="exact"/>
        <w:rPr>
          <w:rFonts w:ascii="宋体" w:hAnsi="宋体" w:cs="宋体"/>
          <w:sz w:val="24"/>
        </w:rPr>
      </w:pPr>
      <w:r>
        <w:rPr>
          <w:rFonts w:hint="eastAsia" w:ascii="宋体" w:hAnsi="宋体" w:cs="宋体"/>
          <w:b/>
          <w:sz w:val="24"/>
        </w:rPr>
        <w:t xml:space="preserve">  </w:t>
      </w:r>
      <w:r>
        <w:rPr>
          <w:rFonts w:hint="eastAsia" w:ascii="宋体" w:hAnsi="宋体" w:cs="宋体"/>
          <w:sz w:val="24"/>
        </w:rPr>
        <w:t xml:space="preserve"> </w:t>
      </w:r>
    </w:p>
    <w:p w14:paraId="1324032C">
      <w:pPr>
        <w:tabs>
          <w:tab w:val="left" w:pos="3240"/>
          <w:tab w:val="left" w:pos="3420"/>
        </w:tabs>
        <w:spacing w:line="500" w:lineRule="exact"/>
        <w:ind w:left="105" w:leftChars="50" w:firstLine="480" w:firstLineChars="200"/>
        <w:rPr>
          <w:rFonts w:ascii="宋体" w:hAnsi="宋体" w:cs="宋体"/>
          <w:sz w:val="24"/>
        </w:rPr>
      </w:pPr>
      <w:r>
        <w:rPr>
          <w:rFonts w:hint="eastAsia" w:ascii="宋体" w:hAnsi="宋体" w:cs="宋体"/>
          <w:sz w:val="24"/>
        </w:rPr>
        <w:t>北京劳动保障职业学院学生公寓标准化管理项目，</w:t>
      </w:r>
      <w:r>
        <w:rPr>
          <w:rFonts w:hint="eastAsia" w:ascii="宋体" w:hAnsi="宋体" w:cs="宋体"/>
          <w:sz w:val="24"/>
          <w:u w:val="single"/>
        </w:rPr>
        <w:t>经</w:t>
      </w:r>
      <w:r>
        <w:rPr>
          <w:rFonts w:hint="eastAsia" w:ascii="宋体" w:hAnsi="宋体" w:cs="宋体"/>
          <w:sz w:val="24"/>
          <w:u w:val="single"/>
          <w:lang w:val="en-US" w:eastAsia="zh-CN"/>
        </w:rPr>
        <w:t xml:space="preserve">                </w:t>
      </w:r>
      <w:r>
        <w:rPr>
          <w:rFonts w:hint="eastAsia" w:ascii="宋体" w:hAnsi="宋体" w:cs="宋体"/>
          <w:sz w:val="24"/>
        </w:rPr>
        <w:t>公开招标，项目代理编号</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，评定</w:t>
      </w:r>
      <w:r>
        <w:rPr>
          <w:rFonts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rPr>
        <w:t>为中标单位</w:t>
      </w:r>
      <w:r>
        <w:rPr>
          <w:rFonts w:hint="eastAsia" w:ascii="宋体" w:hAnsi="宋体" w:cs="宋体"/>
          <w:sz w:val="24"/>
        </w:rPr>
        <w:t>，甲、乙双方依据《中华人民共和国民法典》，在平等自愿的基础上，同意按照下面的条款和条件，签署本合同并共同遵守履行。</w:t>
      </w:r>
    </w:p>
    <w:p w14:paraId="52DBA1EA">
      <w:pPr>
        <w:spacing w:line="500" w:lineRule="exact"/>
        <w:ind w:firstLine="602" w:firstLineChars="250"/>
        <w:rPr>
          <w:rFonts w:ascii="宋体" w:hAnsi="宋体" w:cs="宋体"/>
          <w:b/>
          <w:bCs/>
          <w:sz w:val="24"/>
        </w:rPr>
      </w:pPr>
      <w:r>
        <w:rPr>
          <w:rFonts w:hint="eastAsia" w:ascii="宋体" w:hAnsi="宋体" w:cs="宋体"/>
          <w:b/>
          <w:bCs/>
          <w:sz w:val="24"/>
        </w:rPr>
        <w:t>第一条</w:t>
      </w:r>
      <w:r>
        <w:rPr>
          <w:rFonts w:ascii="宋体" w:hAnsi="宋体" w:cs="宋体"/>
          <w:b/>
          <w:bCs/>
          <w:sz w:val="24"/>
        </w:rPr>
        <w:t xml:space="preserve">  </w:t>
      </w:r>
      <w:r>
        <w:rPr>
          <w:rFonts w:hint="eastAsia" w:ascii="宋体" w:hAnsi="宋体" w:cs="宋体"/>
          <w:b/>
          <w:bCs/>
          <w:sz w:val="24"/>
        </w:rPr>
        <w:t>项目概况</w:t>
      </w:r>
    </w:p>
    <w:p w14:paraId="5358C664">
      <w:pPr>
        <w:spacing w:line="500" w:lineRule="exact"/>
        <w:ind w:firstLine="240" w:firstLineChars="100"/>
        <w:jc w:val="left"/>
        <w:rPr>
          <w:rFonts w:ascii="宋体" w:hAnsi="宋体" w:cs="宋体"/>
          <w:sz w:val="24"/>
        </w:rPr>
      </w:pPr>
      <w:r>
        <w:rPr>
          <w:rFonts w:ascii="宋体" w:hAnsi="宋体" w:cs="宋体"/>
          <w:sz w:val="24"/>
        </w:rPr>
        <w:t>（一）</w:t>
      </w:r>
      <w:r>
        <w:rPr>
          <w:rFonts w:hint="eastAsia" w:ascii="宋体" w:hAnsi="宋体" w:cs="宋体"/>
          <w:sz w:val="24"/>
        </w:rPr>
        <w:t>项目名称：特定行业公用经费（学生公寓标准化管理项目）。</w:t>
      </w:r>
    </w:p>
    <w:p w14:paraId="1CB0F2DF">
      <w:pPr>
        <w:spacing w:line="500" w:lineRule="exact"/>
        <w:ind w:firstLine="200"/>
        <w:jc w:val="left"/>
        <w:rPr>
          <w:rFonts w:ascii="宋体" w:hAnsi="宋体" w:cs="宋体"/>
          <w:sz w:val="24"/>
        </w:rPr>
      </w:pPr>
      <w:r>
        <w:rPr>
          <w:rFonts w:ascii="宋体" w:hAnsi="宋体" w:cs="宋体"/>
          <w:sz w:val="24"/>
        </w:rPr>
        <w:t>（二）</w:t>
      </w:r>
      <w:r>
        <w:rPr>
          <w:rFonts w:hint="eastAsia" w:ascii="宋体" w:hAnsi="宋体" w:cs="宋体"/>
          <w:sz w:val="24"/>
        </w:rPr>
        <w:t>服务地点：北京市朝阳区惠新东街</w:t>
      </w:r>
      <w:r>
        <w:rPr>
          <w:rFonts w:ascii="宋体" w:hAnsi="宋体" w:cs="宋体"/>
          <w:sz w:val="24"/>
        </w:rPr>
        <w:t>5号（南校区）、北京市</w:t>
      </w:r>
      <w:r>
        <w:rPr>
          <w:rFonts w:hint="eastAsia" w:ascii="宋体" w:hAnsi="宋体" w:cs="宋体"/>
          <w:sz w:val="24"/>
        </w:rPr>
        <w:t>昌平区南口路</w:t>
      </w:r>
      <w:r>
        <w:rPr>
          <w:rFonts w:ascii="宋体" w:hAnsi="宋体" w:cs="宋体"/>
          <w:sz w:val="24"/>
        </w:rPr>
        <w:t>32号（北校区）。</w:t>
      </w:r>
    </w:p>
    <w:p w14:paraId="6423B3A3">
      <w:pPr>
        <w:pStyle w:val="76"/>
        <w:spacing w:line="500" w:lineRule="exact"/>
        <w:ind w:firstLine="200" w:firstLineChars="0"/>
        <w:jc w:val="left"/>
        <w:rPr>
          <w:rFonts w:ascii="宋体" w:hAnsi="宋体" w:cs="宋体"/>
          <w:sz w:val="24"/>
        </w:rPr>
      </w:pPr>
      <w:r>
        <w:rPr>
          <w:rFonts w:ascii="宋体" w:hAnsi="宋体" w:cs="宋体"/>
          <w:sz w:val="24"/>
        </w:rPr>
        <w:t>（三）</w:t>
      </w:r>
      <w:r>
        <w:rPr>
          <w:rFonts w:hint="eastAsia" w:ascii="宋体" w:hAnsi="宋体" w:cs="宋体"/>
          <w:sz w:val="24"/>
        </w:rPr>
        <w:t>服</w:t>
      </w:r>
      <w:r>
        <w:rPr>
          <w:rFonts w:ascii="宋体" w:hAnsi="宋体" w:cs="宋体"/>
          <w:sz w:val="24"/>
        </w:rPr>
        <w:t>务对象</w:t>
      </w:r>
      <w:r>
        <w:rPr>
          <w:rFonts w:hint="eastAsia" w:ascii="宋体" w:hAnsi="宋体" w:cs="宋体"/>
          <w:sz w:val="24"/>
        </w:rPr>
        <w:t>：高职学生、贯培学生</w:t>
      </w:r>
      <w:r>
        <w:rPr>
          <w:rFonts w:hint="eastAsia" w:ascii="宋体" w:hAnsi="宋体" w:cs="宋体"/>
          <w:sz w:val="24"/>
          <w:lang w:eastAsia="zh-CN"/>
        </w:rPr>
        <w:t>、</w:t>
      </w:r>
      <w:r>
        <w:rPr>
          <w:rFonts w:hint="eastAsia" w:ascii="宋体" w:hAnsi="宋体" w:cs="宋体"/>
          <w:sz w:val="24"/>
        </w:rPr>
        <w:t>技校学生</w:t>
      </w:r>
      <w:r>
        <w:rPr>
          <w:rFonts w:hint="eastAsia" w:ascii="宋体" w:hAnsi="宋体" w:cs="宋体"/>
          <w:sz w:val="24"/>
          <w:lang w:val="en-US" w:eastAsia="zh-CN"/>
        </w:rPr>
        <w:t>及留学生</w:t>
      </w:r>
      <w:r>
        <w:rPr>
          <w:rFonts w:hint="eastAsia" w:ascii="宋体" w:hAnsi="宋体" w:cs="宋体"/>
          <w:sz w:val="24"/>
        </w:rPr>
        <w:t>，其中，贯培学生前三年及技校学生为未成年学生。</w:t>
      </w:r>
    </w:p>
    <w:p w14:paraId="09A784EC">
      <w:pPr>
        <w:pStyle w:val="76"/>
        <w:spacing w:line="500" w:lineRule="exact"/>
        <w:ind w:firstLine="200" w:firstLineChars="0"/>
        <w:jc w:val="left"/>
        <w:rPr>
          <w:rFonts w:ascii="宋体" w:hAnsi="宋体" w:cs="宋体"/>
          <w:sz w:val="24"/>
        </w:rPr>
      </w:pPr>
      <w:r>
        <w:rPr>
          <w:rFonts w:ascii="宋体" w:hAnsi="宋体" w:cs="宋体"/>
          <w:sz w:val="24"/>
        </w:rPr>
        <w:t>（四）</w:t>
      </w:r>
      <w:r>
        <w:rPr>
          <w:rFonts w:hint="eastAsia" w:ascii="宋体" w:hAnsi="宋体" w:cs="宋体"/>
          <w:sz w:val="24"/>
        </w:rPr>
        <w:t>服务范</w:t>
      </w:r>
      <w:r>
        <w:rPr>
          <w:rFonts w:ascii="宋体" w:hAnsi="宋体" w:cs="宋体"/>
          <w:sz w:val="24"/>
        </w:rPr>
        <w:t>围</w:t>
      </w:r>
      <w:r>
        <w:rPr>
          <w:rFonts w:hint="eastAsia" w:ascii="宋体" w:hAnsi="宋体" w:cs="宋体"/>
          <w:sz w:val="24"/>
        </w:rPr>
        <w:t>：南、北校区</w:t>
      </w:r>
      <w:r>
        <w:rPr>
          <w:rFonts w:hint="eastAsia" w:ascii="宋体" w:hAnsi="宋体" w:cs="宋体"/>
          <w:sz w:val="24"/>
          <w:lang w:val="en-US" w:eastAsia="zh-CN"/>
        </w:rPr>
        <w:t>5</w:t>
      </w:r>
      <w:r>
        <w:rPr>
          <w:rFonts w:ascii="宋体" w:hAnsi="宋体" w:cs="宋体"/>
          <w:sz w:val="24"/>
        </w:rPr>
        <w:t>栋学生公寓</w:t>
      </w:r>
      <w:r>
        <w:rPr>
          <w:rFonts w:hint="eastAsia" w:ascii="宋体" w:hAnsi="宋体" w:cs="宋体"/>
          <w:sz w:val="24"/>
          <w:lang w:eastAsia="zh-CN"/>
        </w:rPr>
        <w:t>、</w:t>
      </w:r>
      <w:r>
        <w:rPr>
          <w:rFonts w:hint="eastAsia" w:ascii="宋体" w:hAnsi="宋体" w:cs="宋体"/>
          <w:sz w:val="24"/>
          <w:lang w:val="en-US" w:eastAsia="zh-CN"/>
        </w:rPr>
        <w:t>博学苑</w:t>
      </w:r>
      <w:r>
        <w:rPr>
          <w:rFonts w:ascii="宋体" w:hAnsi="宋体" w:cs="宋体"/>
          <w:sz w:val="24"/>
        </w:rPr>
        <w:t>日常管理服务。</w:t>
      </w:r>
    </w:p>
    <w:p w14:paraId="68FAFE14">
      <w:pPr>
        <w:spacing w:line="500" w:lineRule="exact"/>
        <w:ind w:firstLine="480" w:firstLineChars="200"/>
        <w:rPr>
          <w:rFonts w:hint="eastAsia" w:ascii="宋体" w:hAnsi="宋体" w:eastAsia="宋体" w:cs="宋体"/>
          <w:bCs/>
          <w:sz w:val="24"/>
          <w:lang w:eastAsia="zh-CN"/>
        </w:rPr>
      </w:pPr>
      <w:r>
        <w:rPr>
          <w:rFonts w:ascii="宋体" w:hAnsi="宋体" w:cs="宋体"/>
          <w:bCs/>
          <w:sz w:val="24"/>
        </w:rPr>
        <w:t>1.</w:t>
      </w:r>
      <w:r>
        <w:rPr>
          <w:rFonts w:hint="eastAsia" w:ascii="宋体" w:hAnsi="宋体" w:cs="宋体"/>
          <w:bCs/>
          <w:sz w:val="24"/>
        </w:rPr>
        <w:t>南校区：主要包括学生公寓</w:t>
      </w:r>
      <w:r>
        <w:rPr>
          <w:rFonts w:ascii="宋体" w:hAnsi="宋体" w:cs="宋体"/>
          <w:bCs/>
          <w:sz w:val="24"/>
        </w:rPr>
        <w:t>5号楼（</w:t>
      </w:r>
      <w:r>
        <w:rPr>
          <w:rFonts w:hint="eastAsia" w:ascii="宋体" w:hAnsi="宋体" w:cs="宋体"/>
          <w:bCs/>
          <w:sz w:val="24"/>
        </w:rPr>
        <w:t>男女生混楼），面积</w:t>
      </w:r>
      <w:r>
        <w:rPr>
          <w:rFonts w:ascii="宋体" w:hAnsi="宋体" w:cs="宋体"/>
          <w:bCs/>
          <w:sz w:val="24"/>
        </w:rPr>
        <w:t>2415㎡，89间，可安排约623人住宿</w:t>
      </w:r>
      <w:r>
        <w:rPr>
          <w:rFonts w:hint="eastAsia" w:ascii="宋体" w:hAnsi="宋体" w:cs="宋体"/>
          <w:bCs/>
          <w:sz w:val="24"/>
          <w:lang w:val="en-US" w:eastAsia="zh-CN"/>
        </w:rPr>
        <w:t>；博学苑根据招收留学生人数而定</w:t>
      </w:r>
      <w:r>
        <w:rPr>
          <w:rFonts w:hint="eastAsia" w:ascii="宋体" w:hAnsi="宋体" w:cs="宋体"/>
          <w:bCs/>
          <w:sz w:val="24"/>
          <w:lang w:eastAsia="zh-CN"/>
        </w:rPr>
        <w:t>。</w:t>
      </w:r>
    </w:p>
    <w:p w14:paraId="732FD96F">
      <w:pPr>
        <w:spacing w:line="5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北校区：主要包括学生公寓</w:t>
      </w:r>
      <w:r>
        <w:rPr>
          <w:rFonts w:ascii="宋体" w:hAnsi="宋体" w:cs="宋体"/>
          <w:sz w:val="24"/>
        </w:rPr>
        <w:t>4栋，面积约20453㎡，共计489间，可安排约3106人住宿。其中：1号楼（男生）面积3929㎡，66间，可安排约462人住宿；2号楼（男生）面积4078㎡，106间，可安排约742人住宿；3号楼（女生）面积7711㎡，196间，可安排约1176人</w:t>
      </w:r>
      <w:r>
        <w:rPr>
          <w:rFonts w:hint="eastAsia" w:ascii="宋体" w:hAnsi="宋体" w:cs="宋体"/>
          <w:sz w:val="24"/>
        </w:rPr>
        <w:t>住宿；</w:t>
      </w:r>
      <w:r>
        <w:rPr>
          <w:rFonts w:ascii="宋体" w:hAnsi="宋体" w:cs="宋体"/>
          <w:sz w:val="24"/>
        </w:rPr>
        <w:t>4号楼（未</w:t>
      </w:r>
      <w:r>
        <w:rPr>
          <w:rFonts w:hint="eastAsia" w:ascii="宋体" w:hAnsi="宋体" w:cs="宋体"/>
          <w:sz w:val="24"/>
        </w:rPr>
        <w:t>成年学生，男女生混楼）面积</w:t>
      </w:r>
      <w:r>
        <w:rPr>
          <w:rFonts w:ascii="宋体" w:hAnsi="宋体" w:cs="宋体"/>
          <w:sz w:val="24"/>
        </w:rPr>
        <w:t>4735㎡，121间，可安排约726人住宿。</w:t>
      </w:r>
    </w:p>
    <w:p w14:paraId="55A032A7">
      <w:pPr>
        <w:spacing w:line="500" w:lineRule="exact"/>
        <w:ind w:firstLine="480" w:firstLineChars="200"/>
        <w:rPr>
          <w:rFonts w:ascii="宋体" w:hAnsi="宋体" w:cs="宋体"/>
          <w:sz w:val="24"/>
        </w:rPr>
      </w:pPr>
      <w:r>
        <w:rPr>
          <w:rFonts w:ascii="宋体" w:hAnsi="宋体" w:cs="宋体"/>
          <w:sz w:val="24"/>
        </w:rPr>
        <w:t>（五）服务期限：</w:t>
      </w:r>
      <w:r>
        <w:rPr>
          <w:rFonts w:hint="eastAsia" w:ascii="宋体" w:hAnsi="宋体" w:cs="宋体"/>
          <w:sz w:val="24"/>
          <w:lang w:val="zh-CN"/>
        </w:rPr>
        <w:t>一</w:t>
      </w:r>
      <w:r>
        <w:rPr>
          <w:rFonts w:ascii="宋体" w:hAnsi="宋体" w:cs="宋体"/>
          <w:sz w:val="24"/>
          <w:lang w:val="zh-CN"/>
        </w:rPr>
        <w:t>年</w:t>
      </w:r>
      <w:r>
        <w:rPr>
          <w:rFonts w:hint="eastAsia" w:ascii="宋体" w:hAnsi="宋体" w:cs="宋体"/>
          <w:sz w:val="24"/>
          <w:lang w:val="zh-CN"/>
        </w:rPr>
        <w:t>，即：</w:t>
      </w:r>
      <w:r>
        <w:rPr>
          <w:rFonts w:ascii="宋体" w:hAnsi="宋体" w:cs="宋体"/>
          <w:sz w:val="24"/>
          <w:lang w:val="zh-CN"/>
        </w:rPr>
        <w:t>202</w:t>
      </w:r>
      <w:r>
        <w:rPr>
          <w:rFonts w:hint="eastAsia" w:ascii="宋体" w:hAnsi="宋体" w:cs="宋体"/>
          <w:sz w:val="24"/>
          <w:lang w:val="en-US" w:eastAsia="zh-CN"/>
        </w:rPr>
        <w:t>5</w:t>
      </w:r>
      <w:r>
        <w:rPr>
          <w:rFonts w:ascii="宋体" w:hAnsi="宋体" w:cs="宋体"/>
          <w:sz w:val="24"/>
          <w:lang w:val="zh-CN"/>
        </w:rPr>
        <w:t>年</w:t>
      </w:r>
      <w:r>
        <w:rPr>
          <w:rFonts w:ascii="宋体" w:hAnsi="宋体" w:cs="宋体"/>
          <w:sz w:val="24"/>
        </w:rPr>
        <w:t>8</w:t>
      </w:r>
      <w:r>
        <w:rPr>
          <w:rFonts w:hint="eastAsia" w:ascii="宋体" w:hAnsi="宋体" w:cs="宋体"/>
          <w:sz w:val="24"/>
          <w:lang w:val="zh-CN"/>
        </w:rPr>
        <w:t>月</w:t>
      </w:r>
      <w:r>
        <w:rPr>
          <w:rFonts w:ascii="宋体" w:hAnsi="宋体" w:cs="宋体"/>
          <w:sz w:val="24"/>
          <w:lang w:val="zh-CN"/>
        </w:rPr>
        <w:t>1日至202</w:t>
      </w:r>
      <w:r>
        <w:rPr>
          <w:rFonts w:hint="eastAsia" w:ascii="宋体" w:hAnsi="宋体" w:cs="宋体"/>
          <w:sz w:val="24"/>
          <w:lang w:val="en-US" w:eastAsia="zh-CN"/>
        </w:rPr>
        <w:t>6</w:t>
      </w:r>
      <w:r>
        <w:rPr>
          <w:rFonts w:ascii="宋体" w:hAnsi="宋体" w:cs="宋体"/>
          <w:sz w:val="24"/>
          <w:lang w:val="zh-CN"/>
        </w:rPr>
        <w:t>年</w:t>
      </w:r>
      <w:r>
        <w:rPr>
          <w:rFonts w:ascii="宋体" w:hAnsi="宋体" w:cs="宋体"/>
          <w:sz w:val="24"/>
        </w:rPr>
        <w:t>7</w:t>
      </w:r>
      <w:r>
        <w:rPr>
          <w:rFonts w:hint="eastAsia" w:ascii="宋体" w:hAnsi="宋体" w:cs="宋体"/>
          <w:sz w:val="24"/>
          <w:lang w:val="zh-CN"/>
        </w:rPr>
        <w:t>月</w:t>
      </w:r>
      <w:r>
        <w:rPr>
          <w:rFonts w:ascii="宋体" w:hAnsi="宋体" w:cs="宋体"/>
          <w:sz w:val="24"/>
        </w:rPr>
        <w:t>31</w:t>
      </w:r>
      <w:r>
        <w:rPr>
          <w:rFonts w:hint="eastAsia" w:ascii="宋体" w:hAnsi="宋体" w:cs="宋体"/>
          <w:sz w:val="24"/>
          <w:lang w:val="zh-CN"/>
        </w:rPr>
        <w:t>日</w:t>
      </w:r>
      <w:r>
        <w:rPr>
          <w:rFonts w:hint="eastAsia" w:ascii="宋体" w:hAnsi="宋体" w:cs="宋体"/>
          <w:sz w:val="24"/>
        </w:rPr>
        <w:t>。</w:t>
      </w:r>
    </w:p>
    <w:p w14:paraId="324D499C">
      <w:pPr>
        <w:tabs>
          <w:tab w:val="left" w:pos="425"/>
        </w:tabs>
        <w:spacing w:line="500" w:lineRule="exact"/>
        <w:ind w:firstLine="480" w:firstLineChars="200"/>
        <w:rPr>
          <w:rFonts w:ascii="宋体" w:hAnsi="宋体" w:cs="宋体"/>
          <w:sz w:val="24"/>
        </w:rPr>
      </w:pPr>
      <w:r>
        <w:rPr>
          <w:rFonts w:ascii="宋体" w:hAnsi="宋体" w:cs="宋体"/>
          <w:sz w:val="24"/>
        </w:rPr>
        <w:t>（六）服务费用：</w:t>
      </w:r>
      <w:r>
        <w:rPr>
          <w:rFonts w:hint="eastAsia" w:ascii="宋体" w:hAnsi="宋体" w:cs="宋体"/>
          <w:sz w:val="24"/>
        </w:rPr>
        <w:t>总计</w:t>
      </w:r>
      <w:r>
        <w:rPr>
          <w:rFonts w:hint="eastAsia" w:ascii="宋体" w:hAnsi="宋体" w:cs="宋体"/>
          <w:sz w:val="24"/>
          <w:u w:val="single"/>
          <w:lang w:val="en-US" w:eastAsia="zh-CN"/>
        </w:rPr>
        <w:t xml:space="preserve">            </w:t>
      </w:r>
      <w:r>
        <w:rPr>
          <w:rFonts w:hint="eastAsia" w:ascii="宋体" w:hAnsi="宋体" w:cs="宋体"/>
          <w:sz w:val="24"/>
        </w:rPr>
        <w:t>元（含税）（人民币大写：</w:t>
      </w:r>
      <w:r>
        <w:rPr>
          <w:rFonts w:hint="eastAsia" w:ascii="宋体" w:hAnsi="宋体" w:cs="宋体"/>
          <w:sz w:val="24"/>
          <w:u w:val="single"/>
          <w:lang w:val="en-US" w:eastAsia="zh-CN"/>
        </w:rPr>
        <w:t xml:space="preserve">           </w:t>
      </w:r>
      <w:r>
        <w:rPr>
          <w:rFonts w:hint="eastAsia" w:ascii="宋体" w:hAnsi="宋体" w:cs="宋体"/>
          <w:sz w:val="24"/>
        </w:rPr>
        <w:t>），主要包括如下费用：</w:t>
      </w:r>
    </w:p>
    <w:p w14:paraId="16D02B9D">
      <w:pPr>
        <w:snapToGrid w:val="0"/>
        <w:spacing w:line="500" w:lineRule="exact"/>
        <w:ind w:firstLine="480" w:firstLineChars="200"/>
        <w:rPr>
          <w:rFonts w:ascii="宋体" w:hAnsi="宋体" w:cs="宋体"/>
          <w:sz w:val="24"/>
        </w:rPr>
      </w:pPr>
      <w:r>
        <w:rPr>
          <w:rFonts w:ascii="宋体" w:hAnsi="宋体" w:cs="宋体"/>
          <w:sz w:val="24"/>
        </w:rPr>
        <w:t>1.人员费：主要包括人员工资、伙食费、值加班费、社会保险费、培训费及福利待遇等费用。</w:t>
      </w:r>
    </w:p>
    <w:p w14:paraId="70D93491">
      <w:pPr>
        <w:snapToGrid w:val="0"/>
        <w:spacing w:line="500" w:lineRule="exact"/>
        <w:rPr>
          <w:rFonts w:ascii="宋体" w:hAnsi="宋体" w:cs="宋体"/>
          <w:sz w:val="24"/>
        </w:rPr>
      </w:pPr>
      <w:r>
        <w:rPr>
          <w:rFonts w:ascii="宋体" w:hAnsi="宋体" w:cs="宋体"/>
          <w:sz w:val="24"/>
        </w:rPr>
        <w:t xml:space="preserve">    2.服装费：</w:t>
      </w:r>
      <w:r>
        <w:rPr>
          <w:rFonts w:hint="eastAsia" w:ascii="宋体" w:hAnsi="宋体" w:cs="宋体"/>
          <w:sz w:val="24"/>
        </w:rPr>
        <w:t>宿管人员的四季服装等费用。</w:t>
      </w:r>
    </w:p>
    <w:p w14:paraId="14067A0F">
      <w:pPr>
        <w:snapToGrid w:val="0"/>
        <w:spacing w:line="500" w:lineRule="exact"/>
        <w:ind w:firstLine="480" w:firstLineChars="200"/>
        <w:rPr>
          <w:rFonts w:ascii="宋体" w:hAnsi="宋体" w:cs="宋体"/>
          <w:sz w:val="24"/>
        </w:rPr>
      </w:pPr>
      <w:r>
        <w:rPr>
          <w:rFonts w:ascii="宋体" w:hAnsi="宋体" w:cs="宋体"/>
          <w:sz w:val="24"/>
        </w:rPr>
        <w:t>3.管理费及税金</w:t>
      </w:r>
    </w:p>
    <w:p w14:paraId="3E295CDE">
      <w:pPr>
        <w:snapToGrid w:val="0"/>
        <w:spacing w:line="50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办公费：包括日常办公耗材、交通费等费用。</w:t>
      </w:r>
    </w:p>
    <w:p w14:paraId="4FA8EB21">
      <w:pPr>
        <w:snapToGrid w:val="0"/>
        <w:spacing w:line="5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宣传费：包括展板、标识、宣传栏布置、管理记录、节</w:t>
      </w:r>
      <w:r>
        <w:rPr>
          <w:rFonts w:ascii="宋体" w:hAnsi="宋体" w:cs="宋体"/>
          <w:sz w:val="24"/>
        </w:rPr>
        <w:t>日</w:t>
      </w:r>
      <w:r>
        <w:rPr>
          <w:rFonts w:hint="eastAsia" w:ascii="宋体" w:hAnsi="宋体" w:cs="宋体"/>
          <w:sz w:val="24"/>
        </w:rPr>
        <w:t>装</w:t>
      </w:r>
      <w:r>
        <w:rPr>
          <w:rFonts w:ascii="宋体" w:hAnsi="宋体" w:cs="宋体"/>
          <w:sz w:val="24"/>
        </w:rPr>
        <w:t>饰</w:t>
      </w:r>
      <w:r>
        <w:rPr>
          <w:rFonts w:hint="eastAsia" w:ascii="宋体" w:hAnsi="宋体" w:cs="宋体"/>
          <w:sz w:val="24"/>
        </w:rPr>
        <w:t>等费用。</w:t>
      </w:r>
    </w:p>
    <w:p w14:paraId="4482DE72">
      <w:pPr>
        <w:snapToGrid w:val="0"/>
        <w:spacing w:line="50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税金。</w:t>
      </w:r>
    </w:p>
    <w:p w14:paraId="49A33686">
      <w:pPr>
        <w:spacing w:line="500" w:lineRule="exact"/>
        <w:ind w:firstLine="480" w:firstLineChars="200"/>
        <w:rPr>
          <w:rFonts w:ascii="宋体" w:hAnsi="宋体" w:cs="宋体"/>
          <w:sz w:val="24"/>
        </w:rPr>
      </w:pPr>
      <w:r>
        <w:rPr>
          <w:rFonts w:ascii="宋体" w:hAnsi="宋体" w:cs="宋体"/>
          <w:sz w:val="24"/>
        </w:rPr>
        <w:t>4.工会会员：所有员工为</w:t>
      </w:r>
      <w:r>
        <w:rPr>
          <w:rFonts w:hint="eastAsia" w:ascii="宋体" w:hAnsi="宋体" w:cs="宋体"/>
          <w:sz w:val="24"/>
        </w:rPr>
        <w:t>乙方工会会员，享受工会会员福利，参加工会活动【依法用工，与员工签订劳动合同，缴纳社会保险，中标供应商与员工因劳资、工作分配等产生的纠纷，校方不承担任何责任】。</w:t>
      </w:r>
    </w:p>
    <w:p w14:paraId="43B42A7D">
      <w:pPr>
        <w:snapToGrid w:val="0"/>
        <w:spacing w:line="5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宿管员工作时长及节假日安排由乙方按国家有关规定执行。宿管员休假期间工作由乙方负责调整。</w:t>
      </w:r>
    </w:p>
    <w:p w14:paraId="675C5010">
      <w:pPr>
        <w:pStyle w:val="12"/>
        <w:spacing w:line="500" w:lineRule="exact"/>
        <w:ind w:firstLine="480" w:firstLineChars="200"/>
        <w:rPr>
          <w:rFonts w:hAnsi="宋体" w:cs="宋体"/>
        </w:rPr>
      </w:pPr>
      <w:r>
        <w:rPr>
          <w:rFonts w:hAnsi="宋体" w:cs="宋体"/>
        </w:rPr>
        <w:t>6.为完成本项目服务工作，所发生的其他费用。</w:t>
      </w:r>
    </w:p>
    <w:p w14:paraId="28989C20">
      <w:pPr>
        <w:snapToGrid w:val="0"/>
        <w:spacing w:line="500" w:lineRule="exact"/>
        <w:ind w:firstLine="480" w:firstLineChars="200"/>
        <w:rPr>
          <w:rFonts w:ascii="宋体" w:hAnsi="宋体" w:cs="宋体"/>
          <w:sz w:val="24"/>
        </w:rPr>
      </w:pPr>
      <w:r>
        <w:rPr>
          <w:rFonts w:ascii="宋体" w:hAnsi="宋体" w:cs="宋体"/>
          <w:sz w:val="24"/>
        </w:rPr>
        <w:t>（七）付款方式：分</w:t>
      </w:r>
      <w:r>
        <w:rPr>
          <w:rFonts w:hint="eastAsia" w:ascii="宋体" w:hAnsi="宋体" w:cs="宋体"/>
          <w:sz w:val="24"/>
        </w:rPr>
        <w:t>三</w:t>
      </w:r>
      <w:r>
        <w:rPr>
          <w:rFonts w:ascii="宋体" w:hAnsi="宋体" w:cs="宋体"/>
          <w:sz w:val="24"/>
        </w:rPr>
        <w:t>次支付。</w:t>
      </w:r>
    </w:p>
    <w:p w14:paraId="6CBE524B">
      <w:pPr>
        <w:snapToGrid w:val="0"/>
        <w:spacing w:line="50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第一次：甲、乙双方合同签订后且全部宿管人员均到岗后</w:t>
      </w:r>
      <w:r>
        <w:rPr>
          <w:rFonts w:ascii="宋体" w:hAnsi="宋体" w:cs="宋体"/>
          <w:sz w:val="24"/>
        </w:rPr>
        <w:t>运行平稳后，202</w:t>
      </w:r>
      <w:r>
        <w:rPr>
          <w:rFonts w:hint="eastAsia" w:ascii="宋体" w:hAnsi="宋体" w:cs="宋体"/>
          <w:sz w:val="24"/>
          <w:lang w:val="en-US" w:eastAsia="zh-CN"/>
        </w:rPr>
        <w:t>5</w:t>
      </w:r>
      <w:r>
        <w:rPr>
          <w:rFonts w:ascii="宋体" w:hAnsi="宋体" w:cs="宋体"/>
          <w:sz w:val="24"/>
        </w:rPr>
        <w:t>年9</w:t>
      </w:r>
      <w:r>
        <w:rPr>
          <w:rFonts w:hint="eastAsia" w:ascii="宋体" w:hAnsi="宋体" w:cs="宋体"/>
          <w:sz w:val="24"/>
        </w:rPr>
        <w:t>月底</w:t>
      </w:r>
      <w:r>
        <w:rPr>
          <w:rFonts w:ascii="宋体" w:hAnsi="宋体" w:cs="宋体"/>
          <w:sz w:val="24"/>
        </w:rPr>
        <w:t>前</w:t>
      </w:r>
      <w:r>
        <w:rPr>
          <w:rFonts w:hint="eastAsia" w:ascii="宋体" w:hAnsi="宋体" w:cs="宋体"/>
          <w:sz w:val="24"/>
        </w:rPr>
        <w:t>支付合同费用的</w:t>
      </w:r>
      <w:r>
        <w:rPr>
          <w:rFonts w:ascii="宋体" w:hAnsi="宋体" w:cs="宋体"/>
          <w:sz w:val="24"/>
        </w:rPr>
        <w:t>50 %，计</w:t>
      </w:r>
      <w:r>
        <w:rPr>
          <w:rFonts w:hint="eastAsia" w:ascii="宋体" w:hAnsi="宋体" w:cs="宋体"/>
          <w:sz w:val="24"/>
          <w:u w:val="single"/>
          <w:lang w:val="en-US" w:eastAsia="zh-CN"/>
        </w:rPr>
        <w:t xml:space="preserve">            </w:t>
      </w:r>
      <w:r>
        <w:rPr>
          <w:rFonts w:hint="eastAsia" w:ascii="宋体" w:hAnsi="宋体" w:cs="宋体"/>
          <w:sz w:val="24"/>
        </w:rPr>
        <w:t>元（人民币大写：</w:t>
      </w:r>
      <w:r>
        <w:rPr>
          <w:rFonts w:hint="eastAsia" w:ascii="宋体" w:hAnsi="宋体" w:cs="宋体"/>
          <w:sz w:val="24"/>
          <w:u w:val="single"/>
          <w:lang w:val="en-US" w:eastAsia="zh-CN"/>
        </w:rPr>
        <w:t xml:space="preserve">                   </w:t>
      </w:r>
      <w:r>
        <w:rPr>
          <w:rFonts w:hint="eastAsia" w:ascii="宋体" w:hAnsi="宋体" w:cs="宋体"/>
          <w:sz w:val="24"/>
        </w:rPr>
        <w:t>）；</w:t>
      </w:r>
    </w:p>
    <w:p w14:paraId="485984BF">
      <w:pPr>
        <w:snapToGrid w:val="0"/>
        <w:spacing w:line="5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第二次：合同执行中，乙方提供所有服务经甲方验收合格，</w:t>
      </w:r>
      <w:r>
        <w:rPr>
          <w:rFonts w:ascii="宋体" w:hAnsi="宋体" w:cs="宋体"/>
          <w:sz w:val="24"/>
        </w:rPr>
        <w:t>202</w:t>
      </w:r>
      <w:r>
        <w:rPr>
          <w:rFonts w:hint="eastAsia" w:ascii="宋体" w:hAnsi="宋体" w:cs="宋体"/>
          <w:sz w:val="24"/>
          <w:lang w:val="en-US" w:eastAsia="zh-CN"/>
        </w:rPr>
        <w:t>6</w:t>
      </w:r>
      <w:r>
        <w:rPr>
          <w:rFonts w:ascii="宋体" w:hAnsi="宋体" w:cs="宋体"/>
          <w:sz w:val="24"/>
        </w:rPr>
        <w:t>年4</w:t>
      </w:r>
      <w:r>
        <w:rPr>
          <w:rFonts w:hint="eastAsia" w:ascii="宋体" w:hAnsi="宋体" w:cs="宋体"/>
          <w:sz w:val="24"/>
        </w:rPr>
        <w:t>月底前支付合同费用的30</w:t>
      </w:r>
      <w:r>
        <w:rPr>
          <w:rFonts w:ascii="宋体" w:hAnsi="宋体" w:cs="宋体"/>
          <w:sz w:val="24"/>
        </w:rPr>
        <w:t>%，计</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lang w:val="en-US" w:eastAsia="zh-CN"/>
        </w:rPr>
        <w:t xml:space="preserve">               </w:t>
      </w:r>
      <w:r>
        <w:rPr>
          <w:rFonts w:hint="eastAsia" w:ascii="宋体" w:hAnsi="宋体" w:cs="宋体"/>
          <w:sz w:val="24"/>
        </w:rPr>
        <w:t>）；</w:t>
      </w:r>
    </w:p>
    <w:p w14:paraId="0FE2443A">
      <w:pPr>
        <w:snapToGrid w:val="0"/>
        <w:spacing w:line="50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第三次：合同到期，乙方提供所有服务经甲方验收合格之日起一周内支付合同费用的2</w:t>
      </w:r>
      <w:r>
        <w:rPr>
          <w:rFonts w:ascii="宋体" w:hAnsi="宋体" w:cs="宋体"/>
          <w:sz w:val="24"/>
        </w:rPr>
        <w:t>0%，计</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lang w:val="en-US" w:eastAsia="zh-CN"/>
        </w:rPr>
        <w:t xml:space="preserve">                   </w:t>
      </w:r>
      <w:r>
        <w:rPr>
          <w:rFonts w:hint="eastAsia" w:ascii="宋体" w:hAnsi="宋体" w:cs="宋体"/>
          <w:sz w:val="24"/>
        </w:rPr>
        <w:t>）。</w:t>
      </w:r>
    </w:p>
    <w:p w14:paraId="4B5BC1C3">
      <w:pPr>
        <w:pStyle w:val="42"/>
        <w:spacing w:line="500" w:lineRule="exact"/>
        <w:ind w:left="0" w:leftChars="0" w:firstLine="480"/>
        <w:rPr>
          <w:rFonts w:ascii="宋体" w:hAnsi="宋体" w:cs="宋体"/>
          <w:szCs w:val="24"/>
        </w:rPr>
      </w:pPr>
      <w:r>
        <w:rPr>
          <w:rFonts w:hint="eastAsia" w:ascii="宋体" w:hAnsi="宋体" w:cs="宋体"/>
          <w:szCs w:val="24"/>
        </w:rPr>
        <w:t>甲方通过转账、支票或汇款方式向乙方支付服务费，甲方付款前，乙方应开具等额、合法的增值税普通发票，乙方未按要求提供发票的，甲方有权拒绝付款且不视为违约。如乙方向甲方提供的发票不符合本合同约定或法律规定，因此给甲方造成的一切损失由乙方承担（包括但不限于损害赔偿、消除影响等），乙方指定账户信息以合同尾部确定的信息为准，乙方应保证账户信息真实、准确，账户信息发生变化的，乙方应至少于甲方付款前</w:t>
      </w:r>
      <w:r>
        <w:rPr>
          <w:rFonts w:ascii="宋体" w:hAnsi="宋体" w:cs="宋体"/>
          <w:szCs w:val="24"/>
        </w:rPr>
        <w:t>7个工作日书面通知甲方，否则由此导致的错付、无法支付等所有法律后果均由乙方自行承担，甲方不承担违约责任。</w:t>
      </w:r>
    </w:p>
    <w:p w14:paraId="6483E505">
      <w:pPr>
        <w:pStyle w:val="42"/>
        <w:spacing w:line="500" w:lineRule="exact"/>
        <w:ind w:left="0" w:leftChars="0" w:firstLine="480"/>
        <w:rPr>
          <w:rFonts w:hint="eastAsia" w:ascii="宋体" w:hAnsi="宋体" w:cs="宋体"/>
          <w:szCs w:val="24"/>
          <w:highlight w:val="yellow"/>
        </w:rPr>
      </w:pPr>
      <w:r>
        <w:rPr>
          <w:rFonts w:hint="eastAsia" w:ascii="宋体" w:hAnsi="宋体" w:cs="宋体"/>
          <w:szCs w:val="24"/>
        </w:rPr>
        <w:t>乙方在履行合同期间，</w:t>
      </w:r>
      <w:r>
        <w:rPr>
          <w:rFonts w:hint="eastAsia" w:ascii="宋体" w:hAnsi="宋体" w:cs="宋体"/>
        </w:rPr>
        <w:t>若</w:t>
      </w:r>
      <w:r>
        <w:rPr>
          <w:rFonts w:hint="eastAsia" w:ascii="宋体" w:hAnsi="宋体" w:cs="宋体"/>
          <w:szCs w:val="24"/>
        </w:rPr>
        <w:t>遇疫情防控，服务费用按照本合同第八条结算。</w:t>
      </w:r>
    </w:p>
    <w:p w14:paraId="6BF55969">
      <w:pPr>
        <w:tabs>
          <w:tab w:val="left" w:pos="425"/>
        </w:tabs>
        <w:spacing w:line="500" w:lineRule="exact"/>
        <w:ind w:firstLine="480" w:firstLineChars="200"/>
        <w:rPr>
          <w:rFonts w:ascii="宋体" w:hAnsi="宋体" w:cs="宋体"/>
          <w:sz w:val="24"/>
        </w:rPr>
      </w:pPr>
      <w:r>
        <w:rPr>
          <w:rFonts w:ascii="宋体" w:hAnsi="宋体" w:cs="宋体"/>
          <w:sz w:val="24"/>
        </w:rPr>
        <w:t>（八）乙方账户信息如下：</w:t>
      </w:r>
    </w:p>
    <w:p w14:paraId="2910A234">
      <w:pPr>
        <w:widowControl/>
        <w:spacing w:line="500" w:lineRule="exact"/>
        <w:ind w:firstLine="480" w:firstLineChars="200"/>
        <w:jc w:val="left"/>
        <w:rPr>
          <w:rFonts w:ascii="宋体" w:hAnsi="宋体" w:cs="宋体"/>
          <w:sz w:val="24"/>
          <w:u w:val="single"/>
        </w:rPr>
      </w:pPr>
      <w:r>
        <w:rPr>
          <w:rFonts w:hint="eastAsia" w:ascii="宋体" w:hAnsi="宋体" w:cs="宋体"/>
          <w:kern w:val="0"/>
          <w:sz w:val="24"/>
        </w:rPr>
        <w:t>开户行：</w:t>
      </w:r>
      <w:r>
        <w:rPr>
          <w:rFonts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14:paraId="020ED673">
      <w:pPr>
        <w:widowControl/>
        <w:spacing w:line="500" w:lineRule="exact"/>
        <w:ind w:firstLine="480" w:firstLineChars="200"/>
        <w:jc w:val="left"/>
        <w:rPr>
          <w:rFonts w:ascii="宋体" w:hAnsi="宋体" w:cs="宋体"/>
          <w:sz w:val="24"/>
        </w:rPr>
      </w:pPr>
      <w:r>
        <w:rPr>
          <w:rFonts w:hint="eastAsia" w:ascii="宋体" w:hAnsi="宋体" w:cs="宋体"/>
          <w:sz w:val="24"/>
        </w:rPr>
        <w:t>账号：</w:t>
      </w:r>
      <w:r>
        <w:rPr>
          <w:rFonts w:ascii="宋体" w:hAnsi="宋体" w:cs="宋体"/>
          <w:bCs/>
          <w:sz w:val="24"/>
          <w:u w:val="single"/>
        </w:rPr>
        <w:t xml:space="preserve"> </w:t>
      </w:r>
      <w:r>
        <w:rPr>
          <w:rFonts w:hint="eastAsia" w:ascii="宋体" w:hAnsi="宋体" w:cs="宋体"/>
          <w:bCs/>
          <w:sz w:val="24"/>
          <w:u w:val="single"/>
          <w:lang w:val="en-US" w:eastAsia="zh-CN"/>
        </w:rPr>
        <w:t xml:space="preserve">                   </w:t>
      </w:r>
      <w:r>
        <w:rPr>
          <w:rFonts w:ascii="宋体" w:hAnsi="宋体" w:cs="宋体"/>
          <w:bCs/>
          <w:sz w:val="24"/>
          <w:u w:val="single"/>
        </w:rPr>
        <w:t xml:space="preserve">                         </w:t>
      </w:r>
    </w:p>
    <w:p w14:paraId="03DDBD78">
      <w:pPr>
        <w:widowControl/>
        <w:spacing w:line="500" w:lineRule="exact"/>
        <w:ind w:firstLine="480" w:firstLineChars="200"/>
        <w:jc w:val="left"/>
        <w:rPr>
          <w:rFonts w:ascii="宋体" w:hAnsi="宋体" w:cs="宋体"/>
          <w:sz w:val="24"/>
          <w:u w:val="single"/>
        </w:rPr>
      </w:pPr>
      <w:r>
        <w:rPr>
          <w:rFonts w:hint="eastAsia" w:ascii="宋体" w:hAnsi="宋体" w:cs="宋体"/>
          <w:sz w:val="24"/>
        </w:rPr>
        <w:t>发票开具时间：</w:t>
      </w:r>
      <w:r>
        <w:rPr>
          <w:rFonts w:ascii="宋体" w:hAnsi="宋体" w:cs="宋体"/>
          <w:sz w:val="24"/>
          <w:u w:val="single"/>
        </w:rPr>
        <w:t xml:space="preserve"> </w:t>
      </w:r>
      <w:r>
        <w:rPr>
          <w:rFonts w:hint="eastAsia" w:ascii="宋体" w:hAnsi="宋体" w:cs="宋体"/>
          <w:sz w:val="24"/>
          <w:u w:val="single"/>
        </w:rPr>
        <w:t>收</w:t>
      </w:r>
      <w:r>
        <w:rPr>
          <w:rFonts w:ascii="宋体" w:hAnsi="宋体" w:cs="宋体"/>
          <w:sz w:val="24"/>
          <w:u w:val="single"/>
        </w:rPr>
        <w:t>到甲方服务</w:t>
      </w:r>
      <w:r>
        <w:rPr>
          <w:rFonts w:hint="eastAsia" w:ascii="宋体" w:hAnsi="宋体" w:cs="宋体"/>
          <w:sz w:val="24"/>
          <w:u w:val="single"/>
        </w:rPr>
        <w:t>费3日</w:t>
      </w:r>
      <w:r>
        <w:rPr>
          <w:rFonts w:ascii="宋体" w:hAnsi="宋体" w:cs="宋体"/>
          <w:sz w:val="24"/>
          <w:u w:val="single"/>
        </w:rPr>
        <w:t>内</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14:paraId="5B61A444">
      <w:pPr>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（九）</w:t>
      </w:r>
      <w:r>
        <w:rPr>
          <w:rFonts w:hint="eastAsia" w:ascii="宋体" w:hAnsi="宋体" w:cs="宋体"/>
          <w:bCs/>
          <w:sz w:val="24"/>
          <w:lang w:val="zh-CN"/>
        </w:rPr>
        <w:t>岗位人员数量</w:t>
      </w:r>
      <w:r>
        <w:rPr>
          <w:rFonts w:hint="eastAsia" w:ascii="宋体" w:hAnsi="宋体" w:cs="宋体"/>
          <w:bCs/>
          <w:sz w:val="24"/>
        </w:rPr>
        <w:t xml:space="preserve"> </w:t>
      </w:r>
    </w:p>
    <w:p w14:paraId="597C90DC">
      <w:pPr>
        <w:spacing w:line="500" w:lineRule="exact"/>
        <w:ind w:firstLine="480" w:firstLineChars="200"/>
        <w:jc w:val="left"/>
        <w:rPr>
          <w:rFonts w:ascii="宋体" w:hAnsi="宋体" w:cs="宋体"/>
          <w:sz w:val="24"/>
        </w:rPr>
      </w:pPr>
      <w:r>
        <w:rPr>
          <w:rFonts w:hint="eastAsia" w:ascii="宋体" w:hAnsi="宋体" w:cs="宋体"/>
          <w:sz w:val="24"/>
        </w:rPr>
        <w:t>分时段安排人员</w:t>
      </w:r>
      <w:r>
        <w:rPr>
          <w:rFonts w:hint="eastAsia" w:ascii="宋体" w:hAnsi="宋体" w:cs="宋体"/>
          <w:bCs/>
          <w:sz w:val="24"/>
        </w:rPr>
        <w:t>，南</w:t>
      </w:r>
      <w:r>
        <w:rPr>
          <w:rFonts w:ascii="宋体" w:hAnsi="宋体" w:cs="宋体"/>
          <w:bCs/>
          <w:sz w:val="24"/>
        </w:rPr>
        <w:t>北校区人员可调换。</w:t>
      </w:r>
      <w:r>
        <w:rPr>
          <w:rFonts w:hint="eastAsia" w:ascii="宋体" w:hAnsi="宋体" w:cs="宋体"/>
          <w:bCs/>
          <w:sz w:val="24"/>
        </w:rPr>
        <w:t>其中：教学期间不少于39人（南校宿管不少于</w:t>
      </w:r>
      <w:r>
        <w:rPr>
          <w:rFonts w:hint="eastAsia" w:ascii="宋体" w:hAnsi="宋体" w:cs="宋体"/>
          <w:bCs/>
          <w:sz w:val="24"/>
          <w:lang w:val="en-US" w:eastAsia="zh-CN"/>
        </w:rPr>
        <w:t>7</w:t>
      </w:r>
      <w:r>
        <w:rPr>
          <w:rFonts w:hint="eastAsia" w:ascii="宋体" w:hAnsi="宋体" w:cs="宋体"/>
          <w:bCs/>
          <w:sz w:val="24"/>
        </w:rPr>
        <w:t>人，保洁2人；北校宿管不少于2</w:t>
      </w:r>
      <w:r>
        <w:rPr>
          <w:rFonts w:hint="eastAsia" w:ascii="宋体" w:hAnsi="宋体" w:cs="宋体"/>
          <w:bCs/>
          <w:sz w:val="24"/>
          <w:lang w:val="en-US" w:eastAsia="zh-CN"/>
        </w:rPr>
        <w:t>2</w:t>
      </w:r>
      <w:r>
        <w:rPr>
          <w:rFonts w:hint="eastAsia" w:ascii="宋体" w:hAnsi="宋体" w:cs="宋体"/>
          <w:bCs/>
          <w:sz w:val="24"/>
        </w:rPr>
        <w:t>人，保洁8人）；假期不少于1</w:t>
      </w:r>
      <w:r>
        <w:rPr>
          <w:rFonts w:hint="eastAsia" w:ascii="宋体" w:hAnsi="宋体" w:cs="宋体"/>
          <w:bCs/>
          <w:sz w:val="24"/>
          <w:lang w:val="en-US" w:eastAsia="zh-CN"/>
        </w:rPr>
        <w:t>2</w:t>
      </w:r>
      <w:r>
        <w:rPr>
          <w:rFonts w:hint="eastAsia" w:ascii="宋体" w:hAnsi="宋体" w:cs="宋体"/>
          <w:bCs/>
          <w:sz w:val="24"/>
        </w:rPr>
        <w:t>人（南校不少于</w:t>
      </w:r>
      <w:r>
        <w:rPr>
          <w:rFonts w:hint="eastAsia" w:ascii="宋体" w:hAnsi="宋体" w:cs="宋体"/>
          <w:bCs/>
          <w:sz w:val="24"/>
          <w:lang w:val="en-US" w:eastAsia="zh-CN"/>
        </w:rPr>
        <w:t>3</w:t>
      </w:r>
      <w:r>
        <w:rPr>
          <w:rFonts w:hint="eastAsia" w:ascii="宋体" w:hAnsi="宋体" w:cs="宋体"/>
          <w:bCs/>
          <w:sz w:val="24"/>
        </w:rPr>
        <w:t>人，北校不少于9人）</w:t>
      </w:r>
      <w:r>
        <w:rPr>
          <w:rFonts w:ascii="宋体" w:hAnsi="宋体" w:cs="宋体"/>
          <w:sz w:val="24"/>
        </w:rPr>
        <w:t>详见附件</w:t>
      </w:r>
      <w:r>
        <w:rPr>
          <w:rFonts w:ascii="宋体" w:hAnsi="宋体" w:cs="宋体"/>
          <w:bCs/>
          <w:sz w:val="24"/>
        </w:rPr>
        <w:t>1。</w:t>
      </w:r>
    </w:p>
    <w:p w14:paraId="77174ECB">
      <w:pPr>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以上人员到岗率</w:t>
      </w:r>
      <w:r>
        <w:rPr>
          <w:rFonts w:ascii="宋体" w:hAnsi="宋体" w:cs="宋体"/>
          <w:bCs/>
          <w:sz w:val="24"/>
        </w:rPr>
        <w:t>100%，如出现缺岗缺人，应于7个自然日内补齐，逾期将依据</w:t>
      </w:r>
      <w:r>
        <w:rPr>
          <w:rFonts w:hint="eastAsia" w:ascii="宋体" w:hAnsi="宋体" w:cs="宋体"/>
          <w:bCs/>
          <w:sz w:val="24"/>
        </w:rPr>
        <w:t>投</w:t>
      </w:r>
      <w:r>
        <w:rPr>
          <w:rFonts w:ascii="宋体" w:hAnsi="宋体" w:cs="宋体"/>
          <w:bCs/>
          <w:sz w:val="24"/>
        </w:rPr>
        <w:t>标文件</w:t>
      </w:r>
      <w:r>
        <w:rPr>
          <w:rFonts w:hint="eastAsia" w:ascii="宋体" w:hAnsi="宋体" w:cs="宋体"/>
          <w:bCs/>
          <w:sz w:val="24"/>
        </w:rPr>
        <w:t>相</w:t>
      </w:r>
      <w:r>
        <w:rPr>
          <w:rFonts w:ascii="宋体" w:hAnsi="宋体" w:cs="宋体"/>
          <w:bCs/>
          <w:sz w:val="24"/>
        </w:rPr>
        <w:t>关费用标准扣减服务费用。</w:t>
      </w:r>
    </w:p>
    <w:p w14:paraId="770F0056">
      <w:pPr>
        <w:snapToGrid w:val="0"/>
        <w:spacing w:line="500" w:lineRule="exact"/>
        <w:ind w:firstLine="480" w:firstLineChars="200"/>
        <w:rPr>
          <w:rFonts w:ascii="宋体" w:hAnsi="宋体" w:cs="宋体"/>
          <w:sz w:val="24"/>
        </w:rPr>
      </w:pPr>
      <w:r>
        <w:rPr>
          <w:rFonts w:ascii="宋体" w:hAnsi="宋体" w:cs="宋体"/>
          <w:sz w:val="24"/>
        </w:rPr>
        <w:t>（十）合同形式：本合同为固定总价，除本合同约定款项外，甲方无需向乙方支付任何其他费用。</w:t>
      </w:r>
      <w:r>
        <w:rPr>
          <w:rFonts w:hint="eastAsia" w:ascii="宋体" w:hAnsi="宋体" w:cs="宋体"/>
          <w:sz w:val="24"/>
        </w:rPr>
        <w:t>若有疫情防控，按本合同第七条费用核算执行。</w:t>
      </w:r>
    </w:p>
    <w:p w14:paraId="7475BB4F">
      <w:pPr>
        <w:spacing w:line="500" w:lineRule="exact"/>
        <w:ind w:firstLine="482" w:firstLineChars="200"/>
        <w:rPr>
          <w:rFonts w:ascii="宋体" w:hAnsi="宋体" w:cs="宋体"/>
          <w:b/>
          <w:bCs/>
          <w:sz w:val="24"/>
        </w:rPr>
      </w:pPr>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bCs/>
          <w:sz w:val="24"/>
        </w:rPr>
        <w:t>合同构成</w:t>
      </w:r>
    </w:p>
    <w:p w14:paraId="743CCE69">
      <w:pPr>
        <w:spacing w:line="500" w:lineRule="exact"/>
        <w:ind w:firstLine="480" w:firstLineChars="200"/>
        <w:rPr>
          <w:rFonts w:hint="eastAsia" w:ascii="宋体" w:hAnsi="宋体" w:cs="宋体"/>
          <w:bCs/>
          <w:sz w:val="24"/>
        </w:rPr>
      </w:pPr>
      <w:r>
        <w:rPr>
          <w:rFonts w:ascii="宋体" w:hAnsi="宋体" w:cs="宋体"/>
          <w:bCs/>
          <w:sz w:val="24"/>
        </w:rPr>
        <w:t>（一）本合同条款。</w:t>
      </w:r>
    </w:p>
    <w:p w14:paraId="728B4449">
      <w:pPr>
        <w:spacing w:line="500" w:lineRule="exact"/>
        <w:ind w:firstLine="480" w:firstLineChars="200"/>
        <w:rPr>
          <w:rFonts w:ascii="宋体" w:hAnsi="宋体" w:cs="宋体"/>
          <w:bCs/>
          <w:sz w:val="24"/>
        </w:rPr>
      </w:pPr>
      <w:r>
        <w:rPr>
          <w:rFonts w:ascii="宋体" w:hAnsi="宋体" w:cs="宋体"/>
          <w:bCs/>
          <w:sz w:val="24"/>
        </w:rPr>
        <w:t>（二）中标通知书</w:t>
      </w:r>
    </w:p>
    <w:p w14:paraId="04ABEAF8">
      <w:pPr>
        <w:spacing w:line="500" w:lineRule="exact"/>
        <w:ind w:firstLine="480" w:firstLineChars="200"/>
        <w:rPr>
          <w:rFonts w:ascii="宋体" w:hAnsi="宋体" w:cs="宋体"/>
          <w:sz w:val="24"/>
        </w:rPr>
      </w:pPr>
      <w:r>
        <w:rPr>
          <w:rFonts w:ascii="宋体" w:hAnsi="宋体" w:cs="宋体"/>
          <w:bCs/>
          <w:sz w:val="24"/>
        </w:rPr>
        <w:t>（</w:t>
      </w:r>
      <w:r>
        <w:rPr>
          <w:rFonts w:hint="eastAsia" w:ascii="宋体" w:hAnsi="宋体" w:cs="宋体"/>
          <w:bCs/>
          <w:sz w:val="24"/>
        </w:rPr>
        <w:t>三</w:t>
      </w:r>
      <w:r>
        <w:rPr>
          <w:rFonts w:ascii="宋体" w:hAnsi="宋体" w:cs="宋体"/>
          <w:bCs/>
          <w:sz w:val="24"/>
        </w:rPr>
        <w:t>）形成协议的其它有关文件，包括</w:t>
      </w:r>
      <w:r>
        <w:rPr>
          <w:rFonts w:hint="eastAsia" w:ascii="宋体" w:hAnsi="宋体" w:cs="宋体"/>
          <w:sz w:val="24"/>
        </w:rPr>
        <w:t>安全生产协议、廉政责任书等。</w:t>
      </w:r>
    </w:p>
    <w:p w14:paraId="7E6F3C1E">
      <w:pPr>
        <w:spacing w:line="500" w:lineRule="exact"/>
        <w:ind w:firstLine="361" w:firstLineChars="150"/>
        <w:jc w:val="left"/>
        <w:rPr>
          <w:rFonts w:ascii="宋体" w:hAnsi="宋体" w:cs="宋体"/>
          <w:b/>
          <w:bCs/>
          <w:sz w:val="24"/>
        </w:rPr>
      </w:pPr>
      <w:r>
        <w:rPr>
          <w:rFonts w:hint="eastAsia" w:ascii="宋体" w:hAnsi="宋体" w:cs="宋体"/>
          <w:b/>
          <w:bCs/>
          <w:sz w:val="24"/>
        </w:rPr>
        <w:t>第</w:t>
      </w:r>
      <w:r>
        <w:rPr>
          <w:rFonts w:ascii="宋体" w:hAnsi="宋体" w:cs="宋体"/>
          <w:b/>
          <w:bCs/>
          <w:sz w:val="24"/>
        </w:rPr>
        <w:t xml:space="preserve">三条 </w:t>
      </w:r>
      <w:r>
        <w:rPr>
          <w:rFonts w:hint="eastAsia" w:ascii="宋体" w:hAnsi="宋体" w:cs="宋体"/>
          <w:b/>
          <w:bCs/>
          <w:sz w:val="24"/>
        </w:rPr>
        <w:t>工</w:t>
      </w:r>
      <w:r>
        <w:rPr>
          <w:rFonts w:ascii="宋体" w:hAnsi="宋体" w:cs="宋体"/>
          <w:b/>
          <w:bCs/>
          <w:sz w:val="24"/>
        </w:rPr>
        <w:t>作</w:t>
      </w:r>
      <w:r>
        <w:rPr>
          <w:rFonts w:hint="eastAsia" w:ascii="宋体" w:hAnsi="宋体" w:cs="宋体"/>
          <w:b/>
          <w:bCs/>
          <w:sz w:val="24"/>
        </w:rPr>
        <w:t>内容</w:t>
      </w:r>
    </w:p>
    <w:p w14:paraId="256D2962">
      <w:pPr>
        <w:pStyle w:val="259"/>
        <w:autoSpaceDE w:val="0"/>
        <w:autoSpaceDN w:val="0"/>
        <w:adjustRightInd w:val="0"/>
        <w:snapToGrid w:val="0"/>
        <w:spacing w:line="500" w:lineRule="exact"/>
        <w:ind w:firstLine="240" w:firstLineChars="100"/>
        <w:jc w:val="left"/>
        <w:rPr>
          <w:rFonts w:ascii="宋体" w:hAnsi="宋体" w:cs="宋体"/>
          <w:bCs/>
          <w:sz w:val="24"/>
          <w:szCs w:val="24"/>
        </w:rPr>
      </w:pPr>
      <w:r>
        <w:rPr>
          <w:rFonts w:hint="eastAsia" w:ascii="宋体" w:hAnsi="宋体" w:cs="宋体"/>
          <w:bCs/>
          <w:sz w:val="24"/>
          <w:szCs w:val="24"/>
        </w:rPr>
        <w:t>（一）住宿服务：主要是指按照二级学院集中、专业集中、班级集中的原则做好入住服务、住宿过程服务、退宿服务。入住服务包括依据学校相关部门提供的新老生名单根据宿舍实际住宿资源制定住宿计划及工作预案，住宿新生入住排宿、打扫宿舍及公区卫生，检查设备设施、报修、配合维修，张贴宿舍导引安排表、办理入住手续发钥匙、安排入住；住宿过程服务包括日常生活、内务卫生、基础文明教育及文化建设活动、学生容貌、大型活动组织、素质拓展、升旗仪式、安全管理、住宿调整（含南北校学生因大赛等事项安排的临时住宿）等管理；退宿服务包括办理退宿、配合财务处办理退费手续；学期末按时上报开学前学生公寓楼住宿资源情况。</w:t>
      </w:r>
    </w:p>
    <w:p w14:paraId="431F3C0B">
      <w:pPr>
        <w:pStyle w:val="259"/>
        <w:autoSpaceDE w:val="0"/>
        <w:autoSpaceDN w:val="0"/>
        <w:adjustRightInd w:val="0"/>
        <w:snapToGrid w:val="0"/>
        <w:spacing w:line="500" w:lineRule="exact"/>
        <w:ind w:firstLine="240" w:firstLineChars="100"/>
        <w:jc w:val="left"/>
        <w:rPr>
          <w:rFonts w:ascii="宋体" w:hAnsi="宋体" w:cs="宋体"/>
          <w:bCs/>
          <w:sz w:val="24"/>
          <w:szCs w:val="24"/>
        </w:rPr>
      </w:pPr>
      <w:r>
        <w:rPr>
          <w:rFonts w:hint="eastAsia" w:ascii="宋体" w:hAnsi="宋体" w:cs="宋体"/>
          <w:bCs/>
          <w:sz w:val="24"/>
          <w:szCs w:val="24"/>
        </w:rPr>
        <w:t>（二</w:t>
      </w:r>
      <w:r>
        <w:rPr>
          <w:rFonts w:ascii="宋体" w:hAnsi="宋体" w:cs="宋体"/>
          <w:bCs/>
          <w:sz w:val="24"/>
          <w:szCs w:val="24"/>
        </w:rPr>
        <w:t>）</w:t>
      </w:r>
      <w:r>
        <w:rPr>
          <w:rFonts w:hint="eastAsia" w:ascii="宋体" w:hAnsi="宋体" w:cs="宋体"/>
          <w:bCs/>
          <w:sz w:val="24"/>
          <w:szCs w:val="24"/>
        </w:rPr>
        <w:t>楼</w:t>
      </w:r>
      <w:r>
        <w:rPr>
          <w:rFonts w:ascii="宋体" w:hAnsi="宋体" w:cs="宋体"/>
          <w:bCs/>
          <w:sz w:val="24"/>
          <w:szCs w:val="24"/>
        </w:rPr>
        <w:t>内</w:t>
      </w:r>
      <w:r>
        <w:rPr>
          <w:rFonts w:hint="eastAsia" w:ascii="宋体" w:hAnsi="宋体" w:cs="宋体"/>
          <w:bCs/>
          <w:sz w:val="24"/>
          <w:szCs w:val="24"/>
        </w:rPr>
        <w:t>公</w:t>
      </w:r>
      <w:r>
        <w:rPr>
          <w:rFonts w:ascii="宋体" w:hAnsi="宋体" w:cs="宋体"/>
          <w:bCs/>
          <w:sz w:val="24"/>
          <w:szCs w:val="24"/>
        </w:rPr>
        <w:t>共区域保洁</w:t>
      </w:r>
      <w:r>
        <w:rPr>
          <w:rFonts w:hint="eastAsia" w:ascii="宋体" w:hAnsi="宋体" w:cs="宋体"/>
          <w:bCs/>
          <w:sz w:val="24"/>
          <w:szCs w:val="24"/>
        </w:rPr>
        <w:t>服</w:t>
      </w:r>
      <w:r>
        <w:rPr>
          <w:rFonts w:ascii="宋体" w:hAnsi="宋体" w:cs="宋体"/>
          <w:bCs/>
          <w:sz w:val="24"/>
          <w:szCs w:val="24"/>
        </w:rPr>
        <w:t>务：</w:t>
      </w:r>
      <w:r>
        <w:rPr>
          <w:rFonts w:hint="eastAsia" w:ascii="宋体" w:hAnsi="宋体" w:cs="宋体"/>
          <w:bCs/>
          <w:sz w:val="24"/>
          <w:szCs w:val="24"/>
        </w:rPr>
        <w:t>主</w:t>
      </w:r>
      <w:r>
        <w:rPr>
          <w:rFonts w:ascii="宋体" w:hAnsi="宋体" w:cs="宋体"/>
          <w:bCs/>
          <w:sz w:val="24"/>
          <w:szCs w:val="24"/>
        </w:rPr>
        <w:t>要是指</w:t>
      </w:r>
      <w:r>
        <w:rPr>
          <w:rFonts w:hint="eastAsia" w:ascii="宋体" w:hAnsi="宋体" w:cs="宋体"/>
          <w:bCs/>
          <w:sz w:val="24"/>
          <w:szCs w:val="24"/>
        </w:rPr>
        <w:t>公</w:t>
      </w:r>
      <w:r>
        <w:rPr>
          <w:rFonts w:ascii="宋体" w:hAnsi="宋体" w:cs="宋体"/>
          <w:bCs/>
          <w:sz w:val="24"/>
          <w:szCs w:val="24"/>
        </w:rPr>
        <w:t>寓内</w:t>
      </w:r>
      <w:r>
        <w:rPr>
          <w:rFonts w:hint="eastAsia" w:ascii="宋体" w:hAnsi="宋体" w:cs="宋体"/>
          <w:bCs/>
          <w:sz w:val="24"/>
          <w:szCs w:val="24"/>
        </w:rPr>
        <w:t>的</w:t>
      </w:r>
      <w:r>
        <w:rPr>
          <w:rFonts w:ascii="宋体" w:hAnsi="宋体" w:cs="宋体"/>
          <w:bCs/>
          <w:sz w:val="24"/>
          <w:szCs w:val="24"/>
        </w:rPr>
        <w:t>门厅、楼道</w:t>
      </w:r>
      <w:r>
        <w:rPr>
          <w:rFonts w:hint="eastAsia" w:ascii="宋体" w:hAnsi="宋体" w:cs="宋体"/>
          <w:bCs/>
          <w:sz w:val="24"/>
          <w:szCs w:val="24"/>
        </w:rPr>
        <w:t>、走</w:t>
      </w:r>
      <w:r>
        <w:rPr>
          <w:rFonts w:ascii="宋体" w:hAnsi="宋体" w:cs="宋体"/>
          <w:bCs/>
          <w:sz w:val="24"/>
          <w:szCs w:val="24"/>
        </w:rPr>
        <w:t>廊、洗漱</w:t>
      </w:r>
      <w:r>
        <w:rPr>
          <w:rFonts w:hint="eastAsia" w:ascii="宋体" w:hAnsi="宋体" w:cs="宋体"/>
          <w:bCs/>
          <w:sz w:val="24"/>
          <w:szCs w:val="24"/>
        </w:rPr>
        <w:t>间</w:t>
      </w:r>
      <w:r>
        <w:rPr>
          <w:rFonts w:ascii="宋体" w:hAnsi="宋体" w:cs="宋体"/>
          <w:bCs/>
          <w:sz w:val="24"/>
          <w:szCs w:val="24"/>
        </w:rPr>
        <w:t>、</w:t>
      </w:r>
      <w:r>
        <w:rPr>
          <w:rFonts w:hint="eastAsia" w:ascii="宋体" w:hAnsi="宋体" w:cs="宋体"/>
          <w:bCs/>
          <w:sz w:val="24"/>
          <w:szCs w:val="24"/>
        </w:rPr>
        <w:t>淋</w:t>
      </w:r>
      <w:r>
        <w:rPr>
          <w:rFonts w:ascii="宋体" w:hAnsi="宋体" w:cs="宋体"/>
          <w:bCs/>
          <w:sz w:val="24"/>
          <w:szCs w:val="24"/>
        </w:rPr>
        <w:t>浴间、卫生间</w:t>
      </w:r>
      <w:r>
        <w:rPr>
          <w:rFonts w:hint="eastAsia" w:ascii="宋体" w:hAnsi="宋体" w:cs="宋体"/>
          <w:bCs/>
          <w:sz w:val="24"/>
          <w:szCs w:val="24"/>
        </w:rPr>
        <w:t>、爱</w:t>
      </w:r>
      <w:r>
        <w:rPr>
          <w:rFonts w:ascii="宋体" w:hAnsi="宋体" w:cs="宋体"/>
          <w:bCs/>
          <w:sz w:val="24"/>
          <w:szCs w:val="24"/>
        </w:rPr>
        <w:t>心室、</w:t>
      </w:r>
      <w:r>
        <w:rPr>
          <w:rFonts w:hint="eastAsia" w:ascii="宋体" w:hAnsi="宋体" w:cs="宋体"/>
          <w:bCs/>
          <w:sz w:val="24"/>
          <w:szCs w:val="24"/>
        </w:rPr>
        <w:t>辅导</w:t>
      </w:r>
      <w:r>
        <w:rPr>
          <w:rFonts w:ascii="宋体" w:hAnsi="宋体" w:cs="宋体"/>
          <w:bCs/>
          <w:sz w:val="24"/>
          <w:szCs w:val="24"/>
        </w:rPr>
        <w:t>员值班室等</w:t>
      </w:r>
      <w:r>
        <w:rPr>
          <w:rFonts w:hint="eastAsia" w:ascii="宋体" w:hAnsi="宋体" w:cs="宋体"/>
          <w:bCs/>
          <w:sz w:val="24"/>
          <w:szCs w:val="24"/>
        </w:rPr>
        <w:t>门</w:t>
      </w:r>
      <w:r>
        <w:rPr>
          <w:rFonts w:ascii="宋体" w:hAnsi="宋体" w:cs="宋体"/>
          <w:bCs/>
          <w:sz w:val="24"/>
          <w:szCs w:val="24"/>
        </w:rPr>
        <w:t>窗、地面、</w:t>
      </w:r>
      <w:r>
        <w:rPr>
          <w:rFonts w:hint="eastAsia" w:ascii="宋体" w:hAnsi="宋体" w:cs="宋体"/>
          <w:bCs/>
          <w:sz w:val="24"/>
          <w:szCs w:val="24"/>
        </w:rPr>
        <w:t>墙</w:t>
      </w:r>
      <w:r>
        <w:rPr>
          <w:rFonts w:ascii="宋体" w:hAnsi="宋体" w:cs="宋体"/>
          <w:bCs/>
          <w:sz w:val="24"/>
          <w:szCs w:val="24"/>
        </w:rPr>
        <w:t>面、顶面保洁</w:t>
      </w:r>
      <w:r>
        <w:rPr>
          <w:rFonts w:hint="eastAsia" w:ascii="宋体" w:hAnsi="宋体" w:cs="宋体"/>
          <w:bCs/>
          <w:sz w:val="24"/>
          <w:szCs w:val="24"/>
        </w:rPr>
        <w:t>服</w:t>
      </w:r>
      <w:r>
        <w:rPr>
          <w:rFonts w:ascii="宋体" w:hAnsi="宋体" w:cs="宋体"/>
          <w:bCs/>
          <w:sz w:val="24"/>
          <w:szCs w:val="24"/>
        </w:rPr>
        <w:t>务工作</w:t>
      </w:r>
      <w:r>
        <w:rPr>
          <w:rFonts w:hint="eastAsia" w:ascii="宋体" w:hAnsi="宋体" w:cs="宋体"/>
          <w:bCs/>
          <w:sz w:val="24"/>
          <w:szCs w:val="24"/>
        </w:rPr>
        <w:t>，</w:t>
      </w:r>
      <w:r>
        <w:rPr>
          <w:rFonts w:ascii="宋体" w:hAnsi="宋体" w:cs="宋体"/>
          <w:bCs/>
          <w:sz w:val="24"/>
          <w:szCs w:val="24"/>
        </w:rPr>
        <w:t>做好</w:t>
      </w:r>
      <w:r>
        <w:rPr>
          <w:rFonts w:hint="eastAsia" w:ascii="宋体" w:hAnsi="宋体" w:cs="宋体"/>
          <w:bCs/>
          <w:sz w:val="24"/>
          <w:szCs w:val="24"/>
        </w:rPr>
        <w:t>垃</w:t>
      </w:r>
      <w:r>
        <w:rPr>
          <w:rFonts w:ascii="宋体" w:hAnsi="宋体" w:cs="宋体"/>
          <w:bCs/>
          <w:sz w:val="24"/>
          <w:szCs w:val="24"/>
        </w:rPr>
        <w:t>圾分类并</w:t>
      </w:r>
      <w:r>
        <w:rPr>
          <w:rFonts w:hint="eastAsia" w:ascii="宋体" w:hAnsi="宋体" w:cs="宋体"/>
          <w:bCs/>
          <w:sz w:val="24"/>
          <w:szCs w:val="24"/>
        </w:rPr>
        <w:t>及</w:t>
      </w:r>
      <w:r>
        <w:rPr>
          <w:rFonts w:ascii="宋体" w:hAnsi="宋体" w:cs="宋体"/>
          <w:bCs/>
          <w:sz w:val="24"/>
          <w:szCs w:val="24"/>
        </w:rPr>
        <w:t>时清</w:t>
      </w:r>
      <w:r>
        <w:rPr>
          <w:rFonts w:hint="eastAsia" w:ascii="宋体" w:hAnsi="宋体" w:cs="宋体"/>
          <w:bCs/>
          <w:sz w:val="24"/>
          <w:szCs w:val="24"/>
        </w:rPr>
        <w:t>运</w:t>
      </w:r>
      <w:r>
        <w:rPr>
          <w:rFonts w:ascii="宋体" w:hAnsi="宋体" w:cs="宋体"/>
          <w:bCs/>
          <w:sz w:val="24"/>
          <w:szCs w:val="24"/>
        </w:rPr>
        <w:t>到楼外指定地点。</w:t>
      </w:r>
    </w:p>
    <w:p w14:paraId="4BBF49F4">
      <w:pPr>
        <w:snapToGrid w:val="0"/>
        <w:spacing w:line="440" w:lineRule="exact"/>
        <w:ind w:firstLine="240" w:firstLineChars="100"/>
        <w:jc w:val="left"/>
        <w:rPr>
          <w:rFonts w:ascii="宋体" w:hAnsi="宋体" w:cs="宋体"/>
          <w:bCs/>
          <w:sz w:val="24"/>
          <w:szCs w:val="24"/>
        </w:rPr>
      </w:pPr>
      <w:r>
        <w:rPr>
          <w:rFonts w:hint="eastAsia" w:ascii="宋体" w:hAnsi="宋体" w:cs="宋体"/>
          <w:bCs/>
          <w:sz w:val="24"/>
        </w:rPr>
        <w:t>（三）</w:t>
      </w:r>
      <w:r>
        <w:rPr>
          <w:rFonts w:hint="eastAsia" w:ascii="宋体" w:hAnsi="宋体" w:cs="宋体"/>
          <w:bCs/>
          <w:color w:val="auto"/>
          <w:sz w:val="24"/>
          <w:highlight w:val="none"/>
          <w:lang w:val="en-US" w:eastAsia="zh-CN"/>
        </w:rPr>
        <w:t>楼内专项保洁服务：主要是指寒暑期对公寓楼内所有宿舍保洁一次，暑期对宿舍窗帘清洗一次（含拆装）；对公寓楼内所有宿舍窗户玻璃（含内外）、窗框、滑轨清洗一次，此项服务含公共区域。</w:t>
      </w:r>
    </w:p>
    <w:p w14:paraId="046BA23E">
      <w:pPr>
        <w:snapToGrid w:val="0"/>
        <w:spacing w:line="500" w:lineRule="exact"/>
        <w:ind w:firstLine="240" w:firstLineChars="100"/>
        <w:jc w:val="left"/>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四</w:t>
      </w:r>
      <w:r>
        <w:rPr>
          <w:rFonts w:hint="eastAsia" w:ascii="宋体" w:hAnsi="宋体" w:cs="宋体"/>
          <w:bCs/>
          <w:sz w:val="24"/>
        </w:rPr>
        <w:t>）综合维修巡视上报服务：主要是指公寓楼内所有设备设施的是否正常运行情况的上报，便于及时维修，设备包括：安防系统、消防系统、上下水系统、供暖系统、水控电控及节水节电系统、门禁系统、室内家具、玻璃门窗、吊顶墙壁地面、楼梯扶手、卫生洁具、电器（热水器、微波炉、空调、照明灯具、插座开关等）；楼体结构如墙面、保温墙、承重墙、阳台等基础部位的检查上报；第三方公司放置的洗衣机、自动售货机等设施设备的管理。</w:t>
      </w:r>
    </w:p>
    <w:p w14:paraId="6C747F01">
      <w:pPr>
        <w:snapToGrid w:val="0"/>
        <w:spacing w:line="500" w:lineRule="exact"/>
        <w:ind w:firstLine="240" w:firstLineChars="100"/>
        <w:jc w:val="left"/>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五</w:t>
      </w:r>
      <w:r>
        <w:rPr>
          <w:rFonts w:hint="eastAsia" w:ascii="宋体" w:hAnsi="宋体" w:cs="宋体"/>
          <w:bCs/>
          <w:sz w:val="24"/>
        </w:rPr>
        <w:t>）安全保障及维稳服务：主要是指防火防盗、宿舍治安、转租留宿、控烟控酒、安全检查、卫生防疫、极端天气的防范。防火防盗包括防范火灾事故发生，每月定期对消防设施、设备进行安全检查并有安全检查记录，按要求对管理、服务人员及学生进行安全防范意识教育，制定突发事件的应急预案,并定期进行落实演练；宿舍治安包括加强门口值班管理，制定执行来客登记制度及巡查制度，杜绝闲杂人等进入公寓，防止偷盗事件发生；加强巡视检查多与学生交流沟通，及时发现学生群体的矛盾隐患，杜绝公寓内部发生打架斗殴等治安事件；加强学生用电检查，主要包括乱拉电线、无人充电、使用大功率电器等；加强易燃易爆、剧毒等危险品的检查，主要包括酒精炉、硫酸、火药、仿真枪、管制刀具等；加强宿舍内吸烟、喝酒的检查，一经发现立即没收相关物品，并以文字形式报相关管理部门；加强学生住宿检查，严查夜不归宿及晚归的学生，并及时上报；加强转租留宿管理，主要包括禁止空房间及床位的转租、留宿非学院学生人员住宿及串宿室住宿等；加强宿舍内传销、黄赌毒、邪教等违法行为的管理；加强宿舍内学生商业行为的监督管理；加强宿舍内不能饲养宠物的管理；加强定期组织安全检查的管理，主要包括并配合学校相关部门及其它上级部门的安全检查工作，配合辅导员（</w:t>
      </w:r>
      <w:r>
        <w:rPr>
          <w:rFonts w:ascii="宋体" w:hAnsi="宋体" w:cs="宋体"/>
          <w:bCs/>
          <w:sz w:val="24"/>
        </w:rPr>
        <w:t>学生事务管理员</w:t>
      </w:r>
      <w:r>
        <w:rPr>
          <w:rFonts w:hint="eastAsia" w:ascii="宋体" w:hAnsi="宋体" w:cs="宋体"/>
          <w:bCs/>
          <w:sz w:val="24"/>
        </w:rPr>
        <w:t>）进行学生寝室内务、安全检查及评比工作。</w:t>
      </w:r>
    </w:p>
    <w:p w14:paraId="0532E511">
      <w:pPr>
        <w:spacing w:line="500" w:lineRule="exact"/>
        <w:ind w:firstLine="240" w:firstLineChars="100"/>
        <w:jc w:val="left"/>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六</w:t>
      </w:r>
      <w:r>
        <w:rPr>
          <w:rFonts w:hint="eastAsia" w:ascii="宋体" w:hAnsi="宋体" w:cs="宋体"/>
          <w:bCs/>
          <w:sz w:val="24"/>
        </w:rPr>
        <w:t>）共同管理：配合学校建立学生公寓管理委员会，明确各职能部门对学生公寓齐抓共管的职责；明确各相关职能部门联络人；每学年至少召开两次会议，研究学生公寓建设和管理的重大事项及问题;积极主动配合学工部等相关部门建立“学生自律委员会”，组织学生参与学生公寓的管理与服务工作,信息反馈及处理机制，及时收集、听取和反馈学生的意见和建议,监督学生各项规章制度的执行，积极培养学生自我管理、自我教育、自我服务的能力；特殊学生日常管理服务工作。与保卫、后勤、学生</w:t>
      </w:r>
      <w:r>
        <w:rPr>
          <w:rFonts w:ascii="宋体" w:hAnsi="宋体" w:cs="宋体"/>
          <w:bCs/>
          <w:sz w:val="24"/>
        </w:rPr>
        <w:t>公寓</w:t>
      </w:r>
      <w:r>
        <w:rPr>
          <w:rFonts w:hint="eastAsia" w:ascii="宋体" w:hAnsi="宋体" w:cs="宋体"/>
          <w:bCs/>
          <w:sz w:val="24"/>
        </w:rPr>
        <w:t>管理服务中心、辅导员、值班老师，学生自律管理委员会，联合安全大检查工作组构建宿舍安全卫生联动机制。</w:t>
      </w:r>
    </w:p>
    <w:p w14:paraId="65B58ED7">
      <w:pPr>
        <w:snapToGrid w:val="0"/>
        <w:spacing w:line="50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七</w:t>
      </w:r>
      <w:r>
        <w:rPr>
          <w:rFonts w:hint="eastAsia" w:ascii="宋体" w:hAnsi="宋体" w:cs="宋体"/>
          <w:bCs/>
          <w:sz w:val="24"/>
        </w:rPr>
        <w:t>）其它服务：主要包括接待临时性的参观等；因学生参加各类活动，需临时住宿安排事宜；北校学生转南校住宿服务；住宿生水补、退费、住宿调查等统计、制作表格等；针对学生的实际住宿表现，有建议奖励和处罚的权力；针对疫情常态化管理，依据上级要求制定学生宿舍防疫防控预案及日常预防措施；引导学生按照北京市生活垃圾分类等相关要求进行生活垃圾正确分类投放;门禁、限电、节水系统的使用、日常维护；完成学院交办的其它任务。</w:t>
      </w:r>
    </w:p>
    <w:p w14:paraId="5A1EF7D3">
      <w:pPr>
        <w:spacing w:line="500" w:lineRule="exact"/>
        <w:ind w:firstLine="482" w:firstLineChars="200"/>
        <w:jc w:val="left"/>
        <w:rPr>
          <w:rFonts w:ascii="宋体" w:hAnsi="宋体" w:cs="宋体"/>
          <w:b/>
          <w:bCs/>
          <w:sz w:val="24"/>
        </w:rPr>
      </w:pPr>
      <w:r>
        <w:rPr>
          <w:rFonts w:hint="eastAsia" w:ascii="宋体" w:hAnsi="宋体" w:cs="宋体"/>
          <w:b/>
          <w:bCs/>
          <w:sz w:val="24"/>
        </w:rPr>
        <w:t>第</w:t>
      </w:r>
      <w:r>
        <w:rPr>
          <w:rFonts w:ascii="宋体" w:hAnsi="宋体" w:cs="宋体"/>
          <w:b/>
          <w:bCs/>
          <w:sz w:val="24"/>
        </w:rPr>
        <w:t>四条</w:t>
      </w:r>
      <w:r>
        <w:rPr>
          <w:rFonts w:hint="eastAsia" w:ascii="宋体" w:hAnsi="宋体" w:cs="宋体"/>
          <w:b/>
          <w:bCs/>
          <w:sz w:val="24"/>
        </w:rPr>
        <w:t xml:space="preserve">  服</w:t>
      </w:r>
      <w:r>
        <w:rPr>
          <w:rFonts w:ascii="宋体" w:hAnsi="宋体" w:cs="宋体"/>
          <w:b/>
          <w:bCs/>
          <w:sz w:val="24"/>
        </w:rPr>
        <w:t>务</w:t>
      </w:r>
      <w:r>
        <w:rPr>
          <w:rFonts w:hint="eastAsia" w:ascii="宋体" w:hAnsi="宋体" w:cs="宋体"/>
          <w:b/>
          <w:bCs/>
          <w:sz w:val="24"/>
        </w:rPr>
        <w:t>人员</w:t>
      </w:r>
    </w:p>
    <w:p w14:paraId="25E8D94C">
      <w:pPr>
        <w:spacing w:line="500" w:lineRule="exact"/>
        <w:ind w:firstLine="240" w:firstLineChars="100"/>
        <w:jc w:val="left"/>
        <w:rPr>
          <w:rFonts w:ascii="宋体" w:hAnsi="宋体" w:cs="宋体"/>
          <w:bCs/>
          <w:sz w:val="24"/>
        </w:rPr>
      </w:pPr>
      <w:r>
        <w:rPr>
          <w:rFonts w:hint="eastAsia" w:ascii="宋体" w:hAnsi="宋体" w:cs="宋体"/>
          <w:bCs/>
          <w:sz w:val="24"/>
        </w:rPr>
        <w:t>（一</w:t>
      </w:r>
      <w:r>
        <w:rPr>
          <w:rFonts w:ascii="宋体" w:hAnsi="宋体" w:cs="宋体"/>
          <w:bCs/>
          <w:sz w:val="24"/>
        </w:rPr>
        <w:t>）</w:t>
      </w:r>
      <w:r>
        <w:rPr>
          <w:rFonts w:hint="eastAsia" w:ascii="宋体" w:hAnsi="宋体" w:cs="宋体"/>
          <w:bCs/>
          <w:sz w:val="24"/>
        </w:rPr>
        <w:t>人员</w:t>
      </w:r>
      <w:r>
        <w:rPr>
          <w:rFonts w:ascii="宋体" w:hAnsi="宋体" w:cs="宋体"/>
          <w:bCs/>
          <w:sz w:val="24"/>
        </w:rPr>
        <w:t>配备</w:t>
      </w:r>
    </w:p>
    <w:p w14:paraId="6B8BBC40">
      <w:pPr>
        <w:spacing w:line="440" w:lineRule="exact"/>
        <w:ind w:firstLine="480" w:firstLineChars="200"/>
        <w:jc w:val="left"/>
        <w:rPr>
          <w:rFonts w:ascii="宋体" w:hAnsi="宋体" w:cs="宋体"/>
          <w:sz w:val="24"/>
        </w:rPr>
      </w:pPr>
      <w:r>
        <w:rPr>
          <w:rFonts w:hint="eastAsia" w:ascii="宋体" w:hAnsi="宋体" w:cs="宋体"/>
          <w:sz w:val="24"/>
        </w:rPr>
        <w:t>分时段安排人员</w:t>
      </w:r>
      <w:r>
        <w:rPr>
          <w:rFonts w:hint="eastAsia" w:ascii="宋体" w:hAnsi="宋体" w:cs="宋体"/>
          <w:bCs/>
          <w:sz w:val="24"/>
        </w:rPr>
        <w:t>，南</w:t>
      </w:r>
      <w:r>
        <w:rPr>
          <w:rFonts w:ascii="宋体" w:hAnsi="宋体" w:cs="宋体"/>
          <w:bCs/>
          <w:sz w:val="24"/>
        </w:rPr>
        <w:t>北校区人员可调换。</w:t>
      </w:r>
      <w:r>
        <w:rPr>
          <w:rFonts w:hint="eastAsia" w:ascii="宋体" w:hAnsi="宋体" w:cs="宋体"/>
          <w:bCs/>
          <w:sz w:val="24"/>
        </w:rPr>
        <w:t>其中：教学期间不少于39人（南校宿管不少于</w:t>
      </w:r>
      <w:r>
        <w:rPr>
          <w:rFonts w:hint="eastAsia" w:ascii="宋体" w:hAnsi="宋体" w:cs="宋体"/>
          <w:bCs/>
          <w:sz w:val="24"/>
          <w:lang w:val="en-US" w:eastAsia="zh-CN"/>
        </w:rPr>
        <w:t>7</w:t>
      </w:r>
      <w:r>
        <w:rPr>
          <w:rFonts w:hint="eastAsia" w:ascii="宋体" w:hAnsi="宋体" w:cs="宋体"/>
          <w:bCs/>
          <w:sz w:val="24"/>
        </w:rPr>
        <w:t>人，保洁2人；北校宿管不少于2</w:t>
      </w:r>
      <w:r>
        <w:rPr>
          <w:rFonts w:hint="eastAsia" w:ascii="宋体" w:hAnsi="宋体" w:cs="宋体"/>
          <w:bCs/>
          <w:sz w:val="24"/>
          <w:lang w:val="en-US" w:eastAsia="zh-CN"/>
        </w:rPr>
        <w:t>2</w:t>
      </w:r>
      <w:r>
        <w:rPr>
          <w:rFonts w:hint="eastAsia" w:ascii="宋体" w:hAnsi="宋体" w:cs="宋体"/>
          <w:bCs/>
          <w:sz w:val="24"/>
        </w:rPr>
        <w:t>人，保洁8人）；假期不少于1</w:t>
      </w:r>
      <w:r>
        <w:rPr>
          <w:rFonts w:hint="eastAsia" w:ascii="宋体" w:hAnsi="宋体" w:cs="宋体"/>
          <w:bCs/>
          <w:sz w:val="24"/>
          <w:lang w:val="en-US" w:eastAsia="zh-CN"/>
        </w:rPr>
        <w:t>2</w:t>
      </w:r>
      <w:r>
        <w:rPr>
          <w:rFonts w:hint="eastAsia" w:ascii="宋体" w:hAnsi="宋体" w:cs="宋体"/>
          <w:bCs/>
          <w:sz w:val="24"/>
        </w:rPr>
        <w:t>人（南校不少于</w:t>
      </w:r>
      <w:r>
        <w:rPr>
          <w:rFonts w:hint="eastAsia" w:ascii="宋体" w:hAnsi="宋体" w:cs="宋体"/>
          <w:bCs/>
          <w:sz w:val="24"/>
          <w:lang w:val="en-US" w:eastAsia="zh-CN"/>
        </w:rPr>
        <w:t>3</w:t>
      </w:r>
      <w:r>
        <w:rPr>
          <w:rFonts w:hint="eastAsia" w:ascii="宋体" w:hAnsi="宋体" w:cs="宋体"/>
          <w:bCs/>
          <w:sz w:val="24"/>
        </w:rPr>
        <w:t>人，北校不少于9人），详见附件。</w:t>
      </w:r>
    </w:p>
    <w:p w14:paraId="2C50BBD5">
      <w:pPr>
        <w:spacing w:line="500" w:lineRule="exact"/>
        <w:ind w:firstLine="240" w:firstLineChars="100"/>
        <w:rPr>
          <w:rFonts w:ascii="宋体" w:hAnsi="宋体" w:cs="宋体"/>
          <w:bCs/>
          <w:sz w:val="24"/>
        </w:rPr>
      </w:pPr>
      <w:r>
        <w:rPr>
          <w:rFonts w:hint="eastAsia" w:ascii="宋体" w:hAnsi="宋体" w:cs="宋体"/>
          <w:bCs/>
          <w:sz w:val="24"/>
        </w:rPr>
        <w:t>（二）人员基本要求</w:t>
      </w:r>
    </w:p>
    <w:p w14:paraId="45203DFE">
      <w:pPr>
        <w:spacing w:line="500" w:lineRule="exact"/>
        <w:ind w:firstLine="480" w:firstLineChars="200"/>
        <w:jc w:val="left"/>
        <w:rPr>
          <w:rFonts w:ascii="宋体" w:hAnsi="宋体" w:cs="宋体"/>
          <w:bCs/>
          <w:sz w:val="24"/>
        </w:rPr>
      </w:pPr>
      <w:r>
        <w:rPr>
          <w:rFonts w:hint="eastAsia" w:ascii="宋体" w:hAnsi="宋体" w:cs="宋体"/>
          <w:bCs/>
          <w:sz w:val="24"/>
        </w:rPr>
        <w:t>遵守国家法律法规和学院各项规章制度，熟悉掌握北京市教育委员会关于《北京高校标准化公寓、食堂和物业标准（2</w:t>
      </w:r>
      <w:r>
        <w:rPr>
          <w:rFonts w:ascii="宋体" w:hAnsi="宋体" w:cs="宋体"/>
          <w:bCs/>
          <w:sz w:val="24"/>
        </w:rPr>
        <w:t>016版</w:t>
      </w:r>
      <w:r>
        <w:rPr>
          <w:rFonts w:hint="eastAsia" w:ascii="宋体" w:hAnsi="宋体" w:cs="宋体"/>
          <w:bCs/>
          <w:sz w:val="24"/>
        </w:rPr>
        <w:t>）》验收标准，接受上级部门及学院管理、监督、检查，根据上级指示和要求高标准完成各项任务。</w:t>
      </w:r>
    </w:p>
    <w:p w14:paraId="228D5411">
      <w:pPr>
        <w:spacing w:line="440" w:lineRule="exact"/>
        <w:ind w:firstLine="480" w:firstLineChars="200"/>
        <w:jc w:val="left"/>
        <w:rPr>
          <w:rFonts w:ascii="宋体" w:hAnsi="宋体" w:cs="宋体"/>
          <w:sz w:val="24"/>
        </w:rPr>
      </w:pPr>
      <w:r>
        <w:rPr>
          <w:rFonts w:hint="eastAsia" w:ascii="宋体" w:hAnsi="宋体" w:cs="宋体"/>
          <w:sz w:val="24"/>
        </w:rPr>
        <w:t>项目经理、文员、楼长要求45岁以下，</w:t>
      </w:r>
      <w:r>
        <w:rPr>
          <w:rFonts w:hint="eastAsia" w:ascii="宋体" w:hAnsi="宋体" w:cs="宋体"/>
          <w:bCs/>
          <w:sz w:val="24"/>
        </w:rPr>
        <w:t>身体健康、五官端正，持有效健康证</w:t>
      </w:r>
      <w:r>
        <w:rPr>
          <w:rFonts w:hint="eastAsia" w:ascii="宋体" w:hAnsi="宋体" w:cs="宋体"/>
          <w:sz w:val="24"/>
        </w:rPr>
        <w:t>，具有大专以上文化程度，熟练运用计算机办公。宿管员、保洁员要求</w:t>
      </w:r>
      <w:r>
        <w:rPr>
          <w:rFonts w:hint="eastAsia" w:ascii="宋体" w:hAnsi="宋体" w:cs="宋体"/>
          <w:sz w:val="24"/>
          <w:highlight w:val="none"/>
          <w:lang w:val="en-US" w:eastAsia="zh-CN"/>
        </w:rPr>
        <w:t>48</w:t>
      </w:r>
      <w:r>
        <w:rPr>
          <w:rFonts w:hint="eastAsia" w:ascii="宋体" w:hAnsi="宋体" w:cs="宋体"/>
          <w:sz w:val="24"/>
        </w:rPr>
        <w:t>岁以下不低于</w:t>
      </w:r>
      <w:r>
        <w:rPr>
          <w:rFonts w:hint="eastAsia" w:ascii="宋体" w:hAnsi="宋体" w:cs="宋体"/>
          <w:sz w:val="24"/>
          <w:highlight w:val="none"/>
          <w:lang w:val="en-US" w:eastAsia="zh-CN"/>
        </w:rPr>
        <w:t>6</w:t>
      </w:r>
      <w:r>
        <w:rPr>
          <w:rFonts w:hint="eastAsia" w:ascii="宋体" w:hAnsi="宋体" w:cs="宋体"/>
          <w:sz w:val="24"/>
          <w:highlight w:val="none"/>
        </w:rPr>
        <w:t>0%</w:t>
      </w:r>
      <w:r>
        <w:rPr>
          <w:rFonts w:hint="eastAsia" w:ascii="宋体" w:hAnsi="宋体" w:cs="宋体"/>
          <w:sz w:val="24"/>
        </w:rPr>
        <w:t>，</w:t>
      </w:r>
      <w:r>
        <w:rPr>
          <w:rFonts w:hint="eastAsia" w:ascii="宋体" w:hAnsi="宋体" w:cs="宋体"/>
          <w:sz w:val="24"/>
          <w:highlight w:val="none"/>
          <w:lang w:val="en-US" w:eastAsia="zh-CN"/>
        </w:rPr>
        <w:t>48</w:t>
      </w:r>
      <w:r>
        <w:rPr>
          <w:rFonts w:hint="eastAsia" w:ascii="宋体" w:hAnsi="宋体" w:cs="宋体"/>
          <w:sz w:val="24"/>
        </w:rPr>
        <w:t>岁以上不高于</w:t>
      </w:r>
      <w:r>
        <w:rPr>
          <w:rFonts w:hint="eastAsia" w:ascii="宋体" w:hAnsi="宋体" w:cs="宋体"/>
          <w:sz w:val="24"/>
          <w:highlight w:val="none"/>
          <w:lang w:val="en-US" w:eastAsia="zh-CN"/>
        </w:rPr>
        <w:t>4</w:t>
      </w:r>
      <w:r>
        <w:rPr>
          <w:rFonts w:hint="eastAsia" w:ascii="宋体" w:hAnsi="宋体" w:cs="宋体"/>
          <w:sz w:val="24"/>
          <w:highlight w:val="none"/>
        </w:rPr>
        <w:t>0%</w:t>
      </w:r>
      <w:r>
        <w:rPr>
          <w:rFonts w:hint="eastAsia" w:ascii="宋体" w:hAnsi="宋体" w:cs="宋体"/>
          <w:sz w:val="24"/>
        </w:rPr>
        <w:t>，总体控制男不超过60岁、女不超过55岁，</w:t>
      </w:r>
      <w:r>
        <w:rPr>
          <w:rFonts w:hint="eastAsia" w:ascii="宋体" w:hAnsi="宋体" w:cs="宋体"/>
          <w:bCs/>
          <w:sz w:val="24"/>
        </w:rPr>
        <w:t>身体健康、五官端正，持有效健康证</w:t>
      </w:r>
      <w:r>
        <w:rPr>
          <w:rFonts w:hint="eastAsia" w:ascii="宋体" w:hAnsi="宋体" w:cs="宋体"/>
          <w:sz w:val="24"/>
        </w:rPr>
        <w:t>，具有高中及以上文化程度。具备较强的责任心、具备较强的管理能力、沟通能力，有高校类似工作经历优先。</w:t>
      </w:r>
      <w:r>
        <w:rPr>
          <w:rFonts w:hint="eastAsia" w:ascii="宋体" w:hAnsi="宋体" w:cs="宋体"/>
          <w:bCs/>
          <w:sz w:val="24"/>
        </w:rPr>
        <w:t>按照岗位要求，统一着装，佩戴工牌。管理队伍须保持一定的稳定性，管理员每年流失率不高于百分之二十，不缺岗运行。</w:t>
      </w:r>
    </w:p>
    <w:p w14:paraId="22F1EEBD">
      <w:pPr>
        <w:spacing w:line="500" w:lineRule="exact"/>
        <w:ind w:firstLine="240" w:firstLineChars="100"/>
        <w:jc w:val="left"/>
        <w:rPr>
          <w:rFonts w:ascii="宋体" w:hAnsi="宋体" w:cs="宋体"/>
          <w:bCs/>
          <w:sz w:val="24"/>
        </w:rPr>
      </w:pPr>
      <w:r>
        <w:rPr>
          <w:rFonts w:hint="eastAsia" w:ascii="宋体" w:hAnsi="宋体" w:cs="宋体"/>
          <w:bCs/>
          <w:sz w:val="24"/>
        </w:rPr>
        <w:t>（三）宿管人员主要职责</w:t>
      </w:r>
    </w:p>
    <w:p w14:paraId="611C1488">
      <w:pPr>
        <w:spacing w:line="500" w:lineRule="exact"/>
        <w:ind w:firstLine="240" w:firstLineChars="100"/>
        <w:jc w:val="left"/>
        <w:rPr>
          <w:rFonts w:ascii="宋体" w:hAnsi="宋体" w:cs="宋体"/>
          <w:bCs/>
          <w:sz w:val="24"/>
        </w:rPr>
      </w:pPr>
      <w:r>
        <w:rPr>
          <w:rFonts w:hint="eastAsia" w:ascii="宋体" w:hAnsi="宋体" w:cs="宋体"/>
          <w:bCs/>
          <w:sz w:val="24"/>
        </w:rPr>
        <w:t>1.项目经理岗位职责</w:t>
      </w:r>
    </w:p>
    <w:p w14:paraId="39219372">
      <w:pPr>
        <w:widowControl/>
        <w:spacing w:line="500" w:lineRule="exact"/>
        <w:jc w:val="left"/>
        <w:rPr>
          <w:rFonts w:ascii="宋体" w:hAnsi="宋体" w:cs="宋体"/>
          <w:bCs/>
          <w:sz w:val="24"/>
        </w:rPr>
      </w:pPr>
      <w:r>
        <w:rPr>
          <w:rFonts w:hint="eastAsia" w:ascii="宋体" w:hAnsi="宋体" w:cs="宋体"/>
          <w:bCs/>
          <w:sz w:val="24"/>
        </w:rPr>
        <w:t xml:space="preserve">（1）全面负责学生公寓日常管理工作。 </w:t>
      </w:r>
    </w:p>
    <w:p w14:paraId="7F346D10">
      <w:pPr>
        <w:widowControl/>
        <w:spacing w:line="500" w:lineRule="exact"/>
        <w:jc w:val="left"/>
        <w:rPr>
          <w:rFonts w:ascii="宋体" w:hAnsi="宋体" w:cs="宋体"/>
          <w:bCs/>
          <w:sz w:val="24"/>
        </w:rPr>
      </w:pPr>
      <w:r>
        <w:rPr>
          <w:rFonts w:hint="eastAsia" w:ascii="宋体" w:hAnsi="宋体" w:cs="宋体"/>
          <w:bCs/>
          <w:sz w:val="24"/>
        </w:rPr>
        <w:t>（2）负责学生宿舍的住宿安排、床位调整、退</w:t>
      </w:r>
      <w:r>
        <w:rPr>
          <w:rFonts w:ascii="宋体" w:hAnsi="宋体" w:cs="宋体"/>
          <w:bCs/>
          <w:sz w:val="24"/>
        </w:rPr>
        <w:t>费、</w:t>
      </w:r>
      <w:r>
        <w:rPr>
          <w:rFonts w:hint="eastAsia" w:ascii="宋体" w:hAnsi="宋体" w:cs="宋体"/>
          <w:bCs/>
          <w:sz w:val="24"/>
        </w:rPr>
        <w:t xml:space="preserve">卫生、安全防范等后勤保障服务工作。 </w:t>
      </w:r>
    </w:p>
    <w:p w14:paraId="0E4DF550">
      <w:pPr>
        <w:widowControl/>
        <w:spacing w:line="500" w:lineRule="exact"/>
        <w:jc w:val="left"/>
        <w:rPr>
          <w:rFonts w:ascii="宋体" w:hAnsi="宋体" w:cs="宋体"/>
          <w:bCs/>
          <w:sz w:val="24"/>
        </w:rPr>
      </w:pPr>
      <w:r>
        <w:rPr>
          <w:rFonts w:hint="eastAsia" w:ascii="宋体" w:hAnsi="宋体" w:cs="宋体"/>
          <w:bCs/>
          <w:sz w:val="24"/>
        </w:rPr>
        <w:t xml:space="preserve">（3）根据实际工作，负责制定和修订公寓内部各项规章制度，制定公寓年度工作计划并组织实施。 </w:t>
      </w:r>
    </w:p>
    <w:p w14:paraId="2516C647">
      <w:pPr>
        <w:widowControl/>
        <w:spacing w:line="500" w:lineRule="exact"/>
        <w:jc w:val="left"/>
        <w:rPr>
          <w:rFonts w:ascii="宋体" w:hAnsi="宋体" w:cs="宋体"/>
          <w:bCs/>
          <w:sz w:val="24"/>
        </w:rPr>
      </w:pPr>
      <w:r>
        <w:rPr>
          <w:rFonts w:hint="eastAsia" w:ascii="宋体" w:hAnsi="宋体" w:cs="宋体"/>
          <w:bCs/>
          <w:sz w:val="24"/>
        </w:rPr>
        <w:t xml:space="preserve">（4）经常深入公寓，检查楼长对公寓的管理、卫生、安全及公寓工作落实情况， 掌握学生公寓管理和学生宿舍的各种情况，发现问题及时向学院领导及时汇报。 </w:t>
      </w:r>
    </w:p>
    <w:p w14:paraId="56E63EE4">
      <w:pPr>
        <w:widowControl/>
        <w:spacing w:line="500" w:lineRule="exact"/>
        <w:jc w:val="left"/>
        <w:rPr>
          <w:rFonts w:ascii="宋体" w:hAnsi="宋体" w:cs="宋体"/>
          <w:bCs/>
          <w:sz w:val="24"/>
        </w:rPr>
      </w:pPr>
      <w:r>
        <w:rPr>
          <w:rFonts w:hint="eastAsia" w:ascii="宋体" w:hAnsi="宋体" w:cs="宋体"/>
          <w:bCs/>
          <w:sz w:val="24"/>
        </w:rPr>
        <w:t xml:space="preserve">（5）负责公寓人员的招聘、培训、考核、薪资制定等工作的落实。 </w:t>
      </w:r>
    </w:p>
    <w:p w14:paraId="16C2D658">
      <w:pPr>
        <w:widowControl/>
        <w:spacing w:line="500" w:lineRule="exact"/>
        <w:jc w:val="left"/>
        <w:rPr>
          <w:rFonts w:ascii="宋体" w:hAnsi="宋体" w:cs="宋体"/>
          <w:bCs/>
          <w:sz w:val="24"/>
        </w:rPr>
      </w:pPr>
      <w:r>
        <w:rPr>
          <w:rFonts w:hint="eastAsia" w:ascii="宋体" w:hAnsi="宋体" w:cs="宋体"/>
          <w:bCs/>
          <w:sz w:val="24"/>
        </w:rPr>
        <w:t>（6）负责员工的思想教育工作，树立爱岗敬业，主动服务的意识。</w:t>
      </w:r>
    </w:p>
    <w:p w14:paraId="041B3AE1">
      <w:pPr>
        <w:widowControl/>
        <w:spacing w:line="500" w:lineRule="exact"/>
        <w:jc w:val="left"/>
        <w:rPr>
          <w:rFonts w:ascii="宋体" w:hAnsi="宋体" w:cs="宋体"/>
          <w:bCs/>
          <w:sz w:val="24"/>
        </w:rPr>
      </w:pPr>
      <w:r>
        <w:rPr>
          <w:rFonts w:hint="eastAsia" w:ascii="宋体" w:hAnsi="宋体" w:cs="宋体"/>
          <w:bCs/>
          <w:sz w:val="24"/>
        </w:rPr>
        <w:t xml:space="preserve">（7）负责开展文明宿舍评比活动。 </w:t>
      </w:r>
    </w:p>
    <w:p w14:paraId="044B161A">
      <w:pPr>
        <w:widowControl/>
        <w:spacing w:line="500" w:lineRule="exact"/>
        <w:jc w:val="left"/>
        <w:rPr>
          <w:rFonts w:ascii="宋体" w:hAnsi="宋体" w:cs="宋体"/>
          <w:bCs/>
          <w:sz w:val="24"/>
        </w:rPr>
      </w:pPr>
      <w:r>
        <w:rPr>
          <w:rFonts w:hint="eastAsia" w:ascii="宋体" w:hAnsi="宋体" w:cs="宋体"/>
          <w:bCs/>
          <w:sz w:val="24"/>
        </w:rPr>
        <w:t xml:space="preserve">（8）完成学院领导及公司领导交办的其他工作任务。 </w:t>
      </w:r>
    </w:p>
    <w:p w14:paraId="79CAE2F7">
      <w:pPr>
        <w:widowControl/>
        <w:spacing w:line="500" w:lineRule="exact"/>
        <w:ind w:firstLine="240" w:firstLineChars="100"/>
        <w:rPr>
          <w:rFonts w:ascii="宋体" w:hAnsi="宋体" w:cs="宋体"/>
          <w:bCs/>
          <w:sz w:val="24"/>
        </w:rPr>
      </w:pPr>
      <w:r>
        <w:rPr>
          <w:rFonts w:hint="eastAsia" w:ascii="宋体" w:hAnsi="宋体" w:cs="宋体"/>
          <w:bCs/>
          <w:sz w:val="24"/>
        </w:rPr>
        <w:t>2.办公室岗位职责（文员）</w:t>
      </w:r>
    </w:p>
    <w:p w14:paraId="21160D3A">
      <w:pPr>
        <w:widowControl/>
        <w:spacing w:line="500" w:lineRule="exact"/>
        <w:jc w:val="left"/>
        <w:rPr>
          <w:rFonts w:ascii="宋体" w:hAnsi="宋体" w:cs="宋体"/>
          <w:bCs/>
          <w:sz w:val="24"/>
        </w:rPr>
      </w:pPr>
      <w:r>
        <w:rPr>
          <w:rFonts w:hint="eastAsia" w:ascii="宋体" w:hAnsi="宋体" w:cs="宋体"/>
          <w:bCs/>
          <w:sz w:val="24"/>
        </w:rPr>
        <w:t xml:space="preserve">（1）学生的住宿申请、退宿申请、退费办理。 </w:t>
      </w:r>
    </w:p>
    <w:p w14:paraId="01D61FFA">
      <w:pPr>
        <w:widowControl/>
        <w:spacing w:line="500" w:lineRule="exact"/>
        <w:jc w:val="left"/>
        <w:rPr>
          <w:rFonts w:ascii="宋体" w:hAnsi="宋体" w:cs="宋体"/>
          <w:bCs/>
          <w:sz w:val="24"/>
        </w:rPr>
      </w:pPr>
      <w:r>
        <w:rPr>
          <w:rFonts w:hint="eastAsia" w:ascii="宋体" w:hAnsi="宋体" w:cs="宋体"/>
          <w:bCs/>
          <w:sz w:val="24"/>
        </w:rPr>
        <w:t xml:space="preserve">（2）负责排床位、床位调整，住宿情况统计分析工作。 </w:t>
      </w:r>
    </w:p>
    <w:p w14:paraId="3344F125">
      <w:pPr>
        <w:widowControl/>
        <w:spacing w:line="500" w:lineRule="exact"/>
        <w:jc w:val="left"/>
        <w:rPr>
          <w:rFonts w:ascii="宋体" w:hAnsi="宋体" w:cs="宋体"/>
          <w:bCs/>
          <w:sz w:val="24"/>
        </w:rPr>
      </w:pPr>
      <w:r>
        <w:rPr>
          <w:rFonts w:hint="eastAsia" w:ascii="宋体" w:hAnsi="宋体" w:cs="宋体"/>
          <w:bCs/>
          <w:sz w:val="24"/>
        </w:rPr>
        <w:t>（3）配合学院做好学生住宿方案调整、毕业生离校、南转北学生住宿调整及新生入住安排服务等工作。</w:t>
      </w:r>
    </w:p>
    <w:p w14:paraId="16DEEF3B">
      <w:pPr>
        <w:widowControl/>
        <w:spacing w:line="500" w:lineRule="exact"/>
        <w:jc w:val="left"/>
        <w:rPr>
          <w:rFonts w:ascii="宋体" w:hAnsi="宋体" w:cs="宋体"/>
          <w:bCs/>
          <w:sz w:val="24"/>
        </w:rPr>
      </w:pPr>
      <w:r>
        <w:rPr>
          <w:rFonts w:hint="eastAsia" w:ascii="宋体" w:hAnsi="宋体" w:cs="宋体"/>
          <w:bCs/>
          <w:sz w:val="24"/>
        </w:rPr>
        <w:t xml:space="preserve">（4）负责公寓内所需记录表的打印、存档。 </w:t>
      </w:r>
    </w:p>
    <w:p w14:paraId="75E2FE53">
      <w:pPr>
        <w:widowControl/>
        <w:spacing w:line="500" w:lineRule="exact"/>
        <w:jc w:val="left"/>
        <w:rPr>
          <w:rFonts w:ascii="宋体" w:hAnsi="宋体" w:cs="宋体"/>
          <w:bCs/>
          <w:sz w:val="24"/>
        </w:rPr>
      </w:pPr>
      <w:r>
        <w:rPr>
          <w:rFonts w:hint="eastAsia" w:ascii="宋体" w:hAnsi="宋体" w:cs="宋体"/>
          <w:bCs/>
          <w:sz w:val="24"/>
        </w:rPr>
        <w:t xml:space="preserve">（5）负责日常内务卫生检查，纪律批评。 </w:t>
      </w:r>
    </w:p>
    <w:p w14:paraId="7A9B3C46">
      <w:pPr>
        <w:widowControl/>
        <w:spacing w:line="500" w:lineRule="exact"/>
        <w:jc w:val="left"/>
        <w:rPr>
          <w:rFonts w:ascii="宋体" w:hAnsi="宋体" w:cs="宋体"/>
          <w:bCs/>
          <w:sz w:val="24"/>
        </w:rPr>
      </w:pPr>
      <w:r>
        <w:rPr>
          <w:rFonts w:hint="eastAsia" w:ascii="宋体" w:hAnsi="宋体" w:cs="宋体"/>
          <w:bCs/>
          <w:sz w:val="24"/>
        </w:rPr>
        <w:t xml:space="preserve">（6）中午的午值班和楼层巡检。 </w:t>
      </w:r>
    </w:p>
    <w:p w14:paraId="03DDCD2E">
      <w:pPr>
        <w:widowControl/>
        <w:spacing w:line="500" w:lineRule="exact"/>
        <w:jc w:val="left"/>
        <w:rPr>
          <w:rFonts w:ascii="宋体" w:hAnsi="宋体" w:cs="宋体"/>
          <w:bCs/>
          <w:sz w:val="24"/>
        </w:rPr>
      </w:pPr>
      <w:r>
        <w:rPr>
          <w:rFonts w:hint="eastAsia" w:ascii="宋体" w:hAnsi="宋体" w:cs="宋体"/>
          <w:bCs/>
          <w:sz w:val="24"/>
        </w:rPr>
        <w:t xml:space="preserve">（7）按日、周、月、学期统计上报住宿学生违规违纪情况，并存档。 </w:t>
      </w:r>
    </w:p>
    <w:p w14:paraId="7B5D77AA">
      <w:pPr>
        <w:widowControl/>
        <w:spacing w:line="500" w:lineRule="exact"/>
        <w:jc w:val="left"/>
        <w:rPr>
          <w:rFonts w:ascii="宋体" w:hAnsi="宋体" w:cs="宋体"/>
          <w:bCs/>
          <w:sz w:val="24"/>
        </w:rPr>
      </w:pPr>
      <w:r>
        <w:rPr>
          <w:rFonts w:hint="eastAsia" w:ascii="宋体" w:hAnsi="宋体" w:cs="宋体"/>
          <w:bCs/>
          <w:sz w:val="24"/>
        </w:rPr>
        <w:t xml:space="preserve">（8）起草、打印并下发通知材料。 </w:t>
      </w:r>
    </w:p>
    <w:p w14:paraId="2370D872">
      <w:pPr>
        <w:widowControl/>
        <w:spacing w:line="500" w:lineRule="exact"/>
        <w:jc w:val="left"/>
        <w:rPr>
          <w:rFonts w:ascii="宋体" w:hAnsi="宋体" w:cs="宋体"/>
          <w:bCs/>
          <w:sz w:val="24"/>
        </w:rPr>
      </w:pPr>
      <w:r>
        <w:rPr>
          <w:rFonts w:hint="eastAsia" w:ascii="宋体" w:hAnsi="宋体" w:cs="宋体"/>
          <w:bCs/>
          <w:sz w:val="24"/>
        </w:rPr>
        <w:t xml:space="preserve">（9）做好办公室内勤，搞好接待和日常管理工作。 </w:t>
      </w:r>
    </w:p>
    <w:p w14:paraId="024EE3B9">
      <w:pPr>
        <w:widowControl/>
        <w:spacing w:line="500" w:lineRule="exact"/>
        <w:jc w:val="left"/>
        <w:rPr>
          <w:rFonts w:ascii="宋体" w:hAnsi="宋体" w:cs="宋体"/>
          <w:bCs/>
          <w:sz w:val="24"/>
        </w:rPr>
      </w:pPr>
      <w:r>
        <w:rPr>
          <w:rFonts w:hint="eastAsia" w:ascii="宋体" w:hAnsi="宋体" w:cs="宋体"/>
          <w:bCs/>
          <w:sz w:val="24"/>
        </w:rPr>
        <w:t xml:space="preserve">（10）制定学期计划和总结。 </w:t>
      </w:r>
    </w:p>
    <w:p w14:paraId="32EEF019">
      <w:pPr>
        <w:widowControl/>
        <w:spacing w:line="500" w:lineRule="exact"/>
        <w:jc w:val="left"/>
        <w:rPr>
          <w:rFonts w:ascii="宋体" w:hAnsi="宋体" w:cs="宋体"/>
          <w:bCs/>
          <w:sz w:val="24"/>
        </w:rPr>
      </w:pPr>
      <w:r>
        <w:rPr>
          <w:rFonts w:hint="eastAsia" w:ascii="宋体" w:hAnsi="宋体" w:cs="宋体"/>
          <w:bCs/>
          <w:sz w:val="24"/>
        </w:rPr>
        <w:t xml:space="preserve">（11）负责公寓内文化宣传活动开展。 </w:t>
      </w:r>
    </w:p>
    <w:p w14:paraId="2A8AA6AC">
      <w:pPr>
        <w:widowControl/>
        <w:spacing w:line="500" w:lineRule="exact"/>
        <w:jc w:val="left"/>
        <w:rPr>
          <w:rFonts w:ascii="宋体" w:hAnsi="宋体" w:cs="宋体"/>
          <w:bCs/>
          <w:sz w:val="24"/>
        </w:rPr>
      </w:pPr>
      <w:r>
        <w:rPr>
          <w:rFonts w:hint="eastAsia" w:ascii="宋体" w:hAnsi="宋体" w:cs="宋体"/>
          <w:bCs/>
          <w:sz w:val="24"/>
        </w:rPr>
        <w:t xml:space="preserve">（12）修改完善学生公寓工作手册。 </w:t>
      </w:r>
    </w:p>
    <w:p w14:paraId="37DE082D">
      <w:pPr>
        <w:widowControl/>
        <w:spacing w:line="500" w:lineRule="exact"/>
        <w:jc w:val="left"/>
        <w:rPr>
          <w:rFonts w:ascii="宋体" w:hAnsi="宋体" w:cs="宋体"/>
          <w:bCs/>
          <w:sz w:val="24"/>
        </w:rPr>
      </w:pPr>
      <w:r>
        <w:rPr>
          <w:rFonts w:hint="eastAsia" w:ascii="宋体" w:hAnsi="宋体" w:cs="宋体"/>
          <w:bCs/>
          <w:sz w:val="24"/>
        </w:rPr>
        <w:t xml:space="preserve">（13）学期初组织宿管员培训，定期组织宿管员学习。 </w:t>
      </w:r>
    </w:p>
    <w:p w14:paraId="7FD58142">
      <w:pPr>
        <w:widowControl/>
        <w:spacing w:line="500" w:lineRule="exact"/>
        <w:jc w:val="left"/>
        <w:rPr>
          <w:rFonts w:ascii="宋体" w:hAnsi="宋体" w:cs="宋体"/>
          <w:bCs/>
          <w:sz w:val="24"/>
        </w:rPr>
      </w:pPr>
      <w:r>
        <w:rPr>
          <w:rFonts w:hint="eastAsia" w:ascii="宋体" w:hAnsi="宋体" w:cs="宋体"/>
          <w:bCs/>
          <w:sz w:val="24"/>
        </w:rPr>
        <w:t xml:space="preserve">（14）会议记录、整理、存档。 </w:t>
      </w:r>
    </w:p>
    <w:p w14:paraId="40598D91">
      <w:pPr>
        <w:widowControl/>
        <w:spacing w:line="500" w:lineRule="exact"/>
        <w:jc w:val="left"/>
        <w:rPr>
          <w:rFonts w:ascii="宋体" w:hAnsi="宋体" w:cs="宋体"/>
          <w:bCs/>
          <w:sz w:val="24"/>
        </w:rPr>
      </w:pPr>
      <w:r>
        <w:rPr>
          <w:rFonts w:hint="eastAsia" w:ascii="宋体" w:hAnsi="宋体" w:cs="宋体"/>
          <w:bCs/>
          <w:sz w:val="24"/>
        </w:rPr>
        <w:t xml:space="preserve">（15）制定迎新、安全、防疫等各项预案，组织参加学校的安全演习及具体分工。 </w:t>
      </w:r>
    </w:p>
    <w:p w14:paraId="14B38563">
      <w:pPr>
        <w:widowControl/>
        <w:spacing w:line="500" w:lineRule="exact"/>
        <w:jc w:val="left"/>
        <w:rPr>
          <w:rFonts w:ascii="宋体" w:hAnsi="宋体" w:cs="宋体"/>
          <w:bCs/>
          <w:sz w:val="24"/>
        </w:rPr>
      </w:pPr>
      <w:r>
        <w:rPr>
          <w:rFonts w:hint="eastAsia" w:ascii="宋体" w:hAnsi="宋体" w:cs="宋体"/>
          <w:bCs/>
          <w:sz w:val="24"/>
        </w:rPr>
        <w:t xml:space="preserve">（16）负责按日、周、月统计上报公寓安全卫生检查情况，并存档。 </w:t>
      </w:r>
    </w:p>
    <w:p w14:paraId="3C439942">
      <w:pPr>
        <w:widowControl/>
        <w:spacing w:line="500" w:lineRule="exact"/>
        <w:jc w:val="left"/>
        <w:rPr>
          <w:rFonts w:ascii="宋体" w:hAnsi="宋体" w:cs="宋体"/>
          <w:bCs/>
          <w:sz w:val="24"/>
        </w:rPr>
      </w:pPr>
      <w:r>
        <w:rPr>
          <w:rFonts w:hint="eastAsia" w:ascii="宋体" w:hAnsi="宋体" w:cs="宋体"/>
          <w:bCs/>
          <w:sz w:val="24"/>
        </w:rPr>
        <w:t>（17）负</w:t>
      </w:r>
      <w:r>
        <w:rPr>
          <w:rFonts w:ascii="宋体" w:hAnsi="宋体" w:cs="宋体"/>
          <w:bCs/>
          <w:sz w:val="24"/>
        </w:rPr>
        <w:t>责</w:t>
      </w:r>
      <w:r>
        <w:rPr>
          <w:rFonts w:hint="eastAsia" w:ascii="宋体" w:hAnsi="宋体" w:cs="宋体"/>
          <w:bCs/>
          <w:sz w:val="24"/>
        </w:rPr>
        <w:t>每月达标创优宿舍评选、公示工作。</w:t>
      </w:r>
    </w:p>
    <w:p w14:paraId="564C783F">
      <w:pPr>
        <w:widowControl/>
        <w:spacing w:line="500" w:lineRule="exact"/>
        <w:jc w:val="left"/>
        <w:rPr>
          <w:rFonts w:ascii="宋体" w:hAnsi="宋体" w:cs="宋体"/>
          <w:bCs/>
          <w:sz w:val="24"/>
        </w:rPr>
      </w:pPr>
      <w:r>
        <w:rPr>
          <w:rFonts w:hint="eastAsia" w:ascii="宋体" w:hAnsi="宋体" w:cs="宋体"/>
          <w:bCs/>
          <w:sz w:val="24"/>
        </w:rPr>
        <w:t>（18）负</w:t>
      </w:r>
      <w:r>
        <w:rPr>
          <w:rFonts w:ascii="宋体" w:hAnsi="宋体" w:cs="宋体"/>
          <w:bCs/>
          <w:sz w:val="24"/>
        </w:rPr>
        <w:t>责公寓</w:t>
      </w:r>
      <w:r>
        <w:rPr>
          <w:rFonts w:hint="eastAsia" w:ascii="宋体" w:hAnsi="宋体" w:cs="宋体"/>
          <w:bCs/>
          <w:sz w:val="24"/>
        </w:rPr>
        <w:t xml:space="preserve">固定资产保管、清查及登账。 </w:t>
      </w:r>
    </w:p>
    <w:p w14:paraId="11A18B41">
      <w:pPr>
        <w:widowControl/>
        <w:spacing w:line="500" w:lineRule="exact"/>
        <w:jc w:val="left"/>
        <w:rPr>
          <w:rFonts w:ascii="宋体" w:hAnsi="宋体" w:cs="宋体"/>
          <w:bCs/>
          <w:sz w:val="24"/>
        </w:rPr>
      </w:pPr>
      <w:r>
        <w:rPr>
          <w:rFonts w:hint="eastAsia" w:ascii="宋体" w:hAnsi="宋体" w:cs="宋体"/>
          <w:bCs/>
          <w:sz w:val="24"/>
        </w:rPr>
        <w:t xml:space="preserve">（19）门禁系统、监控系统、电控系统、消防系统、水控系统的巡检。 </w:t>
      </w:r>
    </w:p>
    <w:p w14:paraId="54002602">
      <w:pPr>
        <w:widowControl/>
        <w:spacing w:line="500" w:lineRule="exact"/>
        <w:jc w:val="left"/>
        <w:rPr>
          <w:rFonts w:ascii="宋体" w:hAnsi="宋体" w:cs="宋体"/>
          <w:bCs/>
          <w:sz w:val="24"/>
        </w:rPr>
      </w:pPr>
      <w:r>
        <w:rPr>
          <w:rFonts w:hint="eastAsia" w:ascii="宋体" w:hAnsi="宋体" w:cs="宋体"/>
          <w:bCs/>
          <w:sz w:val="24"/>
        </w:rPr>
        <w:t>（20</w:t>
      </w:r>
      <w:r>
        <w:rPr>
          <w:rFonts w:ascii="宋体" w:hAnsi="宋体" w:cs="宋体"/>
          <w:bCs/>
          <w:sz w:val="24"/>
        </w:rPr>
        <w:t>）</w:t>
      </w:r>
      <w:r>
        <w:rPr>
          <w:rFonts w:hint="eastAsia" w:ascii="宋体" w:hAnsi="宋体" w:cs="宋体"/>
          <w:bCs/>
          <w:sz w:val="24"/>
        </w:rPr>
        <w:t xml:space="preserve">负责监督检查公区卫生打扫及记录情况。 </w:t>
      </w:r>
    </w:p>
    <w:p w14:paraId="2975F920">
      <w:pPr>
        <w:widowControl/>
        <w:spacing w:line="500" w:lineRule="exact"/>
        <w:jc w:val="left"/>
        <w:rPr>
          <w:rFonts w:ascii="宋体" w:hAnsi="宋体" w:cs="宋体"/>
          <w:bCs/>
          <w:sz w:val="24"/>
        </w:rPr>
      </w:pPr>
      <w:r>
        <w:rPr>
          <w:rFonts w:hint="eastAsia" w:ascii="宋体" w:hAnsi="宋体" w:cs="宋体"/>
          <w:bCs/>
          <w:sz w:val="24"/>
        </w:rPr>
        <w:t>（21）收集、整理宿管员工作总结或案例分析。</w:t>
      </w:r>
    </w:p>
    <w:p w14:paraId="2367CAF2">
      <w:pPr>
        <w:widowControl/>
        <w:spacing w:line="500" w:lineRule="exact"/>
        <w:jc w:val="left"/>
        <w:rPr>
          <w:rFonts w:ascii="宋体" w:hAnsi="宋体" w:cs="宋体"/>
          <w:bCs/>
          <w:sz w:val="24"/>
        </w:rPr>
      </w:pPr>
      <w:r>
        <w:rPr>
          <w:rFonts w:hint="eastAsia" w:ascii="宋体" w:hAnsi="宋体" w:cs="宋体"/>
          <w:bCs/>
          <w:sz w:val="24"/>
        </w:rPr>
        <w:t xml:space="preserve">（22）完成学院领导及公司领导交办的其他工作任务。 </w:t>
      </w:r>
    </w:p>
    <w:p w14:paraId="17068023">
      <w:pPr>
        <w:widowControl/>
        <w:spacing w:line="500" w:lineRule="exact"/>
        <w:ind w:firstLine="240" w:firstLineChars="100"/>
        <w:rPr>
          <w:rFonts w:ascii="宋体" w:hAnsi="宋体" w:cs="宋体"/>
          <w:bCs/>
          <w:sz w:val="24"/>
        </w:rPr>
      </w:pPr>
      <w:r>
        <w:rPr>
          <w:rFonts w:hint="eastAsia" w:ascii="宋体" w:hAnsi="宋体" w:cs="宋体"/>
          <w:bCs/>
          <w:sz w:val="24"/>
        </w:rPr>
        <w:t>3.楼长岗位职责</w:t>
      </w:r>
    </w:p>
    <w:p w14:paraId="62299588">
      <w:pPr>
        <w:widowControl/>
        <w:spacing w:line="500" w:lineRule="exact"/>
        <w:jc w:val="left"/>
        <w:rPr>
          <w:rFonts w:ascii="宋体" w:hAnsi="宋体" w:cs="宋体"/>
          <w:bCs/>
          <w:sz w:val="24"/>
        </w:rPr>
      </w:pPr>
      <w:r>
        <w:rPr>
          <w:rFonts w:hint="eastAsia" w:ascii="宋体" w:hAnsi="宋体" w:cs="宋体"/>
          <w:bCs/>
          <w:sz w:val="24"/>
        </w:rPr>
        <w:t xml:space="preserve">（1）组织和引导本楼学生开展各项活动，发挥学生的各项潜能，培养学生良好的住宿习惯，同时做好板报宣传工作，表扬好人好事。 </w:t>
      </w:r>
    </w:p>
    <w:p w14:paraId="2C562B1B">
      <w:pPr>
        <w:widowControl/>
        <w:spacing w:line="500" w:lineRule="exact"/>
        <w:jc w:val="left"/>
        <w:rPr>
          <w:rFonts w:ascii="宋体" w:hAnsi="宋体" w:cs="宋体"/>
          <w:bCs/>
          <w:sz w:val="24"/>
        </w:rPr>
      </w:pPr>
      <w:r>
        <w:rPr>
          <w:rFonts w:hint="eastAsia" w:ascii="宋体" w:hAnsi="宋体" w:cs="宋体"/>
          <w:bCs/>
          <w:sz w:val="24"/>
        </w:rPr>
        <w:t xml:space="preserve">（2）巡检各层宿舍，督促学生按时就寝，杜绝大声喧哗等不文明行为和违纪现象。做好夜间各楼层巡检工作，特别是各层消防通道是否畅通，一层门窗是否关闭锁好，夜间宿舍楼外围布控，消除事故隐患。 </w:t>
      </w:r>
    </w:p>
    <w:p w14:paraId="0B2D4279">
      <w:pPr>
        <w:widowControl/>
        <w:spacing w:line="500" w:lineRule="exact"/>
        <w:jc w:val="left"/>
        <w:rPr>
          <w:rFonts w:ascii="宋体" w:hAnsi="宋体" w:cs="宋体"/>
          <w:bCs/>
          <w:sz w:val="24"/>
        </w:rPr>
      </w:pPr>
      <w:r>
        <w:rPr>
          <w:rFonts w:hint="eastAsia" w:ascii="宋体" w:hAnsi="宋体" w:cs="宋体"/>
          <w:bCs/>
          <w:sz w:val="24"/>
        </w:rPr>
        <w:t xml:space="preserve">（3）抓好公寓公共卫生和宿舍内务卫生工作，并进行督促、检查、评比。 </w:t>
      </w:r>
    </w:p>
    <w:p w14:paraId="2B0EB2BB">
      <w:pPr>
        <w:widowControl/>
        <w:spacing w:line="500" w:lineRule="exact"/>
        <w:jc w:val="left"/>
        <w:rPr>
          <w:rFonts w:ascii="宋体" w:hAnsi="宋体" w:cs="宋体"/>
          <w:bCs/>
          <w:sz w:val="24"/>
        </w:rPr>
      </w:pPr>
      <w:r>
        <w:rPr>
          <w:rFonts w:hint="eastAsia" w:ascii="宋体" w:hAnsi="宋体" w:cs="宋体"/>
          <w:bCs/>
          <w:sz w:val="24"/>
        </w:rPr>
        <w:t xml:space="preserve">（4）确保全楼的水、电、空调、门窗以及其他设备、设施的正常使用，有损坏的及时报修、维修、落实工作。 </w:t>
      </w:r>
    </w:p>
    <w:p w14:paraId="59C94F34">
      <w:pPr>
        <w:widowControl/>
        <w:spacing w:line="500" w:lineRule="exact"/>
        <w:jc w:val="left"/>
        <w:rPr>
          <w:rFonts w:ascii="宋体" w:hAnsi="宋体" w:cs="宋体"/>
          <w:bCs/>
          <w:sz w:val="24"/>
        </w:rPr>
      </w:pPr>
      <w:r>
        <w:rPr>
          <w:rFonts w:hint="eastAsia" w:ascii="宋体" w:hAnsi="宋体" w:cs="宋体"/>
          <w:bCs/>
          <w:sz w:val="24"/>
        </w:rPr>
        <w:t xml:space="preserve">（5）负责安全管理工作，定期检查公寓的安全设施（门，通道，指示灯，指示标，监控，电闸箱，手电，喇叭，应急灯，吹风室等各种电器）和消防器 材、抽查学生宿舍内的违禁用品（体育器械，牌类，棋类，易燃易爆，刀 具等），消除安全隐患。 </w:t>
      </w:r>
    </w:p>
    <w:p w14:paraId="3DD1BD6C">
      <w:pPr>
        <w:widowControl/>
        <w:spacing w:line="500" w:lineRule="exact"/>
        <w:jc w:val="left"/>
        <w:rPr>
          <w:rFonts w:ascii="宋体" w:hAnsi="宋体" w:cs="宋体"/>
          <w:bCs/>
          <w:sz w:val="24"/>
        </w:rPr>
      </w:pPr>
      <w:r>
        <w:rPr>
          <w:rFonts w:hint="eastAsia" w:ascii="宋体" w:hAnsi="宋体" w:cs="宋体"/>
          <w:bCs/>
          <w:sz w:val="24"/>
        </w:rPr>
        <w:t xml:space="preserve">（6）做好夜间值班工作，处理好公寓的突发事件。如发生突发事件，及时第一时间到现场处理，并向公寓负责人汇报情况。 </w:t>
      </w:r>
    </w:p>
    <w:p w14:paraId="22C6E186">
      <w:pPr>
        <w:widowControl/>
        <w:spacing w:line="500" w:lineRule="exact"/>
        <w:jc w:val="left"/>
        <w:rPr>
          <w:rFonts w:ascii="宋体" w:hAnsi="宋体" w:cs="宋体"/>
          <w:bCs/>
          <w:sz w:val="24"/>
        </w:rPr>
      </w:pPr>
      <w:r>
        <w:rPr>
          <w:rFonts w:hint="eastAsia" w:ascii="宋体" w:hAnsi="宋体" w:cs="宋体"/>
          <w:bCs/>
          <w:sz w:val="24"/>
        </w:rPr>
        <w:t xml:space="preserve">（7）统筹管理本栋楼的各项工作，提高成员凝聚力，保证楼层各项工作顺利开展和实施，并做好工作计划、总结和反馈工作，及时总结本楼工作中成功与失败的案例。 </w:t>
      </w:r>
    </w:p>
    <w:p w14:paraId="3BB1E342">
      <w:pPr>
        <w:widowControl/>
        <w:spacing w:line="500" w:lineRule="exact"/>
        <w:jc w:val="left"/>
        <w:rPr>
          <w:rFonts w:ascii="宋体" w:hAnsi="宋体" w:cs="宋体"/>
          <w:bCs/>
          <w:sz w:val="24"/>
        </w:rPr>
      </w:pPr>
      <w:r>
        <w:rPr>
          <w:rFonts w:hint="eastAsia" w:ascii="宋体" w:hAnsi="宋体" w:cs="宋体"/>
          <w:bCs/>
          <w:sz w:val="24"/>
        </w:rPr>
        <w:t xml:space="preserve">（8）协助层长、公寓办公室处理学生违纪行为。作好日常工作的记录，完成公寓办公室交给的临时任务。 </w:t>
      </w:r>
    </w:p>
    <w:p w14:paraId="1CF19F1D">
      <w:pPr>
        <w:widowControl/>
        <w:spacing w:line="500" w:lineRule="exact"/>
        <w:jc w:val="left"/>
        <w:rPr>
          <w:rFonts w:ascii="宋体" w:hAnsi="宋体" w:cs="宋体"/>
          <w:bCs/>
          <w:sz w:val="24"/>
        </w:rPr>
      </w:pPr>
      <w:r>
        <w:rPr>
          <w:rFonts w:hint="eastAsia" w:ascii="宋体" w:hAnsi="宋体" w:cs="宋体"/>
          <w:bCs/>
          <w:sz w:val="24"/>
        </w:rPr>
        <w:t>（9）值</w:t>
      </w:r>
      <w:r>
        <w:rPr>
          <w:rFonts w:ascii="宋体" w:hAnsi="宋体" w:cs="宋体"/>
          <w:bCs/>
          <w:sz w:val="24"/>
        </w:rPr>
        <w:t>班</w:t>
      </w:r>
      <w:r>
        <w:rPr>
          <w:rFonts w:hint="eastAsia" w:ascii="宋体" w:hAnsi="宋体" w:cs="宋体"/>
          <w:bCs/>
          <w:sz w:val="24"/>
        </w:rPr>
        <w:t>宿管员与学生同住学生公寓，提供全</w:t>
      </w:r>
      <w:r>
        <w:rPr>
          <w:rFonts w:ascii="宋体" w:hAnsi="宋体" w:cs="宋体"/>
          <w:bCs/>
          <w:sz w:val="24"/>
        </w:rPr>
        <w:t>天服务</w:t>
      </w:r>
      <w:r>
        <w:rPr>
          <w:rFonts w:hint="eastAsia" w:ascii="宋体" w:hAnsi="宋体" w:cs="宋体"/>
          <w:bCs/>
          <w:sz w:val="24"/>
        </w:rPr>
        <w:t>。</w:t>
      </w:r>
    </w:p>
    <w:p w14:paraId="527830D3">
      <w:pPr>
        <w:widowControl/>
        <w:spacing w:line="500" w:lineRule="exact"/>
        <w:jc w:val="left"/>
        <w:rPr>
          <w:rFonts w:ascii="宋体" w:hAnsi="宋体" w:cs="宋体"/>
          <w:bCs/>
          <w:sz w:val="24"/>
        </w:rPr>
      </w:pPr>
      <w:r>
        <w:rPr>
          <w:rFonts w:hint="eastAsia" w:ascii="宋体" w:hAnsi="宋体" w:cs="宋体"/>
          <w:bCs/>
          <w:sz w:val="24"/>
        </w:rPr>
        <w:t xml:space="preserve">（10）完成学院领导及公司领导交办的其他工作任务。 </w:t>
      </w:r>
    </w:p>
    <w:p w14:paraId="5A99B50F">
      <w:pPr>
        <w:widowControl/>
        <w:spacing w:line="500" w:lineRule="exact"/>
        <w:ind w:firstLine="240" w:firstLineChars="100"/>
        <w:rPr>
          <w:rFonts w:ascii="宋体" w:hAnsi="宋体" w:cs="宋体"/>
          <w:bCs/>
          <w:sz w:val="24"/>
        </w:rPr>
      </w:pPr>
      <w:r>
        <w:rPr>
          <w:rFonts w:hint="eastAsia" w:ascii="宋体" w:hAnsi="宋体" w:cs="宋体"/>
          <w:bCs/>
          <w:sz w:val="24"/>
        </w:rPr>
        <w:t>4.夜班宿管员岗位职责</w:t>
      </w:r>
    </w:p>
    <w:p w14:paraId="54CE7273">
      <w:pPr>
        <w:widowControl/>
        <w:spacing w:line="500" w:lineRule="exact"/>
        <w:jc w:val="left"/>
        <w:rPr>
          <w:rFonts w:ascii="宋体" w:hAnsi="宋体" w:cs="宋体"/>
          <w:bCs/>
          <w:sz w:val="24"/>
        </w:rPr>
      </w:pPr>
      <w:r>
        <w:rPr>
          <w:rFonts w:hint="eastAsia" w:ascii="宋体" w:hAnsi="宋体" w:cs="宋体"/>
          <w:bCs/>
          <w:sz w:val="24"/>
        </w:rPr>
        <w:t xml:space="preserve">（1）做好学生入住前的宿舍清理工作。 </w:t>
      </w:r>
    </w:p>
    <w:p w14:paraId="51F163F1">
      <w:pPr>
        <w:widowControl/>
        <w:spacing w:line="500" w:lineRule="exact"/>
        <w:jc w:val="left"/>
        <w:rPr>
          <w:rFonts w:ascii="宋体" w:hAnsi="宋体" w:cs="宋体"/>
          <w:bCs/>
          <w:sz w:val="24"/>
        </w:rPr>
      </w:pPr>
      <w:r>
        <w:rPr>
          <w:rFonts w:hint="eastAsia" w:ascii="宋体" w:hAnsi="宋体" w:cs="宋体"/>
          <w:bCs/>
          <w:sz w:val="24"/>
        </w:rPr>
        <w:t xml:space="preserve">（2）开学初掌握住宿学生床位表，准备《温馨提示单》、《个人信息表》、《住宿协议》、《住宿安全承诺书》、《入住指南》等各项资料。 </w:t>
      </w:r>
    </w:p>
    <w:p w14:paraId="2485356A">
      <w:pPr>
        <w:widowControl/>
        <w:spacing w:line="500" w:lineRule="exact"/>
        <w:jc w:val="left"/>
        <w:rPr>
          <w:rFonts w:ascii="宋体" w:hAnsi="宋体" w:cs="宋体"/>
          <w:bCs/>
          <w:sz w:val="24"/>
        </w:rPr>
      </w:pPr>
      <w:r>
        <w:rPr>
          <w:rFonts w:hint="eastAsia" w:ascii="宋体" w:hAnsi="宋体" w:cs="宋体"/>
          <w:bCs/>
          <w:sz w:val="24"/>
        </w:rPr>
        <w:t xml:space="preserve">（3）开学一个月内，宿管员需要掌握所辖宿舍的学生信息，并考核。 </w:t>
      </w:r>
    </w:p>
    <w:p w14:paraId="66A78859">
      <w:pPr>
        <w:widowControl/>
        <w:spacing w:line="500" w:lineRule="exact"/>
        <w:jc w:val="left"/>
        <w:rPr>
          <w:rFonts w:ascii="宋体" w:hAnsi="宋体" w:cs="宋体"/>
          <w:bCs/>
          <w:sz w:val="24"/>
        </w:rPr>
      </w:pPr>
      <w:r>
        <w:rPr>
          <w:rFonts w:hint="eastAsia" w:ascii="宋体" w:hAnsi="宋体" w:cs="宋体"/>
          <w:bCs/>
          <w:sz w:val="24"/>
        </w:rPr>
        <w:t xml:space="preserve">（4）做好熄灯前后的巡视、督查，及纪律检查工作。 </w:t>
      </w:r>
    </w:p>
    <w:p w14:paraId="53EF0AC5">
      <w:pPr>
        <w:widowControl/>
        <w:spacing w:line="500" w:lineRule="exact"/>
        <w:jc w:val="left"/>
        <w:rPr>
          <w:rFonts w:ascii="宋体" w:hAnsi="宋体" w:cs="宋体"/>
          <w:bCs/>
          <w:sz w:val="24"/>
        </w:rPr>
      </w:pPr>
      <w:r>
        <w:rPr>
          <w:rFonts w:hint="eastAsia" w:ascii="宋体" w:hAnsi="宋体" w:cs="宋体"/>
          <w:bCs/>
          <w:sz w:val="24"/>
        </w:rPr>
        <w:t xml:space="preserve">（5）负责宿舍的安全、纪律和卫生的管理，每天深入宿舍清点人数并上报办公室，督促学生按时休息，解决出现的各种问题，做好记录。 </w:t>
      </w:r>
    </w:p>
    <w:p w14:paraId="506633BE">
      <w:pPr>
        <w:widowControl/>
        <w:spacing w:line="500" w:lineRule="exact"/>
        <w:jc w:val="left"/>
        <w:rPr>
          <w:rFonts w:ascii="宋体" w:hAnsi="宋体" w:cs="宋体"/>
          <w:bCs/>
          <w:sz w:val="24"/>
        </w:rPr>
      </w:pPr>
      <w:r>
        <w:rPr>
          <w:rFonts w:hint="eastAsia" w:ascii="宋体" w:hAnsi="宋体" w:cs="宋体"/>
          <w:bCs/>
          <w:sz w:val="24"/>
        </w:rPr>
        <w:t xml:space="preserve">（6）教育学生自觉遵守《住宿一日生活规范》和《住宿安全管理规定》，自觉维护宿舍秩序。 </w:t>
      </w:r>
    </w:p>
    <w:p w14:paraId="440C641B">
      <w:pPr>
        <w:widowControl/>
        <w:spacing w:line="500" w:lineRule="exact"/>
        <w:jc w:val="left"/>
        <w:rPr>
          <w:rFonts w:ascii="宋体" w:hAnsi="宋体" w:cs="宋体"/>
          <w:bCs/>
          <w:sz w:val="24"/>
        </w:rPr>
      </w:pPr>
      <w:r>
        <w:rPr>
          <w:rFonts w:hint="eastAsia" w:ascii="宋体" w:hAnsi="宋体" w:cs="宋体"/>
          <w:bCs/>
          <w:sz w:val="24"/>
        </w:rPr>
        <w:t>（7）对学生宿舍中的困难、生病或突发事件，视视情节及时通知值班老师。</w:t>
      </w:r>
    </w:p>
    <w:p w14:paraId="5923E14E">
      <w:pPr>
        <w:widowControl/>
        <w:spacing w:line="500" w:lineRule="exact"/>
        <w:jc w:val="left"/>
        <w:rPr>
          <w:rFonts w:ascii="宋体" w:hAnsi="宋体" w:cs="宋体"/>
          <w:bCs/>
          <w:sz w:val="24"/>
        </w:rPr>
      </w:pPr>
      <w:r>
        <w:rPr>
          <w:rFonts w:hint="eastAsia" w:ascii="宋体" w:hAnsi="宋体" w:cs="宋体"/>
          <w:bCs/>
          <w:sz w:val="24"/>
        </w:rPr>
        <w:t xml:space="preserve">（8）早上督促学生按时离宿，做好房间的卫生检查评比工作。 </w:t>
      </w:r>
    </w:p>
    <w:p w14:paraId="30E239E2">
      <w:pPr>
        <w:widowControl/>
        <w:spacing w:line="500" w:lineRule="exact"/>
        <w:jc w:val="left"/>
        <w:rPr>
          <w:rFonts w:ascii="宋体" w:hAnsi="宋体" w:cs="宋体"/>
          <w:bCs/>
          <w:sz w:val="24"/>
        </w:rPr>
      </w:pPr>
      <w:r>
        <w:rPr>
          <w:rFonts w:hint="eastAsia" w:ascii="宋体" w:hAnsi="宋体" w:cs="宋体"/>
          <w:bCs/>
          <w:sz w:val="24"/>
        </w:rPr>
        <w:t>（9）遵守各项规章制度，工作期间不准擅自离岗，不做与工作无关的事情。</w:t>
      </w:r>
    </w:p>
    <w:p w14:paraId="6780C6C0">
      <w:pPr>
        <w:widowControl/>
        <w:spacing w:line="500" w:lineRule="exact"/>
        <w:jc w:val="left"/>
        <w:rPr>
          <w:rFonts w:ascii="宋体" w:hAnsi="宋体" w:cs="宋体"/>
          <w:bCs/>
          <w:sz w:val="24"/>
        </w:rPr>
      </w:pPr>
      <w:r>
        <w:rPr>
          <w:rFonts w:hint="eastAsia" w:ascii="宋体" w:hAnsi="宋体" w:cs="宋体"/>
          <w:bCs/>
          <w:sz w:val="24"/>
        </w:rPr>
        <w:t xml:space="preserve">（10）完成学院领导及公司领导交办的其他工作任务。 </w:t>
      </w:r>
    </w:p>
    <w:p w14:paraId="11DC249D">
      <w:pPr>
        <w:widowControl/>
        <w:spacing w:line="500" w:lineRule="exact"/>
        <w:ind w:firstLine="240" w:firstLineChars="100"/>
        <w:jc w:val="left"/>
        <w:rPr>
          <w:rFonts w:ascii="宋体" w:hAnsi="宋体" w:cs="宋体"/>
          <w:bCs/>
          <w:sz w:val="24"/>
        </w:rPr>
      </w:pPr>
      <w:r>
        <w:rPr>
          <w:rFonts w:hint="eastAsia" w:ascii="宋体" w:hAnsi="宋体" w:cs="宋体"/>
          <w:bCs/>
          <w:sz w:val="24"/>
        </w:rPr>
        <w:t>5.白班宿管员岗位职责</w:t>
      </w:r>
    </w:p>
    <w:p w14:paraId="16EEFE74">
      <w:pPr>
        <w:widowControl/>
        <w:spacing w:line="500" w:lineRule="exact"/>
        <w:jc w:val="left"/>
        <w:rPr>
          <w:rFonts w:ascii="宋体" w:hAnsi="宋体" w:cs="宋体"/>
          <w:bCs/>
          <w:sz w:val="24"/>
        </w:rPr>
      </w:pPr>
      <w:r>
        <w:rPr>
          <w:rFonts w:hint="eastAsia" w:ascii="宋体" w:hAnsi="宋体" w:cs="宋体"/>
          <w:bCs/>
          <w:sz w:val="24"/>
        </w:rPr>
        <w:t xml:space="preserve">（1）做好公寓白天的人、财、物的安全保卫及卫生保洁工作。 </w:t>
      </w:r>
    </w:p>
    <w:p w14:paraId="07E4779C">
      <w:pPr>
        <w:widowControl/>
        <w:spacing w:line="500" w:lineRule="exact"/>
        <w:jc w:val="left"/>
        <w:rPr>
          <w:rFonts w:ascii="宋体" w:hAnsi="宋体" w:cs="宋体"/>
          <w:bCs/>
          <w:sz w:val="24"/>
        </w:rPr>
      </w:pPr>
      <w:r>
        <w:rPr>
          <w:rFonts w:hint="eastAsia" w:ascii="宋体" w:hAnsi="宋体" w:cs="宋体"/>
          <w:bCs/>
          <w:sz w:val="24"/>
        </w:rPr>
        <w:t xml:space="preserve">（2）负责各楼层的水、电的安全管理，以及学生个人物品的存取工作，同时做好所负责楼层的各种公共设施卫生清理检查工作。（卫生区域包括：爱心室内设备设施、公厕、淋浴间、饮水机、电脑、窗台、楼梯、楼梯扶手、 楼道两侧墙面等。） </w:t>
      </w:r>
    </w:p>
    <w:p w14:paraId="202C3965">
      <w:pPr>
        <w:widowControl/>
        <w:spacing w:line="500" w:lineRule="exact"/>
        <w:jc w:val="left"/>
        <w:rPr>
          <w:rFonts w:ascii="宋体" w:hAnsi="宋体" w:cs="宋体"/>
          <w:bCs/>
          <w:sz w:val="24"/>
        </w:rPr>
      </w:pPr>
      <w:r>
        <w:rPr>
          <w:rFonts w:hint="eastAsia" w:ascii="宋体" w:hAnsi="宋体" w:cs="宋体"/>
          <w:bCs/>
          <w:sz w:val="24"/>
        </w:rPr>
        <w:t xml:space="preserve">（3）坚守岗位，不擅离岗位，上楼巡视，要锁好大门，带好手机，将自己的联系方式贴在大门上。 </w:t>
      </w:r>
    </w:p>
    <w:p w14:paraId="22D333FC">
      <w:pPr>
        <w:widowControl/>
        <w:spacing w:line="500" w:lineRule="exact"/>
        <w:jc w:val="left"/>
        <w:rPr>
          <w:rFonts w:ascii="宋体" w:hAnsi="宋体" w:cs="宋体"/>
          <w:bCs/>
          <w:sz w:val="24"/>
        </w:rPr>
      </w:pPr>
      <w:r>
        <w:rPr>
          <w:rFonts w:hint="eastAsia" w:ascii="宋体" w:hAnsi="宋体" w:cs="宋体"/>
          <w:bCs/>
          <w:sz w:val="24"/>
        </w:rPr>
        <w:t xml:space="preserve">（4）当班时间内必须精力集中，做好课间进出公寓的学生及外来人员的询问检查工作，并做好登记。 </w:t>
      </w:r>
    </w:p>
    <w:p w14:paraId="1D6B9CD5">
      <w:pPr>
        <w:widowControl/>
        <w:spacing w:line="500" w:lineRule="exact"/>
        <w:jc w:val="left"/>
        <w:rPr>
          <w:rFonts w:ascii="宋体" w:hAnsi="宋体" w:cs="宋体"/>
          <w:bCs/>
          <w:sz w:val="24"/>
        </w:rPr>
      </w:pPr>
      <w:r>
        <w:rPr>
          <w:rFonts w:hint="eastAsia" w:ascii="宋体" w:hAnsi="宋体" w:cs="宋体"/>
          <w:bCs/>
          <w:sz w:val="24"/>
        </w:rPr>
        <w:t xml:space="preserve">（5）接听学生的请假电话和接收学生的请假条并及时转交给楼层值班辅导员。传达公寓办公室下达的工作提示，做好白班的检查记录。 </w:t>
      </w:r>
    </w:p>
    <w:p w14:paraId="4B52F079">
      <w:pPr>
        <w:widowControl/>
        <w:spacing w:line="500" w:lineRule="exact"/>
        <w:jc w:val="left"/>
        <w:rPr>
          <w:rFonts w:ascii="宋体" w:hAnsi="宋体" w:cs="宋体"/>
          <w:bCs/>
          <w:sz w:val="24"/>
        </w:rPr>
      </w:pPr>
      <w:r>
        <w:rPr>
          <w:rFonts w:hint="eastAsia" w:ascii="宋体" w:hAnsi="宋体" w:cs="宋体"/>
          <w:bCs/>
          <w:sz w:val="24"/>
        </w:rPr>
        <w:t xml:space="preserve">（6）上级来检查或参观，及时向负责人汇报。外来人员一律先电话核实后登记。 </w:t>
      </w:r>
    </w:p>
    <w:p w14:paraId="39B1D76C">
      <w:pPr>
        <w:widowControl/>
        <w:spacing w:line="500" w:lineRule="exact"/>
        <w:jc w:val="left"/>
        <w:rPr>
          <w:rFonts w:ascii="宋体" w:hAnsi="宋体" w:cs="宋体"/>
          <w:bCs/>
          <w:sz w:val="24"/>
        </w:rPr>
      </w:pPr>
      <w:r>
        <w:rPr>
          <w:rFonts w:hint="eastAsia" w:ascii="宋体" w:hAnsi="宋体" w:cs="宋体"/>
          <w:bCs/>
          <w:sz w:val="24"/>
        </w:rPr>
        <w:t xml:space="preserve">（7）负责公寓学生洗衣工作，做好记录，同时做好与晚班宿管员的交接工作。 </w:t>
      </w:r>
    </w:p>
    <w:p w14:paraId="11A055DB">
      <w:pPr>
        <w:widowControl/>
        <w:spacing w:line="500" w:lineRule="exact"/>
        <w:jc w:val="left"/>
        <w:rPr>
          <w:rFonts w:ascii="宋体" w:hAnsi="宋体" w:cs="宋体"/>
          <w:bCs/>
          <w:sz w:val="24"/>
        </w:rPr>
      </w:pPr>
      <w:r>
        <w:rPr>
          <w:rFonts w:hint="eastAsia" w:ascii="宋体" w:hAnsi="宋体" w:cs="宋体"/>
          <w:bCs/>
          <w:sz w:val="24"/>
        </w:rPr>
        <w:t xml:space="preserve">（8）白班与晚班做好交接工作，解决晚班遗留问题（如报修，维修，学生生病休息等）。有问题及时联系当事人。 </w:t>
      </w:r>
    </w:p>
    <w:p w14:paraId="24BAC992">
      <w:pPr>
        <w:widowControl/>
        <w:spacing w:line="500" w:lineRule="exact"/>
        <w:jc w:val="left"/>
        <w:rPr>
          <w:rFonts w:ascii="宋体" w:hAnsi="宋体" w:cs="宋体"/>
          <w:bCs/>
          <w:sz w:val="24"/>
        </w:rPr>
      </w:pPr>
      <w:r>
        <w:rPr>
          <w:rFonts w:hint="eastAsia" w:ascii="宋体" w:hAnsi="宋体" w:cs="宋体"/>
          <w:bCs/>
          <w:sz w:val="24"/>
        </w:rPr>
        <w:t xml:space="preserve">（9）每日对公共区域进行擦拭消毒。 </w:t>
      </w:r>
    </w:p>
    <w:p w14:paraId="6044ADC1">
      <w:pPr>
        <w:widowControl/>
        <w:spacing w:line="500" w:lineRule="exact"/>
        <w:jc w:val="left"/>
        <w:rPr>
          <w:rFonts w:ascii="宋体" w:hAnsi="宋体" w:cs="宋体"/>
          <w:bCs/>
          <w:sz w:val="24"/>
        </w:rPr>
      </w:pPr>
      <w:r>
        <w:rPr>
          <w:rFonts w:hint="eastAsia" w:ascii="宋体" w:hAnsi="宋体" w:cs="宋体"/>
          <w:bCs/>
          <w:sz w:val="24"/>
        </w:rPr>
        <w:t xml:space="preserve">（10）中午加强各楼层的巡视工作，禁止做影响其他同学正常休息的事情；提示午休同学按时起床，离宿后对宿舍卫生进行检查，不漏查。 </w:t>
      </w:r>
    </w:p>
    <w:p w14:paraId="3E168682">
      <w:pPr>
        <w:widowControl/>
        <w:spacing w:line="500" w:lineRule="exact"/>
        <w:jc w:val="left"/>
        <w:rPr>
          <w:rFonts w:ascii="宋体" w:hAnsi="宋体" w:cs="宋体"/>
          <w:bCs/>
          <w:sz w:val="24"/>
        </w:rPr>
      </w:pPr>
      <w:r>
        <w:rPr>
          <w:rFonts w:hint="eastAsia" w:ascii="宋体" w:hAnsi="宋体" w:cs="宋体"/>
          <w:bCs/>
          <w:sz w:val="24"/>
        </w:rPr>
        <w:t>（11）完成学院领导及公司领导交办的其他工作任务。</w:t>
      </w:r>
    </w:p>
    <w:p w14:paraId="51F89BE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ind w:firstLine="120" w:firstLineChars="50"/>
        <w:jc w:val="left"/>
        <w:rPr>
          <w:rFonts w:ascii="宋体" w:hAnsi="宋体" w:cs="宋体"/>
          <w:bCs/>
          <w:sz w:val="24"/>
        </w:rPr>
      </w:pPr>
      <w:r>
        <w:rPr>
          <w:rFonts w:hint="eastAsia" w:ascii="宋体" w:hAnsi="宋体" w:cs="宋体"/>
          <w:bCs/>
          <w:sz w:val="24"/>
        </w:rPr>
        <w:t>6．保洁员岗位职责</w:t>
      </w:r>
    </w:p>
    <w:p w14:paraId="719898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熟悉学生公</w:t>
      </w:r>
      <w:r>
        <w:rPr>
          <w:rFonts w:ascii="宋体" w:hAnsi="宋体" w:cs="宋体"/>
          <w:bCs/>
          <w:sz w:val="24"/>
        </w:rPr>
        <w:t>寓</w:t>
      </w:r>
      <w:r>
        <w:rPr>
          <w:rFonts w:hint="eastAsia" w:ascii="宋体" w:hAnsi="宋体" w:cs="宋体"/>
          <w:bCs/>
          <w:sz w:val="24"/>
        </w:rPr>
        <w:t>的管理制度，在学生宿舍管理员的领导下，负责本责任区内公共卫生的保洁、安全和公共设施的管理与报修工作。</w:t>
      </w:r>
    </w:p>
    <w:p w14:paraId="3FB8A1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（2</w:t>
      </w:r>
      <w:r>
        <w:rPr>
          <w:rFonts w:ascii="宋体" w:hAnsi="宋体" w:cs="宋体"/>
          <w:bCs/>
          <w:sz w:val="24"/>
        </w:rPr>
        <w:t>）</w:t>
      </w:r>
      <w:r>
        <w:rPr>
          <w:rFonts w:hint="eastAsia" w:ascii="宋体" w:hAnsi="宋体" w:cs="宋体"/>
          <w:bCs/>
          <w:sz w:val="24"/>
        </w:rPr>
        <w:t>楼道、楼梯、卫生间等责任区，每日上、下午</w:t>
      </w:r>
      <w:r>
        <w:rPr>
          <w:rFonts w:ascii="宋体" w:hAnsi="宋体" w:cs="宋体"/>
          <w:bCs/>
          <w:sz w:val="24"/>
        </w:rPr>
        <w:t>全部</w:t>
      </w:r>
      <w:r>
        <w:rPr>
          <w:rFonts w:hint="eastAsia" w:ascii="宋体" w:hAnsi="宋体" w:cs="宋体"/>
          <w:bCs/>
          <w:sz w:val="24"/>
        </w:rPr>
        <w:t>清扫一次，要做到责任区地面干净、无杂物、无痰迹、无积水、无异味、上下水道畅通。</w:t>
      </w:r>
    </w:p>
    <w:p w14:paraId="47A4D0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（3</w:t>
      </w:r>
      <w:r>
        <w:rPr>
          <w:rFonts w:ascii="宋体" w:hAnsi="宋体" w:cs="宋体"/>
          <w:bCs/>
          <w:sz w:val="24"/>
        </w:rPr>
        <w:t>）</w:t>
      </w:r>
      <w:r>
        <w:rPr>
          <w:rFonts w:hint="eastAsia" w:ascii="宋体" w:hAnsi="宋体" w:cs="宋体"/>
          <w:bCs/>
          <w:sz w:val="24"/>
        </w:rPr>
        <w:t>对所负责的公共卫生区域的墙壁、门窗等要经常进行擦拭，保持清洁明亮。</w:t>
      </w:r>
    </w:p>
    <w:p w14:paraId="5DC47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（4</w:t>
      </w:r>
      <w:r>
        <w:rPr>
          <w:rFonts w:ascii="宋体" w:hAnsi="宋体" w:cs="宋体"/>
          <w:bCs/>
          <w:sz w:val="24"/>
        </w:rPr>
        <w:t>）</w:t>
      </w:r>
      <w:r>
        <w:rPr>
          <w:rFonts w:hint="eastAsia" w:ascii="宋体" w:hAnsi="宋体" w:cs="宋体"/>
          <w:bCs/>
          <w:sz w:val="24"/>
        </w:rPr>
        <w:t>按</w:t>
      </w:r>
      <w:r>
        <w:rPr>
          <w:rFonts w:ascii="宋体" w:hAnsi="宋体" w:cs="宋体"/>
          <w:bCs/>
          <w:sz w:val="24"/>
        </w:rPr>
        <w:t>照防疫要求，对</w:t>
      </w:r>
      <w:r>
        <w:rPr>
          <w:rFonts w:hint="eastAsia" w:ascii="宋体" w:hAnsi="宋体" w:cs="宋体"/>
          <w:bCs/>
          <w:sz w:val="24"/>
        </w:rPr>
        <w:t>学</w:t>
      </w:r>
      <w:r>
        <w:rPr>
          <w:rFonts w:ascii="宋体" w:hAnsi="宋体" w:cs="宋体"/>
          <w:bCs/>
          <w:sz w:val="24"/>
        </w:rPr>
        <w:t>生公</w:t>
      </w:r>
      <w:r>
        <w:rPr>
          <w:rFonts w:hint="eastAsia" w:ascii="宋体" w:hAnsi="宋体" w:cs="宋体"/>
          <w:bCs/>
          <w:sz w:val="24"/>
        </w:rPr>
        <w:t>寓</w:t>
      </w:r>
      <w:r>
        <w:rPr>
          <w:rFonts w:ascii="宋体" w:hAnsi="宋体" w:cs="宋体"/>
          <w:bCs/>
          <w:sz w:val="24"/>
        </w:rPr>
        <w:t>进行通风、消毒</w:t>
      </w:r>
      <w:r>
        <w:rPr>
          <w:rFonts w:hint="eastAsia" w:ascii="宋体" w:hAnsi="宋体" w:cs="宋体"/>
          <w:bCs/>
          <w:sz w:val="24"/>
        </w:rPr>
        <w:t>等</w:t>
      </w:r>
      <w:r>
        <w:rPr>
          <w:rFonts w:ascii="宋体" w:hAnsi="宋体" w:cs="宋体"/>
          <w:bCs/>
          <w:sz w:val="24"/>
        </w:rPr>
        <w:t>工作</w:t>
      </w:r>
      <w:r>
        <w:rPr>
          <w:rFonts w:hint="eastAsia" w:ascii="宋体" w:hAnsi="宋体" w:cs="宋体"/>
          <w:bCs/>
          <w:sz w:val="24"/>
        </w:rPr>
        <w:t>。</w:t>
      </w:r>
    </w:p>
    <w:p w14:paraId="1F31F6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（5</w:t>
      </w:r>
      <w:r>
        <w:rPr>
          <w:rFonts w:ascii="宋体" w:hAnsi="宋体" w:cs="宋体"/>
          <w:bCs/>
          <w:sz w:val="24"/>
        </w:rPr>
        <w:t>）</w:t>
      </w:r>
      <w:r>
        <w:rPr>
          <w:rFonts w:hint="eastAsia" w:ascii="宋体" w:hAnsi="宋体" w:cs="宋体"/>
          <w:bCs/>
          <w:sz w:val="24"/>
        </w:rPr>
        <w:t>负责监督、检查责任区内的公共设施，灭火器材等完好情况，如发现损坏要及时报修，对人为损坏的要追究责任并及时报告。</w:t>
      </w:r>
    </w:p>
    <w:p w14:paraId="15EDBB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（6</w:t>
      </w:r>
      <w:r>
        <w:rPr>
          <w:rFonts w:ascii="宋体" w:hAnsi="宋体" w:cs="宋体"/>
          <w:bCs/>
          <w:sz w:val="24"/>
        </w:rPr>
        <w:t>）</w:t>
      </w:r>
      <w:r>
        <w:rPr>
          <w:rFonts w:hint="eastAsia" w:ascii="宋体" w:hAnsi="宋体" w:cs="宋体"/>
          <w:bCs/>
          <w:sz w:val="24"/>
        </w:rPr>
        <w:t>负责责任区的防火防盗工作。随时注意宿舍的安全状况，发现可疑人员和问题要立即向管理人员报告。</w:t>
      </w:r>
    </w:p>
    <w:p w14:paraId="46149A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（7</w:t>
      </w:r>
      <w:r>
        <w:rPr>
          <w:rFonts w:ascii="宋体" w:hAnsi="宋体" w:cs="宋体"/>
          <w:bCs/>
          <w:sz w:val="24"/>
        </w:rPr>
        <w:t>）</w:t>
      </w:r>
      <w:r>
        <w:rPr>
          <w:rFonts w:hint="eastAsia" w:ascii="宋体" w:hAnsi="宋体" w:cs="宋体"/>
          <w:bCs/>
          <w:sz w:val="24"/>
        </w:rPr>
        <w:t>负</w:t>
      </w:r>
      <w:r>
        <w:rPr>
          <w:rFonts w:ascii="宋体" w:hAnsi="宋体" w:cs="宋体"/>
          <w:bCs/>
          <w:sz w:val="24"/>
        </w:rPr>
        <w:t>责楼内垃圾分类</w:t>
      </w:r>
      <w:r>
        <w:rPr>
          <w:rFonts w:hint="eastAsia" w:ascii="宋体" w:hAnsi="宋体" w:cs="宋体"/>
          <w:bCs/>
          <w:sz w:val="24"/>
        </w:rPr>
        <w:t>工</w:t>
      </w:r>
      <w:r>
        <w:rPr>
          <w:rFonts w:ascii="宋体" w:hAnsi="宋体" w:cs="宋体"/>
          <w:bCs/>
          <w:sz w:val="24"/>
        </w:rPr>
        <w:t>作，</w:t>
      </w:r>
      <w:r>
        <w:rPr>
          <w:rFonts w:hint="eastAsia" w:ascii="宋体" w:hAnsi="宋体" w:cs="宋体"/>
          <w:bCs/>
          <w:sz w:val="24"/>
        </w:rPr>
        <w:t>并</w:t>
      </w:r>
      <w:r>
        <w:rPr>
          <w:rFonts w:ascii="宋体" w:hAnsi="宋体" w:cs="宋体"/>
          <w:bCs/>
          <w:sz w:val="24"/>
        </w:rPr>
        <w:t>及时清运到楼外指定地点。</w:t>
      </w:r>
    </w:p>
    <w:p w14:paraId="7F5260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00" w:lineRule="exact"/>
        <w:jc w:val="left"/>
        <w:rPr>
          <w:rFonts w:ascii="宋体" w:hAnsi="宋体" w:cs="宋体"/>
          <w:bCs/>
          <w:sz w:val="24"/>
        </w:rPr>
      </w:pPr>
      <w:r>
        <w:rPr>
          <w:rFonts w:hint="eastAsia" w:ascii="宋体" w:hAnsi="宋体" w:cs="宋体"/>
          <w:bCs/>
          <w:sz w:val="24"/>
        </w:rPr>
        <w:t>（8</w:t>
      </w:r>
      <w:r>
        <w:rPr>
          <w:rFonts w:ascii="宋体" w:hAnsi="宋体" w:cs="宋体"/>
          <w:bCs/>
          <w:sz w:val="24"/>
        </w:rPr>
        <w:t>）</w:t>
      </w:r>
      <w:r>
        <w:rPr>
          <w:rFonts w:hint="eastAsia" w:ascii="宋体" w:hAnsi="宋体" w:cs="宋体"/>
          <w:bCs/>
          <w:sz w:val="24"/>
        </w:rPr>
        <w:t>完成领导临时交办的工作。</w:t>
      </w:r>
    </w:p>
    <w:p w14:paraId="270A440B">
      <w:pPr>
        <w:spacing w:line="500" w:lineRule="exact"/>
        <w:ind w:firstLine="482" w:firstLineChars="200"/>
        <w:jc w:val="left"/>
        <w:rPr>
          <w:rFonts w:ascii="宋体" w:hAnsi="宋体" w:cs="宋体"/>
          <w:b/>
          <w:bCs/>
          <w:sz w:val="24"/>
        </w:rPr>
      </w:pPr>
      <w:r>
        <w:rPr>
          <w:rFonts w:hint="eastAsia" w:ascii="宋体" w:hAnsi="宋体" w:cs="宋体"/>
          <w:b/>
          <w:bCs/>
          <w:sz w:val="24"/>
        </w:rPr>
        <w:t>第五条  服务要</w:t>
      </w:r>
      <w:r>
        <w:rPr>
          <w:rFonts w:ascii="宋体" w:hAnsi="宋体" w:cs="宋体"/>
          <w:b/>
          <w:bCs/>
          <w:sz w:val="24"/>
        </w:rPr>
        <w:t>求</w:t>
      </w:r>
    </w:p>
    <w:p w14:paraId="185DE8AE">
      <w:pPr>
        <w:spacing w:line="500" w:lineRule="exact"/>
        <w:ind w:firstLine="480" w:firstLineChars="200"/>
        <w:jc w:val="left"/>
        <w:rPr>
          <w:rFonts w:ascii="宋体" w:hAnsi="宋体" w:cs="宋体"/>
          <w:bCs/>
          <w:sz w:val="24"/>
        </w:rPr>
      </w:pPr>
      <w:r>
        <w:rPr>
          <w:rFonts w:hint="eastAsia" w:ascii="宋体" w:hAnsi="宋体" w:cs="宋体"/>
          <w:bCs/>
          <w:sz w:val="24"/>
        </w:rPr>
        <w:t>（一）日常管理服务工</w:t>
      </w:r>
      <w:r>
        <w:rPr>
          <w:rFonts w:ascii="宋体" w:hAnsi="宋体" w:cs="宋体"/>
          <w:bCs/>
          <w:sz w:val="24"/>
        </w:rPr>
        <w:t>作</w:t>
      </w:r>
      <w:r>
        <w:rPr>
          <w:rFonts w:hint="eastAsia" w:ascii="宋体" w:hAnsi="宋体" w:cs="宋体"/>
          <w:bCs/>
          <w:sz w:val="24"/>
        </w:rPr>
        <w:t>要</w:t>
      </w:r>
      <w:r>
        <w:rPr>
          <w:rFonts w:ascii="宋体" w:hAnsi="宋体" w:cs="宋体"/>
          <w:bCs/>
          <w:sz w:val="24"/>
        </w:rPr>
        <w:t>求</w:t>
      </w:r>
    </w:p>
    <w:p w14:paraId="55CED0E1">
      <w:pPr>
        <w:spacing w:line="500" w:lineRule="exact"/>
        <w:ind w:firstLine="480" w:firstLineChars="200"/>
        <w:jc w:val="left"/>
        <w:rPr>
          <w:rFonts w:ascii="宋体" w:hAnsi="宋体" w:cs="宋体"/>
          <w:bCs/>
          <w:sz w:val="24"/>
        </w:rPr>
      </w:pPr>
      <w:r>
        <w:rPr>
          <w:rFonts w:hint="eastAsia" w:ascii="宋体" w:hAnsi="宋体" w:cs="宋体"/>
          <w:bCs/>
          <w:sz w:val="24"/>
        </w:rPr>
        <w:t>1.门厅值班室24小时值班。</w:t>
      </w:r>
    </w:p>
    <w:p w14:paraId="57389029">
      <w:pPr>
        <w:spacing w:line="500" w:lineRule="exact"/>
        <w:ind w:firstLine="480" w:firstLineChars="200"/>
        <w:jc w:val="left"/>
        <w:rPr>
          <w:rFonts w:ascii="宋体" w:hAnsi="宋体" w:cs="宋体"/>
          <w:bCs/>
          <w:sz w:val="24"/>
        </w:rPr>
      </w:pPr>
      <w:r>
        <w:rPr>
          <w:rFonts w:hint="eastAsia" w:ascii="宋体" w:hAnsi="宋体" w:cs="宋体"/>
          <w:bCs/>
          <w:sz w:val="24"/>
        </w:rPr>
        <w:t>2.周一至周日夜间查宿管理工作（</w:t>
      </w:r>
      <w:r>
        <w:rPr>
          <w:rFonts w:ascii="宋体" w:hAnsi="宋体" w:cs="宋体"/>
          <w:bCs/>
          <w:sz w:val="24"/>
        </w:rPr>
        <w:t>每晚统计</w:t>
      </w:r>
      <w:r>
        <w:rPr>
          <w:rFonts w:hint="eastAsia" w:ascii="宋体" w:hAnsi="宋体" w:cs="宋体"/>
          <w:bCs/>
          <w:sz w:val="24"/>
        </w:rPr>
        <w:t>夜不归</w:t>
      </w:r>
      <w:r>
        <w:rPr>
          <w:rFonts w:ascii="宋体" w:hAnsi="宋体" w:cs="宋体"/>
          <w:bCs/>
          <w:sz w:val="24"/>
        </w:rPr>
        <w:t>宿</w:t>
      </w:r>
      <w:r>
        <w:rPr>
          <w:rFonts w:hint="eastAsia" w:ascii="宋体" w:hAnsi="宋体" w:cs="宋体"/>
          <w:bCs/>
          <w:sz w:val="24"/>
        </w:rPr>
        <w:t>学生，</w:t>
      </w:r>
      <w:r>
        <w:rPr>
          <w:rFonts w:ascii="宋体" w:hAnsi="宋体" w:cs="宋体"/>
          <w:bCs/>
          <w:sz w:val="24"/>
        </w:rPr>
        <w:t>及时与学生公寓管理服务中心及二级学院沟通核实情况</w:t>
      </w:r>
      <w:r>
        <w:rPr>
          <w:rFonts w:hint="eastAsia" w:ascii="宋体" w:hAnsi="宋体" w:cs="宋体"/>
          <w:bCs/>
          <w:sz w:val="24"/>
        </w:rPr>
        <w:t>）。</w:t>
      </w:r>
    </w:p>
    <w:p w14:paraId="180F9A57">
      <w:pPr>
        <w:spacing w:line="500" w:lineRule="exact"/>
        <w:ind w:firstLine="480" w:firstLineChars="200"/>
        <w:jc w:val="left"/>
        <w:rPr>
          <w:rFonts w:ascii="宋体" w:hAnsi="宋体" w:cs="宋体"/>
          <w:bCs/>
          <w:sz w:val="24"/>
        </w:rPr>
      </w:pPr>
      <w:r>
        <w:rPr>
          <w:rFonts w:hint="eastAsia" w:ascii="宋体" w:hAnsi="宋体" w:cs="宋体"/>
          <w:bCs/>
          <w:sz w:val="24"/>
        </w:rPr>
        <w:t>3.公共区域24小时分时巡查；</w:t>
      </w:r>
      <w:r>
        <w:rPr>
          <w:rFonts w:ascii="宋体" w:hAnsi="宋体" w:cs="宋体"/>
          <w:bCs/>
          <w:sz w:val="24"/>
        </w:rPr>
        <w:t>正常教学期间每天</w:t>
      </w:r>
      <w:r>
        <w:rPr>
          <w:rFonts w:hint="eastAsia" w:ascii="宋体" w:hAnsi="宋体" w:cs="宋体"/>
          <w:bCs/>
          <w:sz w:val="24"/>
        </w:rPr>
        <w:t>对</w:t>
      </w:r>
      <w:r>
        <w:rPr>
          <w:rFonts w:ascii="宋体" w:hAnsi="宋体" w:cs="宋体"/>
          <w:bCs/>
          <w:sz w:val="24"/>
        </w:rPr>
        <w:t>学生宿舍</w:t>
      </w:r>
      <w:r>
        <w:rPr>
          <w:rFonts w:hint="eastAsia" w:ascii="宋体" w:hAnsi="宋体" w:cs="宋体"/>
          <w:bCs/>
          <w:sz w:val="24"/>
        </w:rPr>
        <w:t>卫生、安全、控烟等情况进行检查、督促、整改、上报。</w:t>
      </w:r>
    </w:p>
    <w:p w14:paraId="5EA6DABE">
      <w:pPr>
        <w:spacing w:line="500" w:lineRule="exact"/>
        <w:ind w:firstLine="480" w:firstLineChars="200"/>
        <w:jc w:val="left"/>
        <w:rPr>
          <w:rFonts w:ascii="宋体" w:hAnsi="宋体" w:cs="宋体"/>
          <w:bCs/>
          <w:sz w:val="24"/>
        </w:rPr>
      </w:pPr>
      <w:r>
        <w:rPr>
          <w:rFonts w:hint="eastAsia" w:ascii="宋体" w:hAnsi="宋体" w:cs="宋体"/>
          <w:bCs/>
          <w:sz w:val="24"/>
        </w:rPr>
        <w:t>4.</w:t>
      </w:r>
      <w:r>
        <w:rPr>
          <w:rFonts w:ascii="宋体" w:hAnsi="宋体" w:cs="宋体"/>
          <w:bCs/>
          <w:sz w:val="24"/>
        </w:rPr>
        <w:t>公寓内</w:t>
      </w:r>
      <w:r>
        <w:rPr>
          <w:rFonts w:hint="eastAsia" w:ascii="宋体" w:hAnsi="宋体" w:cs="宋体"/>
          <w:bCs/>
          <w:sz w:val="24"/>
        </w:rPr>
        <w:t>物品的管理及大件物品出门检查登记。</w:t>
      </w:r>
    </w:p>
    <w:p w14:paraId="6A254937">
      <w:pPr>
        <w:spacing w:line="500" w:lineRule="exact"/>
        <w:ind w:firstLine="480" w:firstLineChars="200"/>
        <w:jc w:val="left"/>
        <w:rPr>
          <w:rFonts w:ascii="宋体" w:hAnsi="宋体" w:cs="宋体"/>
          <w:bCs/>
          <w:sz w:val="24"/>
        </w:rPr>
      </w:pPr>
      <w:r>
        <w:rPr>
          <w:rFonts w:hint="eastAsia" w:ascii="宋体" w:hAnsi="宋体" w:cs="宋体"/>
          <w:bCs/>
          <w:sz w:val="24"/>
        </w:rPr>
        <w:t>5.楼内设施设备的统计、维护、检修上报、配合维修工作。</w:t>
      </w:r>
    </w:p>
    <w:p w14:paraId="64354DB6">
      <w:pPr>
        <w:spacing w:line="500" w:lineRule="exact"/>
        <w:ind w:firstLine="480" w:firstLineChars="200"/>
        <w:jc w:val="left"/>
        <w:rPr>
          <w:rFonts w:ascii="宋体" w:hAnsi="宋体" w:cs="宋体"/>
          <w:bCs/>
          <w:sz w:val="24"/>
        </w:rPr>
      </w:pPr>
      <w:r>
        <w:rPr>
          <w:rFonts w:hint="eastAsia" w:ascii="宋体" w:hAnsi="宋体" w:cs="宋体"/>
          <w:bCs/>
          <w:sz w:val="24"/>
        </w:rPr>
        <w:t>6.按照各二级学院集中、专业集中、班级集中的原则做好住宿安排；日常中途住宿、退宿、调宿；学院临时性检查、参观接待，大赛住宿安排。</w:t>
      </w:r>
    </w:p>
    <w:p w14:paraId="22CB6986">
      <w:pPr>
        <w:spacing w:line="500" w:lineRule="exact"/>
        <w:ind w:firstLine="480" w:firstLineChars="200"/>
        <w:jc w:val="left"/>
        <w:rPr>
          <w:rFonts w:ascii="宋体" w:hAnsi="宋体" w:cs="宋体"/>
          <w:bCs/>
          <w:sz w:val="24"/>
        </w:rPr>
      </w:pPr>
      <w:r>
        <w:rPr>
          <w:rFonts w:hint="eastAsia" w:ascii="宋体" w:hAnsi="宋体" w:cs="宋体"/>
          <w:bCs/>
          <w:sz w:val="24"/>
        </w:rPr>
        <w:t>7.</w:t>
      </w:r>
      <w:r>
        <w:rPr>
          <w:rFonts w:ascii="宋体" w:hAnsi="宋体" w:cs="宋体"/>
          <w:bCs/>
          <w:sz w:val="24"/>
        </w:rPr>
        <w:t>每月组织</w:t>
      </w:r>
      <w:r>
        <w:rPr>
          <w:rFonts w:hint="eastAsia" w:ascii="宋体" w:hAnsi="宋体" w:cs="宋体"/>
          <w:bCs/>
          <w:sz w:val="24"/>
        </w:rPr>
        <w:t>开展德智体美劳文化建设、宣传活动。</w:t>
      </w:r>
    </w:p>
    <w:p w14:paraId="29B298C7">
      <w:pPr>
        <w:spacing w:line="500" w:lineRule="exact"/>
        <w:ind w:firstLine="480" w:firstLineChars="200"/>
        <w:jc w:val="left"/>
        <w:rPr>
          <w:rFonts w:ascii="宋体" w:hAnsi="宋体" w:cs="宋体"/>
          <w:bCs/>
          <w:sz w:val="24"/>
        </w:rPr>
      </w:pPr>
      <w:r>
        <w:rPr>
          <w:rFonts w:hint="eastAsia" w:ascii="宋体" w:hAnsi="宋体" w:cs="宋体"/>
          <w:bCs/>
          <w:sz w:val="24"/>
        </w:rPr>
        <w:t>8.传染病防治和消毒工作，易传染源（宿舍内饲养猫、狗等宠物）检查处理工作。</w:t>
      </w:r>
    </w:p>
    <w:p w14:paraId="76E215BE">
      <w:pPr>
        <w:spacing w:line="500" w:lineRule="exact"/>
        <w:ind w:firstLine="480" w:firstLineChars="200"/>
        <w:jc w:val="left"/>
        <w:rPr>
          <w:rFonts w:ascii="宋体" w:hAnsi="宋体" w:cs="宋体"/>
          <w:bCs/>
          <w:sz w:val="24"/>
          <w:highlight w:val="yellow"/>
        </w:rPr>
      </w:pPr>
      <w:r>
        <w:rPr>
          <w:rFonts w:hint="eastAsia" w:ascii="宋体" w:hAnsi="宋体" w:cs="宋体"/>
          <w:bCs/>
          <w:sz w:val="24"/>
        </w:rPr>
        <w:t>9.开学前放假后</w:t>
      </w:r>
      <w:r>
        <w:rPr>
          <w:rFonts w:ascii="宋体" w:hAnsi="宋体" w:cs="宋体"/>
          <w:bCs/>
          <w:sz w:val="24"/>
        </w:rPr>
        <w:t>学生</w:t>
      </w:r>
      <w:r>
        <w:rPr>
          <w:rFonts w:hint="eastAsia" w:ascii="宋体" w:hAnsi="宋体" w:cs="宋体"/>
          <w:bCs/>
          <w:sz w:val="24"/>
        </w:rPr>
        <w:t>宿舍</w:t>
      </w:r>
      <w:r>
        <w:rPr>
          <w:rFonts w:ascii="宋体" w:hAnsi="宋体" w:cs="宋体"/>
          <w:bCs/>
          <w:sz w:val="24"/>
        </w:rPr>
        <w:t>内部</w:t>
      </w:r>
      <w:r>
        <w:rPr>
          <w:rFonts w:hint="eastAsia" w:ascii="宋体" w:hAnsi="宋体" w:cs="宋体"/>
          <w:bCs/>
          <w:sz w:val="24"/>
        </w:rPr>
        <w:t>的卫生保洁工作。</w:t>
      </w:r>
    </w:p>
    <w:p w14:paraId="5959A70A">
      <w:pPr>
        <w:spacing w:line="500" w:lineRule="exact"/>
        <w:ind w:firstLine="480" w:firstLineChars="200"/>
        <w:jc w:val="left"/>
        <w:rPr>
          <w:rFonts w:ascii="宋体" w:hAnsi="宋体" w:cs="宋体"/>
          <w:bCs/>
          <w:sz w:val="24"/>
        </w:rPr>
      </w:pPr>
      <w:r>
        <w:rPr>
          <w:rFonts w:hint="eastAsia" w:ascii="宋体" w:hAnsi="宋体" w:cs="宋体"/>
          <w:bCs/>
          <w:sz w:val="24"/>
        </w:rPr>
        <w:t>10.依据教委、学校文件制定“学生公寓消防应急预案”、“学生公寓突发事件处理预案”、“事件报告制度”“公寓安全、卫生、秩序管理规定”“项目部经理、主管、楼长、管理员”“工作流程”“记录存档”等各级公寓管理制度及“日常值班记录”“来客登记表”“查宿记录表”“学生不归、晚归记录表”“请假单”等日常管理表格，要求全体员工详知并严格遵照执行。</w:t>
      </w:r>
    </w:p>
    <w:p w14:paraId="5B456221">
      <w:pPr>
        <w:spacing w:line="500" w:lineRule="exact"/>
        <w:ind w:firstLine="480" w:firstLineChars="200"/>
        <w:jc w:val="left"/>
        <w:rPr>
          <w:rFonts w:ascii="宋体" w:hAnsi="宋体" w:cs="宋体"/>
          <w:bCs/>
          <w:sz w:val="24"/>
        </w:rPr>
      </w:pPr>
      <w:r>
        <w:rPr>
          <w:rFonts w:hint="eastAsia" w:ascii="宋体" w:hAnsi="宋体" w:cs="宋体"/>
          <w:bCs/>
          <w:sz w:val="24"/>
        </w:rPr>
        <w:t>11.每周至少检查一次学生宿舍安全用电及其他消防隐患，发现问题及时处置上报。</w:t>
      </w:r>
    </w:p>
    <w:p w14:paraId="7217C34C">
      <w:pPr>
        <w:spacing w:line="500" w:lineRule="exact"/>
        <w:ind w:firstLine="480" w:firstLineChars="200"/>
        <w:jc w:val="left"/>
        <w:rPr>
          <w:rFonts w:ascii="宋体" w:hAnsi="宋体" w:cs="宋体"/>
          <w:bCs/>
          <w:sz w:val="24"/>
        </w:rPr>
      </w:pPr>
      <w:r>
        <w:rPr>
          <w:rFonts w:hint="eastAsia" w:ascii="宋体" w:hAnsi="宋体" w:cs="宋体"/>
          <w:bCs/>
          <w:sz w:val="24"/>
        </w:rPr>
        <w:t>12.员工熟知公寓内消防器材的种类、性能、数量、位置等配置情况并能熟练操作，张贴消防器材使用方法；每月检查消防设施是否缺失、灭火器是否失压，发现问题及时报告甲方；保持消防通道的及时畅通。</w:t>
      </w:r>
    </w:p>
    <w:p w14:paraId="171088C7">
      <w:pPr>
        <w:spacing w:line="500" w:lineRule="exact"/>
        <w:ind w:firstLine="480" w:firstLineChars="200"/>
        <w:jc w:val="left"/>
        <w:rPr>
          <w:rFonts w:ascii="宋体" w:hAnsi="宋体" w:cs="宋体"/>
          <w:bCs/>
          <w:sz w:val="24"/>
        </w:rPr>
      </w:pPr>
      <w:r>
        <w:rPr>
          <w:rFonts w:hint="eastAsia" w:ascii="宋体" w:hAnsi="宋体" w:cs="宋体"/>
          <w:bCs/>
          <w:sz w:val="24"/>
        </w:rPr>
        <w:t>13.对发现安全隐患，第一时间上报甲方，同时做好现场处置保护，协助甲方做好调查处置工作。</w:t>
      </w:r>
    </w:p>
    <w:p w14:paraId="6677D3E8">
      <w:pPr>
        <w:spacing w:line="500" w:lineRule="exact"/>
        <w:ind w:firstLine="480" w:firstLineChars="200"/>
        <w:jc w:val="left"/>
        <w:rPr>
          <w:rFonts w:ascii="宋体" w:hAnsi="宋体" w:cs="宋体"/>
          <w:bCs/>
          <w:sz w:val="24"/>
        </w:rPr>
      </w:pPr>
      <w:r>
        <w:rPr>
          <w:rFonts w:hint="eastAsia" w:ascii="宋体" w:hAnsi="宋体" w:cs="宋体"/>
          <w:bCs/>
          <w:sz w:val="24"/>
        </w:rPr>
        <w:t>14.宣传有关法律、消防知识，提高学生安全防范意识，共建和谐校园。</w:t>
      </w:r>
    </w:p>
    <w:p w14:paraId="5E36CEF2">
      <w:pPr>
        <w:spacing w:line="500" w:lineRule="exact"/>
        <w:ind w:firstLine="480" w:firstLineChars="200"/>
        <w:jc w:val="left"/>
        <w:rPr>
          <w:rFonts w:ascii="宋体" w:hAnsi="宋体" w:cs="宋体"/>
          <w:bCs/>
          <w:sz w:val="24"/>
        </w:rPr>
      </w:pPr>
      <w:r>
        <w:rPr>
          <w:rFonts w:hint="eastAsia" w:ascii="宋体" w:hAnsi="宋体" w:cs="宋体"/>
          <w:bCs/>
          <w:sz w:val="24"/>
        </w:rPr>
        <w:t>15.严格做好管理人员的培训、考核、选拔工作；建立完善的管理制度、职责、工作流程等，聘用员工资料报学院备案。</w:t>
      </w:r>
    </w:p>
    <w:p w14:paraId="23D22A5E">
      <w:pPr>
        <w:spacing w:line="500" w:lineRule="exact"/>
        <w:ind w:firstLine="480" w:firstLineChars="200"/>
        <w:jc w:val="left"/>
        <w:rPr>
          <w:rFonts w:ascii="宋体" w:hAnsi="宋体" w:cs="宋体"/>
          <w:bCs/>
          <w:sz w:val="24"/>
        </w:rPr>
      </w:pPr>
      <w:r>
        <w:rPr>
          <w:rFonts w:hint="eastAsia" w:ascii="宋体" w:hAnsi="宋体" w:cs="宋体"/>
          <w:bCs/>
          <w:sz w:val="24"/>
        </w:rPr>
        <w:t>16.教育员工遵守甲方的规章制度，服从保卫部门的安全检查和指导。</w:t>
      </w:r>
    </w:p>
    <w:p w14:paraId="31033BD4">
      <w:pPr>
        <w:spacing w:line="500" w:lineRule="exact"/>
        <w:ind w:firstLine="480" w:firstLineChars="200"/>
        <w:jc w:val="left"/>
        <w:rPr>
          <w:rFonts w:ascii="宋体" w:hAnsi="宋体" w:cs="宋体"/>
          <w:bCs/>
          <w:sz w:val="24"/>
        </w:rPr>
      </w:pPr>
      <w:r>
        <w:rPr>
          <w:rFonts w:hint="eastAsia" w:ascii="宋体" w:hAnsi="宋体" w:cs="宋体"/>
          <w:bCs/>
          <w:sz w:val="24"/>
        </w:rPr>
        <w:t>17.开展标准化公寓建设工作，每月</w:t>
      </w:r>
      <w:r>
        <w:rPr>
          <w:rFonts w:ascii="宋体" w:hAnsi="宋体" w:cs="宋体"/>
          <w:bCs/>
          <w:sz w:val="24"/>
        </w:rPr>
        <w:t>组织</w:t>
      </w:r>
      <w:r>
        <w:rPr>
          <w:rFonts w:hint="eastAsia" w:ascii="宋体" w:hAnsi="宋体" w:cs="宋体"/>
          <w:bCs/>
          <w:sz w:val="24"/>
        </w:rPr>
        <w:t>文明宿舍评选工作。</w:t>
      </w:r>
    </w:p>
    <w:p w14:paraId="7698C166">
      <w:pPr>
        <w:spacing w:line="500" w:lineRule="exact"/>
        <w:ind w:firstLine="480" w:firstLineChars="200"/>
        <w:jc w:val="left"/>
        <w:rPr>
          <w:rFonts w:ascii="宋体" w:hAnsi="宋体" w:cs="宋体"/>
          <w:bCs/>
          <w:sz w:val="24"/>
        </w:rPr>
      </w:pPr>
      <w:r>
        <w:rPr>
          <w:rFonts w:hint="eastAsia" w:ascii="宋体" w:hAnsi="宋体" w:cs="宋体"/>
          <w:bCs/>
          <w:sz w:val="24"/>
        </w:rPr>
        <w:t>18.做好入住学生信息录入（按每楼、每层、每宿舍统计；按二级学院统计；按班级统计做表）、核对工作及离校生信息审查工作，确保公寓楼在住学生信息准确，住宿信息每月报给校方监管。</w:t>
      </w:r>
    </w:p>
    <w:p w14:paraId="1039C9C9">
      <w:pPr>
        <w:spacing w:line="500" w:lineRule="exact"/>
        <w:ind w:firstLine="480" w:firstLineChars="200"/>
        <w:jc w:val="left"/>
        <w:rPr>
          <w:rFonts w:ascii="宋体" w:hAnsi="宋体" w:cs="宋体"/>
          <w:bCs/>
          <w:sz w:val="24"/>
        </w:rPr>
      </w:pPr>
      <w:r>
        <w:rPr>
          <w:rFonts w:hint="eastAsia" w:ascii="宋体" w:hAnsi="宋体" w:cs="宋体"/>
          <w:bCs/>
          <w:sz w:val="24"/>
        </w:rPr>
        <w:t>19.做好</w:t>
      </w:r>
      <w:r>
        <w:rPr>
          <w:rFonts w:ascii="宋体" w:hAnsi="宋体" w:cs="宋体"/>
          <w:bCs/>
          <w:sz w:val="24"/>
        </w:rPr>
        <w:t>公寓通道闸机使用</w:t>
      </w:r>
      <w:r>
        <w:rPr>
          <w:rFonts w:hint="eastAsia" w:ascii="宋体" w:hAnsi="宋体" w:cs="宋体"/>
          <w:bCs/>
          <w:sz w:val="24"/>
        </w:rPr>
        <w:t>的监督管理工作，引导学生进出</w:t>
      </w:r>
      <w:r>
        <w:rPr>
          <w:rFonts w:ascii="宋体" w:hAnsi="宋体" w:cs="宋体"/>
          <w:bCs/>
          <w:sz w:val="24"/>
        </w:rPr>
        <w:t>进行人脸识别</w:t>
      </w:r>
      <w:r>
        <w:rPr>
          <w:rFonts w:hint="eastAsia" w:ascii="宋体" w:hAnsi="宋体" w:cs="宋体"/>
          <w:bCs/>
          <w:sz w:val="24"/>
        </w:rPr>
        <w:t>。</w:t>
      </w:r>
    </w:p>
    <w:p w14:paraId="4FF1D4FA">
      <w:pPr>
        <w:spacing w:line="500" w:lineRule="exact"/>
        <w:ind w:firstLine="480" w:firstLineChars="200"/>
        <w:jc w:val="left"/>
        <w:rPr>
          <w:rFonts w:ascii="宋体" w:hAnsi="宋体" w:cs="宋体"/>
          <w:bCs/>
          <w:sz w:val="24"/>
        </w:rPr>
      </w:pPr>
      <w:r>
        <w:rPr>
          <w:rFonts w:hint="eastAsia" w:ascii="宋体" w:hAnsi="宋体" w:cs="宋体"/>
          <w:bCs/>
          <w:sz w:val="24"/>
        </w:rPr>
        <w:t>20.新生统一入住前锁芯和配备钥匙调整，保证安全。</w:t>
      </w:r>
    </w:p>
    <w:p w14:paraId="44DE0532">
      <w:pPr>
        <w:spacing w:line="500" w:lineRule="exact"/>
        <w:ind w:firstLine="480" w:firstLineChars="200"/>
        <w:jc w:val="left"/>
        <w:rPr>
          <w:rFonts w:ascii="宋体" w:hAnsi="宋体" w:cs="宋体"/>
          <w:bCs/>
          <w:sz w:val="24"/>
          <w:highlight w:val="red"/>
        </w:rPr>
      </w:pPr>
      <w:r>
        <w:rPr>
          <w:rFonts w:hint="eastAsia" w:ascii="宋体" w:hAnsi="宋体" w:cs="宋体"/>
          <w:bCs/>
          <w:sz w:val="24"/>
        </w:rPr>
        <w:t>21.配合财务做好每学期学生水补、退宿学生退费。</w:t>
      </w:r>
    </w:p>
    <w:p w14:paraId="40109B93">
      <w:pPr>
        <w:spacing w:line="500" w:lineRule="exact"/>
        <w:ind w:firstLine="480" w:firstLineChars="200"/>
        <w:jc w:val="left"/>
        <w:rPr>
          <w:rFonts w:ascii="宋体" w:hAnsi="宋体" w:cs="宋体"/>
          <w:bCs/>
          <w:sz w:val="24"/>
        </w:rPr>
      </w:pPr>
      <w:r>
        <w:rPr>
          <w:rFonts w:hint="eastAsia" w:ascii="宋体" w:hAnsi="宋体" w:cs="宋体"/>
          <w:bCs/>
          <w:sz w:val="24"/>
        </w:rPr>
        <w:t>22.配合学工部及各二级学院选拔“学生公寓自律委员会”的成员，选拔宿舍长并建立联系机制。</w:t>
      </w:r>
    </w:p>
    <w:p w14:paraId="57656507">
      <w:pPr>
        <w:spacing w:line="500" w:lineRule="exact"/>
        <w:ind w:firstLine="480" w:firstLineChars="200"/>
        <w:jc w:val="left"/>
        <w:rPr>
          <w:rFonts w:ascii="宋体" w:hAnsi="宋体" w:cs="宋体"/>
          <w:bCs/>
          <w:sz w:val="24"/>
        </w:rPr>
      </w:pPr>
      <w:r>
        <w:rPr>
          <w:rFonts w:hint="eastAsia" w:ascii="宋体" w:hAnsi="宋体" w:cs="宋体"/>
          <w:bCs/>
          <w:sz w:val="24"/>
        </w:rPr>
        <w:t>23.做好疫情防控常态化人员管理、测温、消毒、通风等工作。</w:t>
      </w:r>
    </w:p>
    <w:p w14:paraId="3D20764E">
      <w:pPr>
        <w:spacing w:line="500" w:lineRule="exact"/>
        <w:ind w:firstLine="480" w:firstLineChars="200"/>
        <w:jc w:val="left"/>
        <w:rPr>
          <w:rFonts w:ascii="宋体" w:hAnsi="宋体" w:cs="宋体"/>
          <w:bCs/>
          <w:sz w:val="24"/>
        </w:rPr>
      </w:pPr>
      <w:r>
        <w:rPr>
          <w:rFonts w:hint="eastAsia" w:ascii="宋体" w:hAnsi="宋体" w:cs="宋体"/>
          <w:bCs/>
          <w:sz w:val="24"/>
        </w:rPr>
        <w:t>24</w:t>
      </w:r>
      <w:r>
        <w:rPr>
          <w:rFonts w:ascii="宋体" w:hAnsi="宋体" w:cs="宋体"/>
          <w:bCs/>
          <w:sz w:val="24"/>
        </w:rPr>
        <w:t>.</w:t>
      </w:r>
      <w:r>
        <w:rPr>
          <w:rFonts w:hint="eastAsia" w:ascii="宋体" w:hAnsi="宋体" w:cs="宋体"/>
          <w:bCs/>
          <w:sz w:val="24"/>
        </w:rPr>
        <w:t>做</w:t>
      </w:r>
      <w:r>
        <w:rPr>
          <w:rFonts w:ascii="宋体" w:hAnsi="宋体" w:cs="宋体"/>
          <w:bCs/>
          <w:sz w:val="24"/>
        </w:rPr>
        <w:t>好</w:t>
      </w:r>
      <w:r>
        <w:rPr>
          <w:rFonts w:hint="eastAsia" w:ascii="宋体" w:hAnsi="宋体" w:cs="宋体"/>
          <w:bCs/>
          <w:sz w:val="24"/>
        </w:rPr>
        <w:t>学</w:t>
      </w:r>
      <w:r>
        <w:rPr>
          <w:rFonts w:ascii="宋体" w:hAnsi="宋体" w:cs="宋体"/>
          <w:bCs/>
          <w:sz w:val="24"/>
        </w:rPr>
        <w:t>生</w:t>
      </w:r>
      <w:r>
        <w:rPr>
          <w:rFonts w:hint="eastAsia" w:ascii="宋体" w:hAnsi="宋体" w:cs="宋体"/>
          <w:bCs/>
          <w:sz w:val="24"/>
        </w:rPr>
        <w:t>公</w:t>
      </w:r>
      <w:r>
        <w:rPr>
          <w:rFonts w:ascii="宋体" w:hAnsi="宋体" w:cs="宋体"/>
          <w:bCs/>
          <w:sz w:val="24"/>
        </w:rPr>
        <w:t>寓</w:t>
      </w:r>
      <w:r>
        <w:rPr>
          <w:rFonts w:hint="eastAsia" w:ascii="宋体" w:hAnsi="宋体" w:cs="宋体"/>
          <w:bCs/>
          <w:sz w:val="24"/>
        </w:rPr>
        <w:t>楼</w:t>
      </w:r>
      <w:r>
        <w:rPr>
          <w:rFonts w:ascii="宋体" w:hAnsi="宋体" w:cs="宋体"/>
          <w:bCs/>
          <w:sz w:val="24"/>
        </w:rPr>
        <w:t>内</w:t>
      </w:r>
      <w:r>
        <w:rPr>
          <w:rFonts w:hint="eastAsia" w:ascii="宋体" w:hAnsi="宋体" w:cs="宋体"/>
          <w:bCs/>
          <w:sz w:val="24"/>
        </w:rPr>
        <w:t>公</w:t>
      </w:r>
      <w:r>
        <w:rPr>
          <w:rFonts w:ascii="宋体" w:hAnsi="宋体" w:cs="宋体"/>
          <w:bCs/>
          <w:sz w:val="24"/>
        </w:rPr>
        <w:t>共</w:t>
      </w:r>
      <w:r>
        <w:rPr>
          <w:rFonts w:hint="eastAsia" w:ascii="宋体" w:hAnsi="宋体" w:cs="宋体"/>
          <w:bCs/>
          <w:sz w:val="24"/>
        </w:rPr>
        <w:t>区域保</w:t>
      </w:r>
      <w:r>
        <w:rPr>
          <w:rFonts w:ascii="宋体" w:hAnsi="宋体" w:cs="宋体"/>
          <w:bCs/>
          <w:sz w:val="24"/>
        </w:rPr>
        <w:t>洁工作，并按要求做好工作记录</w:t>
      </w:r>
      <w:r>
        <w:rPr>
          <w:rFonts w:hint="eastAsia" w:ascii="宋体" w:hAnsi="宋体" w:cs="宋体"/>
          <w:bCs/>
          <w:sz w:val="24"/>
        </w:rPr>
        <w:t>。</w:t>
      </w:r>
    </w:p>
    <w:p w14:paraId="0672EB99">
      <w:pPr>
        <w:spacing w:line="500" w:lineRule="exact"/>
        <w:ind w:firstLine="240" w:firstLineChars="100"/>
        <w:jc w:val="left"/>
        <w:rPr>
          <w:rFonts w:ascii="宋体" w:hAnsi="宋体" w:cs="宋体"/>
          <w:bCs/>
          <w:sz w:val="24"/>
        </w:rPr>
      </w:pPr>
      <w:r>
        <w:rPr>
          <w:rFonts w:hint="eastAsia" w:ascii="宋体" w:hAnsi="宋体" w:cs="宋体"/>
          <w:bCs/>
          <w:sz w:val="24"/>
        </w:rPr>
        <w:t>（二）乙</w:t>
      </w:r>
      <w:r>
        <w:rPr>
          <w:rFonts w:ascii="宋体" w:hAnsi="宋体" w:cs="宋体"/>
          <w:bCs/>
          <w:sz w:val="24"/>
        </w:rPr>
        <w:t>类乙管</w:t>
      </w:r>
      <w:r>
        <w:rPr>
          <w:rFonts w:hint="eastAsia" w:ascii="宋体" w:hAnsi="宋体" w:cs="宋体"/>
          <w:bCs/>
          <w:sz w:val="24"/>
        </w:rPr>
        <w:t>宿舍疫情防控工</w:t>
      </w:r>
      <w:r>
        <w:rPr>
          <w:rFonts w:ascii="宋体" w:hAnsi="宋体" w:cs="宋体"/>
          <w:bCs/>
          <w:sz w:val="24"/>
        </w:rPr>
        <w:t>作</w:t>
      </w:r>
      <w:r>
        <w:rPr>
          <w:rFonts w:hint="eastAsia" w:ascii="宋体" w:hAnsi="宋体" w:cs="宋体"/>
          <w:bCs/>
          <w:sz w:val="24"/>
        </w:rPr>
        <w:t>要</w:t>
      </w:r>
      <w:r>
        <w:rPr>
          <w:rFonts w:ascii="宋体" w:hAnsi="宋体" w:cs="宋体"/>
          <w:bCs/>
          <w:sz w:val="24"/>
        </w:rPr>
        <w:t>求</w:t>
      </w:r>
    </w:p>
    <w:p w14:paraId="5DB4F76F">
      <w:pPr>
        <w:spacing w:line="500" w:lineRule="exact"/>
        <w:ind w:firstLine="480" w:firstLineChars="200"/>
        <w:jc w:val="left"/>
        <w:rPr>
          <w:rFonts w:ascii="宋体" w:hAnsi="宋体" w:cs="宋体"/>
          <w:bCs/>
          <w:sz w:val="24"/>
        </w:rPr>
      </w:pPr>
      <w:r>
        <w:rPr>
          <w:rFonts w:hint="eastAsia" w:ascii="宋体" w:hAnsi="宋体" w:cs="宋体"/>
          <w:bCs/>
          <w:sz w:val="24"/>
        </w:rPr>
        <w:t>1.加强宿舍楼门管理，实行</w:t>
      </w:r>
      <w:r>
        <w:rPr>
          <w:rFonts w:ascii="宋体" w:hAnsi="宋体" w:cs="宋体"/>
          <w:bCs/>
          <w:sz w:val="24"/>
        </w:rPr>
        <w:t>扫脸测温</w:t>
      </w:r>
      <w:r>
        <w:rPr>
          <w:rFonts w:hint="eastAsia" w:ascii="宋体" w:hAnsi="宋体" w:cs="宋体"/>
          <w:bCs/>
          <w:sz w:val="24"/>
        </w:rPr>
        <w:t>出入，教育引导学生体温异常者不</w:t>
      </w:r>
      <w:r>
        <w:rPr>
          <w:rFonts w:ascii="宋体" w:hAnsi="宋体" w:cs="宋体"/>
          <w:bCs/>
          <w:sz w:val="24"/>
        </w:rPr>
        <w:t>带症状上学，科学佩戴口罩，</w:t>
      </w:r>
      <w:r>
        <w:rPr>
          <w:rFonts w:hint="eastAsia" w:ascii="宋体" w:hAnsi="宋体" w:cs="宋体"/>
          <w:bCs/>
          <w:sz w:val="24"/>
        </w:rPr>
        <w:t>不串宿舍。</w:t>
      </w:r>
    </w:p>
    <w:p w14:paraId="49B421D7">
      <w:pPr>
        <w:spacing w:line="500" w:lineRule="exact"/>
        <w:ind w:firstLine="480" w:firstLineChars="200"/>
        <w:jc w:val="left"/>
        <w:rPr>
          <w:rFonts w:ascii="宋体" w:hAnsi="宋体" w:cs="宋体"/>
          <w:bCs/>
          <w:sz w:val="24"/>
        </w:rPr>
      </w:pPr>
      <w:r>
        <w:rPr>
          <w:rFonts w:hint="eastAsia" w:ascii="宋体" w:hAnsi="宋体" w:cs="宋体"/>
          <w:bCs/>
          <w:sz w:val="24"/>
        </w:rPr>
        <w:t>2.按乙</w:t>
      </w:r>
      <w:r>
        <w:rPr>
          <w:rFonts w:ascii="宋体" w:hAnsi="宋体" w:cs="宋体"/>
          <w:bCs/>
          <w:sz w:val="24"/>
        </w:rPr>
        <w:t>类乙管</w:t>
      </w:r>
      <w:r>
        <w:rPr>
          <w:rFonts w:hint="eastAsia" w:ascii="宋体" w:hAnsi="宋体" w:cs="宋体"/>
          <w:bCs/>
          <w:sz w:val="24"/>
        </w:rPr>
        <w:t>要</w:t>
      </w:r>
      <w:r>
        <w:rPr>
          <w:rFonts w:ascii="宋体" w:hAnsi="宋体" w:cs="宋体"/>
          <w:bCs/>
          <w:sz w:val="24"/>
        </w:rPr>
        <w:t>求</w:t>
      </w:r>
      <w:r>
        <w:rPr>
          <w:rFonts w:hint="eastAsia" w:ascii="宋体" w:hAnsi="宋体" w:cs="宋体"/>
          <w:bCs/>
          <w:sz w:val="24"/>
        </w:rPr>
        <w:t>做</w:t>
      </w:r>
      <w:r>
        <w:rPr>
          <w:rFonts w:ascii="宋体" w:hAnsi="宋体" w:cs="宋体"/>
          <w:bCs/>
          <w:sz w:val="24"/>
        </w:rPr>
        <w:t>好</w:t>
      </w:r>
      <w:r>
        <w:rPr>
          <w:rFonts w:hint="eastAsia" w:ascii="宋体" w:hAnsi="宋体" w:cs="宋体"/>
          <w:bCs/>
          <w:sz w:val="24"/>
        </w:rPr>
        <w:t>消毒、</w:t>
      </w:r>
      <w:r>
        <w:rPr>
          <w:rFonts w:ascii="宋体" w:hAnsi="宋体" w:cs="宋体"/>
          <w:bCs/>
          <w:sz w:val="24"/>
        </w:rPr>
        <w:t>通风</w:t>
      </w:r>
      <w:r>
        <w:rPr>
          <w:rFonts w:hint="eastAsia" w:ascii="宋体" w:hAnsi="宋体" w:cs="宋体"/>
          <w:bCs/>
          <w:sz w:val="24"/>
        </w:rPr>
        <w:t>，有记录。</w:t>
      </w:r>
    </w:p>
    <w:p w14:paraId="3B2F7552">
      <w:pPr>
        <w:spacing w:line="500" w:lineRule="exact"/>
        <w:ind w:firstLine="480" w:firstLineChars="200"/>
        <w:jc w:val="left"/>
        <w:rPr>
          <w:rFonts w:ascii="宋体" w:hAnsi="宋体" w:cs="宋体"/>
          <w:bCs/>
          <w:sz w:val="24"/>
        </w:rPr>
      </w:pPr>
      <w:r>
        <w:rPr>
          <w:rFonts w:ascii="宋体" w:hAnsi="宋体" w:cs="宋体"/>
          <w:bCs/>
          <w:sz w:val="24"/>
        </w:rPr>
        <w:t>3</w:t>
      </w:r>
      <w:r>
        <w:rPr>
          <w:rFonts w:hint="eastAsia" w:ascii="宋体" w:hAnsi="宋体" w:cs="宋体"/>
          <w:bCs/>
          <w:sz w:val="24"/>
        </w:rPr>
        <w:t>.做好宿舍内外公区日常清洁，每日专人巡查清扫并进行登记。</w:t>
      </w:r>
    </w:p>
    <w:p w14:paraId="5F3D11D3">
      <w:pPr>
        <w:spacing w:line="500" w:lineRule="exact"/>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.做到垃圾分</w:t>
      </w:r>
      <w:r>
        <w:rPr>
          <w:rFonts w:ascii="宋体" w:hAnsi="宋体" w:cs="宋体"/>
          <w:bCs/>
          <w:sz w:val="24"/>
        </w:rPr>
        <w:t>类</w:t>
      </w:r>
      <w:r>
        <w:rPr>
          <w:rFonts w:hint="eastAsia" w:ascii="宋体" w:hAnsi="宋体" w:cs="宋体"/>
          <w:bCs/>
          <w:sz w:val="24"/>
        </w:rPr>
        <w:t>及时清运，并做好垃圾盛装容器的清洁，可用浓度为500mg/L的含氯消毒剂定期进行消毒处理。</w:t>
      </w:r>
    </w:p>
    <w:p w14:paraId="2702E8F5">
      <w:pPr>
        <w:spacing w:line="500" w:lineRule="exact"/>
        <w:ind w:left="210" w:leftChars="100" w:firstLine="360" w:firstLineChars="150"/>
        <w:jc w:val="left"/>
        <w:rPr>
          <w:rFonts w:ascii="宋体" w:hAnsi="宋体" w:cs="宋体"/>
          <w:bCs/>
          <w:sz w:val="24"/>
        </w:rPr>
      </w:pPr>
      <w:r>
        <w:rPr>
          <w:rFonts w:hint="eastAsia" w:ascii="宋体" w:hAnsi="宋体" w:cs="宋体"/>
          <w:bCs/>
          <w:sz w:val="24"/>
        </w:rPr>
        <w:t>5.宿舍安全通道保持畅通，可随时应急启用。</w:t>
      </w:r>
    </w:p>
    <w:p w14:paraId="42948CE9">
      <w:pPr>
        <w:spacing w:line="500" w:lineRule="exact"/>
        <w:ind w:firstLine="240" w:firstLineChars="100"/>
        <w:jc w:val="left"/>
        <w:rPr>
          <w:rFonts w:ascii="宋体" w:hAnsi="宋体" w:cs="宋体"/>
          <w:bCs/>
          <w:sz w:val="24"/>
        </w:rPr>
      </w:pPr>
      <w:r>
        <w:rPr>
          <w:rFonts w:hint="eastAsia" w:ascii="宋体" w:hAnsi="宋体" w:cs="宋体"/>
          <w:bCs/>
          <w:sz w:val="24"/>
        </w:rPr>
        <w:t>（三）寒暑假期管理工</w:t>
      </w:r>
      <w:r>
        <w:rPr>
          <w:rFonts w:ascii="宋体" w:hAnsi="宋体" w:cs="宋体"/>
          <w:bCs/>
          <w:sz w:val="24"/>
        </w:rPr>
        <w:t>作</w:t>
      </w:r>
      <w:r>
        <w:rPr>
          <w:rFonts w:hint="eastAsia" w:ascii="宋体" w:hAnsi="宋体" w:cs="宋体"/>
          <w:bCs/>
          <w:sz w:val="24"/>
        </w:rPr>
        <w:t>要</w:t>
      </w:r>
      <w:r>
        <w:rPr>
          <w:rFonts w:ascii="宋体" w:hAnsi="宋体" w:cs="宋体"/>
          <w:bCs/>
          <w:sz w:val="24"/>
        </w:rPr>
        <w:t>求</w:t>
      </w:r>
    </w:p>
    <w:p w14:paraId="326B298E">
      <w:pPr>
        <w:spacing w:line="500" w:lineRule="exact"/>
        <w:ind w:firstLine="480" w:firstLineChars="200"/>
        <w:jc w:val="left"/>
        <w:rPr>
          <w:rFonts w:ascii="宋体" w:hAnsi="宋体" w:cs="宋体"/>
          <w:bCs/>
          <w:sz w:val="24"/>
        </w:rPr>
      </w:pPr>
      <w:r>
        <w:rPr>
          <w:rFonts w:hint="eastAsia" w:ascii="宋体" w:hAnsi="宋体" w:cs="宋体"/>
          <w:bCs/>
          <w:sz w:val="24"/>
        </w:rPr>
        <w:t>1.根据学校要求做好寒暑假公寓整体安排，留校学生住宿、</w:t>
      </w:r>
      <w:r>
        <w:rPr>
          <w:rFonts w:ascii="宋体" w:hAnsi="宋体" w:cs="宋体"/>
          <w:bCs/>
          <w:sz w:val="24"/>
        </w:rPr>
        <w:t>卫生</w:t>
      </w:r>
      <w:r>
        <w:rPr>
          <w:rFonts w:hint="eastAsia" w:ascii="宋体" w:hAnsi="宋体" w:cs="宋体"/>
          <w:bCs/>
          <w:sz w:val="24"/>
        </w:rPr>
        <w:t>等安全管理工作，相应人员值班要到位，做到人员进出登记、物品进出验查登记工作。</w:t>
      </w:r>
    </w:p>
    <w:p w14:paraId="34B50C3C">
      <w:pPr>
        <w:spacing w:line="500" w:lineRule="exact"/>
        <w:ind w:firstLine="480" w:firstLineChars="200"/>
        <w:jc w:val="left"/>
        <w:rPr>
          <w:rFonts w:ascii="宋体" w:hAnsi="宋体" w:cs="宋体"/>
          <w:bCs/>
          <w:sz w:val="24"/>
        </w:rPr>
      </w:pPr>
      <w:r>
        <w:rPr>
          <w:rFonts w:hint="eastAsia" w:ascii="宋体" w:hAnsi="宋体" w:cs="宋体"/>
          <w:bCs/>
          <w:sz w:val="24"/>
        </w:rPr>
        <w:t>2.配合后勤部门做好设施设备维修工作。</w:t>
      </w:r>
    </w:p>
    <w:p w14:paraId="16262985">
      <w:pPr>
        <w:spacing w:line="500" w:lineRule="exact"/>
        <w:ind w:firstLine="480" w:firstLineChars="200"/>
        <w:jc w:val="left"/>
        <w:rPr>
          <w:rFonts w:ascii="宋体" w:hAnsi="宋体" w:cs="宋体"/>
          <w:bCs/>
          <w:sz w:val="24"/>
        </w:rPr>
      </w:pPr>
      <w:r>
        <w:rPr>
          <w:rFonts w:hint="eastAsia" w:ascii="宋体" w:hAnsi="宋体" w:cs="宋体"/>
          <w:bCs/>
          <w:sz w:val="24"/>
        </w:rPr>
        <w:t>3.配合后勤部门做好工程施工工作。</w:t>
      </w:r>
    </w:p>
    <w:p w14:paraId="4BC2E0C8">
      <w:pPr>
        <w:spacing w:line="500" w:lineRule="exact"/>
        <w:ind w:firstLine="240" w:firstLineChars="100"/>
        <w:jc w:val="left"/>
        <w:rPr>
          <w:rFonts w:ascii="宋体" w:hAnsi="宋体" w:cs="宋体"/>
          <w:bCs/>
          <w:sz w:val="24"/>
        </w:rPr>
      </w:pPr>
      <w:r>
        <w:rPr>
          <w:rFonts w:hint="eastAsia" w:ascii="宋体" w:hAnsi="宋体" w:cs="宋体"/>
          <w:bCs/>
          <w:sz w:val="24"/>
        </w:rPr>
        <w:t>（四）临时床位服务工</w:t>
      </w:r>
      <w:r>
        <w:rPr>
          <w:rFonts w:ascii="宋体" w:hAnsi="宋体" w:cs="宋体"/>
          <w:bCs/>
          <w:sz w:val="24"/>
        </w:rPr>
        <w:t>作</w:t>
      </w:r>
      <w:r>
        <w:rPr>
          <w:rFonts w:hint="eastAsia" w:ascii="宋体" w:hAnsi="宋体" w:cs="宋体"/>
          <w:bCs/>
          <w:sz w:val="24"/>
        </w:rPr>
        <w:t>要</w:t>
      </w:r>
      <w:r>
        <w:rPr>
          <w:rFonts w:ascii="宋体" w:hAnsi="宋体" w:cs="宋体"/>
          <w:bCs/>
          <w:sz w:val="24"/>
        </w:rPr>
        <w:t>求</w:t>
      </w:r>
    </w:p>
    <w:p w14:paraId="60CEA555">
      <w:pPr>
        <w:pStyle w:val="76"/>
        <w:spacing w:line="500" w:lineRule="exact"/>
        <w:ind w:firstLine="480"/>
        <w:jc w:val="left"/>
        <w:rPr>
          <w:rFonts w:ascii="宋体" w:hAnsi="宋体" w:cs="宋体"/>
          <w:bCs/>
          <w:sz w:val="24"/>
        </w:rPr>
      </w:pPr>
      <w:r>
        <w:rPr>
          <w:rFonts w:hint="eastAsia" w:ascii="宋体" w:hAnsi="宋体" w:cs="宋体"/>
          <w:bCs/>
          <w:sz w:val="24"/>
        </w:rPr>
        <w:t>1.临时床位的日常入住、退宿等办理服务工作。</w:t>
      </w:r>
    </w:p>
    <w:p w14:paraId="1FB1D2BF">
      <w:pPr>
        <w:pStyle w:val="76"/>
        <w:tabs>
          <w:tab w:val="left" w:pos="1059"/>
        </w:tabs>
        <w:spacing w:line="500" w:lineRule="exact"/>
        <w:ind w:firstLine="480"/>
        <w:jc w:val="left"/>
        <w:rPr>
          <w:rFonts w:ascii="宋体" w:hAnsi="宋体" w:cs="宋体"/>
          <w:bCs/>
          <w:sz w:val="24"/>
        </w:rPr>
      </w:pPr>
      <w:r>
        <w:rPr>
          <w:rFonts w:hint="eastAsia" w:ascii="宋体" w:hAnsi="宋体" w:cs="宋体"/>
          <w:bCs/>
          <w:sz w:val="24"/>
        </w:rPr>
        <w:t>2.临时床位的日常保洁、被褥被套更换工作。</w:t>
      </w:r>
    </w:p>
    <w:p w14:paraId="79205D46">
      <w:pPr>
        <w:pStyle w:val="76"/>
        <w:tabs>
          <w:tab w:val="left" w:pos="1059"/>
        </w:tabs>
        <w:spacing w:line="500" w:lineRule="exact"/>
        <w:ind w:firstLine="480"/>
        <w:jc w:val="left"/>
        <w:rPr>
          <w:rFonts w:ascii="宋体" w:hAnsi="宋体" w:cs="宋体"/>
          <w:bCs/>
          <w:sz w:val="24"/>
        </w:rPr>
      </w:pPr>
      <w:r>
        <w:rPr>
          <w:rFonts w:hint="eastAsia" w:ascii="宋体" w:hAnsi="宋体" w:cs="宋体"/>
          <w:bCs/>
          <w:sz w:val="24"/>
        </w:rPr>
        <w:t>3.临时床位的安全巡查。</w:t>
      </w:r>
    </w:p>
    <w:p w14:paraId="69FFF0B7">
      <w:pPr>
        <w:spacing w:line="500" w:lineRule="exact"/>
        <w:ind w:firstLine="240" w:firstLineChars="100"/>
        <w:jc w:val="left"/>
        <w:rPr>
          <w:rFonts w:ascii="宋体" w:hAnsi="宋体" w:cs="宋体"/>
          <w:bCs/>
          <w:sz w:val="24"/>
        </w:rPr>
      </w:pPr>
      <w:r>
        <w:rPr>
          <w:rFonts w:hint="eastAsia" w:ascii="宋体" w:hAnsi="宋体" w:cs="宋体"/>
          <w:bCs/>
          <w:sz w:val="24"/>
        </w:rPr>
        <w:t>（五</w:t>
      </w:r>
      <w:r>
        <w:rPr>
          <w:rFonts w:ascii="宋体" w:hAnsi="宋体" w:cs="宋体"/>
          <w:bCs/>
          <w:sz w:val="24"/>
        </w:rPr>
        <w:t>）</w:t>
      </w:r>
      <w:r>
        <w:rPr>
          <w:rFonts w:hint="eastAsia" w:ascii="宋体" w:hAnsi="宋体" w:cs="宋体"/>
          <w:bCs/>
          <w:sz w:val="24"/>
        </w:rPr>
        <w:t>其他要求</w:t>
      </w:r>
    </w:p>
    <w:p w14:paraId="10DC62DA">
      <w:pPr>
        <w:spacing w:line="500" w:lineRule="exact"/>
        <w:ind w:firstLine="480" w:firstLineChars="200"/>
        <w:jc w:val="left"/>
        <w:rPr>
          <w:rFonts w:ascii="宋体" w:hAnsi="宋体" w:cs="宋体"/>
          <w:b/>
          <w:bCs/>
          <w:highlight w:val="yellow"/>
          <w:u w:val="single"/>
        </w:rPr>
      </w:pPr>
      <w:r>
        <w:rPr>
          <w:rFonts w:hint="eastAsia" w:ascii="宋体" w:hAnsi="宋体" w:cs="宋体"/>
          <w:bCs/>
          <w:sz w:val="24"/>
        </w:rPr>
        <w:t>为保障学生公寓服务交接平稳</w:t>
      </w:r>
      <w:r>
        <w:rPr>
          <w:rFonts w:hint="eastAsia" w:ascii="宋体" w:hAnsi="宋体" w:cs="宋体"/>
          <w:bCs/>
          <w:sz w:val="24"/>
          <w:lang w:eastAsia="zh-CN"/>
        </w:rPr>
        <w:t>过渡</w:t>
      </w:r>
      <w:r>
        <w:rPr>
          <w:rFonts w:hint="eastAsia" w:ascii="宋体" w:hAnsi="宋体" w:cs="宋体"/>
          <w:bCs/>
          <w:sz w:val="24"/>
        </w:rPr>
        <w:t>，要求中标供应商承诺提前三</w:t>
      </w:r>
      <w:r>
        <w:rPr>
          <w:rFonts w:ascii="宋体" w:hAnsi="宋体" w:cs="宋体"/>
          <w:bCs/>
          <w:sz w:val="24"/>
        </w:rPr>
        <w:t>天</w:t>
      </w:r>
      <w:r>
        <w:rPr>
          <w:rFonts w:hint="eastAsia" w:ascii="宋体" w:hAnsi="宋体" w:cs="宋体"/>
          <w:bCs/>
          <w:sz w:val="24"/>
        </w:rPr>
        <w:t>人员全部到位，进行熟悉现场环境及服务内容，并完成交接工作。</w:t>
      </w:r>
    </w:p>
    <w:p w14:paraId="3A08E2E3">
      <w:pPr>
        <w:pStyle w:val="19"/>
        <w:tabs>
          <w:tab w:val="left" w:pos="1440"/>
        </w:tabs>
        <w:spacing w:line="500" w:lineRule="exact"/>
        <w:ind w:left="426" w:firstLine="0"/>
        <w:rPr>
          <w:rFonts w:ascii="宋体" w:hAnsi="宋体" w:cs="宋体"/>
          <w:b/>
          <w:bCs/>
        </w:rPr>
      </w:pPr>
      <w:r>
        <w:rPr>
          <w:rFonts w:hint="eastAsia" w:ascii="宋体" w:hAnsi="宋体" w:cs="宋体"/>
          <w:b/>
          <w:bCs/>
        </w:rPr>
        <w:t>第六条</w:t>
      </w:r>
      <w:r>
        <w:rPr>
          <w:rFonts w:ascii="宋体" w:hAnsi="宋体" w:cs="宋体"/>
          <w:b/>
          <w:bCs/>
        </w:rPr>
        <w:t xml:space="preserve">  </w:t>
      </w:r>
      <w:r>
        <w:rPr>
          <w:rFonts w:hint="eastAsia" w:ascii="宋体" w:hAnsi="宋体" w:cs="宋体"/>
          <w:b/>
          <w:bCs/>
        </w:rPr>
        <w:t>双方的权利义务</w:t>
      </w:r>
    </w:p>
    <w:p w14:paraId="726637AE">
      <w:pPr>
        <w:pStyle w:val="19"/>
        <w:tabs>
          <w:tab w:val="left" w:pos="-56"/>
          <w:tab w:val="left" w:pos="1440"/>
        </w:tabs>
        <w:spacing w:line="500" w:lineRule="exact"/>
        <w:ind w:left="420" w:firstLine="240" w:firstLineChars="100"/>
        <w:rPr>
          <w:rFonts w:ascii="宋体" w:hAnsi="宋体" w:cs="宋体"/>
          <w:bCs/>
        </w:rPr>
      </w:pPr>
      <w:r>
        <w:rPr>
          <w:rFonts w:ascii="宋体" w:hAnsi="宋体" w:cs="宋体"/>
          <w:bCs/>
        </w:rPr>
        <w:t>（一）甲方的权利义务</w:t>
      </w:r>
    </w:p>
    <w:p w14:paraId="52370132">
      <w:pPr>
        <w:pStyle w:val="19"/>
        <w:tabs>
          <w:tab w:val="left" w:pos="-56"/>
          <w:tab w:val="left" w:pos="1440"/>
        </w:tabs>
        <w:spacing w:line="500" w:lineRule="exact"/>
        <w:ind w:left="420" w:firstLine="240" w:firstLineChars="100"/>
        <w:rPr>
          <w:rFonts w:ascii="宋体" w:hAnsi="宋体" w:cs="宋体"/>
          <w:bCs/>
        </w:rPr>
      </w:pPr>
      <w:r>
        <w:rPr>
          <w:rFonts w:ascii="宋体" w:hAnsi="宋体" w:cs="宋体"/>
          <w:bCs/>
        </w:rPr>
        <w:t>1.在项目实施过程中，</w:t>
      </w:r>
      <w:r>
        <w:rPr>
          <w:rFonts w:hint="eastAsia" w:ascii="宋体" w:hAnsi="宋体" w:cs="宋体"/>
          <w:bCs/>
        </w:rPr>
        <w:t>甲方指派</w:t>
      </w:r>
      <w:r>
        <w:rPr>
          <w:rFonts w:hint="eastAsia" w:ascii="宋体" w:hAnsi="宋体" w:cs="宋体"/>
          <w:bCs/>
          <w:u w:val="single"/>
          <w:lang w:val="en-US" w:eastAsia="zh-CN"/>
        </w:rPr>
        <w:t xml:space="preserve">       </w:t>
      </w:r>
      <w:r>
        <w:rPr>
          <w:rFonts w:hint="eastAsia" w:ascii="宋体" w:hAnsi="宋体" w:cs="宋体"/>
          <w:bCs/>
        </w:rPr>
        <w:t>为项目代表，联系电话</w:t>
      </w:r>
      <w:r>
        <w:rPr>
          <w:rFonts w:hint="eastAsia" w:ascii="宋体" w:hAnsi="宋体" w:cs="宋体"/>
          <w:bCs/>
          <w:u w:val="single"/>
          <w:lang w:val="en-US" w:eastAsia="zh-CN"/>
        </w:rPr>
        <w:t xml:space="preserve">                </w:t>
      </w:r>
      <w:r>
        <w:rPr>
          <w:rFonts w:hint="eastAsia" w:ascii="宋体" w:hAnsi="宋体" w:cs="宋体"/>
          <w:bCs/>
        </w:rPr>
        <w:t>，并组织有关人员参与本项目的组织管理，可以关于项目建设工作向乙方提出质疑和异议。如果甲方代表变动应及时通知乙方。</w:t>
      </w:r>
    </w:p>
    <w:p w14:paraId="1E9E4445">
      <w:pPr>
        <w:pStyle w:val="19"/>
        <w:tabs>
          <w:tab w:val="left" w:pos="-56"/>
          <w:tab w:val="left" w:pos="1440"/>
        </w:tabs>
        <w:spacing w:line="500" w:lineRule="exact"/>
        <w:ind w:firstLine="720" w:firstLineChars="300"/>
        <w:rPr>
          <w:rFonts w:ascii="宋体" w:hAnsi="宋体" w:cs="宋体"/>
          <w:bCs/>
        </w:rPr>
      </w:pPr>
      <w:r>
        <w:rPr>
          <w:rFonts w:ascii="宋体" w:hAnsi="宋体" w:cs="宋体"/>
          <w:bCs/>
        </w:rPr>
        <w:t>2.负责协调乙方在甲方办公地点等一系列工作。</w:t>
      </w:r>
    </w:p>
    <w:p w14:paraId="02F7DF0B">
      <w:pPr>
        <w:pStyle w:val="19"/>
        <w:tabs>
          <w:tab w:val="left" w:pos="-56"/>
          <w:tab w:val="left" w:pos="1440"/>
        </w:tabs>
        <w:spacing w:line="500" w:lineRule="exact"/>
        <w:ind w:firstLine="720" w:firstLineChars="300"/>
        <w:rPr>
          <w:rFonts w:ascii="宋体" w:hAnsi="宋体" w:cs="宋体"/>
          <w:bCs/>
        </w:rPr>
      </w:pPr>
      <w:r>
        <w:rPr>
          <w:rFonts w:hint="eastAsia" w:ascii="宋体" w:hAnsi="宋体" w:cs="宋体"/>
          <w:bCs/>
        </w:rPr>
        <w:t>3</w:t>
      </w:r>
      <w:r>
        <w:rPr>
          <w:rFonts w:ascii="宋体" w:hAnsi="宋体" w:cs="宋体"/>
          <w:bCs/>
        </w:rPr>
        <w:t>.严格按照合同约定向乙方支付合同款项。</w:t>
      </w:r>
    </w:p>
    <w:p w14:paraId="6A9FE5E0">
      <w:pPr>
        <w:pStyle w:val="19"/>
        <w:tabs>
          <w:tab w:val="left" w:pos="-56"/>
          <w:tab w:val="left" w:pos="1440"/>
        </w:tabs>
        <w:spacing w:line="500" w:lineRule="exact"/>
        <w:ind w:firstLine="720" w:firstLineChars="300"/>
        <w:rPr>
          <w:rFonts w:ascii="宋体" w:hAnsi="宋体"/>
        </w:rPr>
      </w:pPr>
      <w:r>
        <w:rPr>
          <w:rFonts w:hint="eastAsia" w:ascii="宋体" w:hAnsi="宋体" w:cs="宋体"/>
          <w:bCs/>
        </w:rPr>
        <w:t>4</w:t>
      </w:r>
      <w:r>
        <w:rPr>
          <w:rFonts w:ascii="宋体" w:hAnsi="宋体" w:cs="宋体"/>
          <w:bCs/>
        </w:rPr>
        <w:t>.在项目实施完毕后，甲方根据合同规定及时组织相关人员对项目进行验收。</w:t>
      </w:r>
    </w:p>
    <w:p w14:paraId="49D04A39">
      <w:pPr>
        <w:pStyle w:val="19"/>
        <w:tabs>
          <w:tab w:val="left" w:pos="-56"/>
          <w:tab w:val="left" w:pos="1440"/>
        </w:tabs>
        <w:spacing w:line="500" w:lineRule="exact"/>
        <w:ind w:left="420" w:firstLine="241" w:firstLineChars="100"/>
        <w:rPr>
          <w:rFonts w:ascii="宋体" w:hAnsi="宋体" w:cs="宋体"/>
          <w:b/>
        </w:rPr>
      </w:pPr>
      <w:r>
        <w:rPr>
          <w:rFonts w:ascii="宋体" w:hAnsi="宋体" w:cs="宋体"/>
          <w:b/>
        </w:rPr>
        <w:t>（二）乙方的权利义务</w:t>
      </w:r>
    </w:p>
    <w:p w14:paraId="4511F079">
      <w:pPr>
        <w:pStyle w:val="19"/>
        <w:tabs>
          <w:tab w:val="left" w:pos="-56"/>
          <w:tab w:val="left" w:pos="1440"/>
        </w:tabs>
        <w:spacing w:line="500" w:lineRule="exact"/>
        <w:rPr>
          <w:rFonts w:ascii="宋体" w:hAnsi="宋体" w:cs="宋体"/>
          <w:bCs/>
        </w:rPr>
      </w:pPr>
      <w:r>
        <w:rPr>
          <w:rFonts w:ascii="宋体" w:hAnsi="宋体" w:cs="宋体"/>
          <w:bCs/>
        </w:rPr>
        <w:t>1.根据甲方的要求，</w:t>
      </w:r>
      <w:r>
        <w:rPr>
          <w:rFonts w:hint="eastAsia" w:ascii="宋体" w:hAnsi="宋体" w:cs="宋体"/>
          <w:bCs/>
        </w:rPr>
        <w:t>乙方应为本项目成立专门的团队并指派项目负责人：</w:t>
      </w:r>
      <w:r>
        <w:rPr>
          <w:rFonts w:ascii="宋体" w:hAnsi="宋体" w:cs="宋体"/>
          <w:bCs/>
        </w:rPr>
        <w:t xml:space="preserve"> </w:t>
      </w:r>
      <w:r>
        <w:rPr>
          <w:rFonts w:hint="eastAsia" w:ascii="宋体" w:hAnsi="宋体" w:cs="宋体"/>
          <w:bCs/>
          <w:u w:val="single"/>
          <w:lang w:val="en-US" w:eastAsia="zh-CN"/>
        </w:rPr>
        <w:t xml:space="preserve">            </w:t>
      </w:r>
      <w:r>
        <w:rPr>
          <w:rFonts w:hint="eastAsia" w:ascii="宋体" w:hAnsi="宋体" w:cs="宋体"/>
          <w:bCs/>
        </w:rPr>
        <w:t>，联系电话：</w:t>
      </w:r>
      <w:r>
        <w:rPr>
          <w:rFonts w:hint="eastAsia" w:ascii="宋体" w:hAnsi="宋体" w:cs="宋体"/>
          <w:bCs/>
          <w:u w:val="single"/>
          <w:lang w:val="en-US" w:eastAsia="zh-CN"/>
        </w:rPr>
        <w:t xml:space="preserve">               </w:t>
      </w:r>
      <w:r>
        <w:rPr>
          <w:rFonts w:hint="eastAsia" w:ascii="宋体" w:hAnsi="宋体" w:cs="宋体"/>
          <w:bCs/>
        </w:rPr>
        <w:t>，严格按照项目管理实施的规定组织相关人员等会同甲方指定人员成立项目组，负责本项目的具体实施工作。</w:t>
      </w:r>
    </w:p>
    <w:p w14:paraId="2D9B6894">
      <w:pPr>
        <w:pStyle w:val="19"/>
        <w:tabs>
          <w:tab w:val="left" w:pos="-56"/>
          <w:tab w:val="left" w:pos="1440"/>
        </w:tabs>
        <w:spacing w:line="500" w:lineRule="exact"/>
        <w:rPr>
          <w:rFonts w:ascii="宋体" w:hAnsi="宋体" w:cs="宋体"/>
          <w:bCs/>
        </w:rPr>
      </w:pPr>
      <w:r>
        <w:rPr>
          <w:rFonts w:ascii="宋体" w:hAnsi="宋体" w:cs="宋体"/>
          <w:bCs/>
        </w:rPr>
        <w:t>2.乙方应严格按照双方约定完成建设任务，并及时、如实地向甲方通报实施进度。</w:t>
      </w:r>
      <w:r>
        <w:rPr>
          <w:rFonts w:hint="eastAsia"/>
          <w:lang w:eastAsia="zh-Hans"/>
        </w:rPr>
        <w:t>乙方应保存与其提供本协议项下服务有关的所有工作记录和文档材料（包括但不限于纸质版本以及电子版本），甲方有权随时查看并要求乙方提供、乙方应给予查看并提供该等工作记录和文档材料给甲方。</w:t>
      </w:r>
    </w:p>
    <w:p w14:paraId="3781D3B9">
      <w:pPr>
        <w:pStyle w:val="19"/>
        <w:tabs>
          <w:tab w:val="left" w:pos="-56"/>
          <w:tab w:val="left" w:pos="1440"/>
        </w:tabs>
        <w:spacing w:line="500" w:lineRule="exact"/>
        <w:rPr>
          <w:rFonts w:ascii="宋体" w:hAnsi="宋体" w:cs="宋体"/>
          <w:bCs/>
        </w:rPr>
      </w:pPr>
      <w:r>
        <w:rPr>
          <w:rFonts w:ascii="宋体" w:hAnsi="宋体" w:cs="宋体"/>
          <w:bCs/>
        </w:rPr>
        <w:t>3.乙方有向甲方提供技术培训的义务，保证甲方操作人员可以正确、流畅地使用。</w:t>
      </w:r>
    </w:p>
    <w:p w14:paraId="40981F30">
      <w:pPr>
        <w:pStyle w:val="19"/>
        <w:tabs>
          <w:tab w:val="left" w:pos="-56"/>
          <w:tab w:val="left" w:pos="1440"/>
        </w:tabs>
        <w:spacing w:line="500" w:lineRule="exact"/>
        <w:rPr>
          <w:rFonts w:ascii="宋体" w:hAnsi="宋体" w:cs="宋体"/>
          <w:bCs/>
        </w:rPr>
      </w:pPr>
      <w:r>
        <w:rPr>
          <w:rFonts w:ascii="宋体" w:hAnsi="宋体" w:cs="宋体"/>
          <w:bCs/>
        </w:rPr>
        <w:t>4.按甲方的实际情况，完成服务工作。</w:t>
      </w:r>
    </w:p>
    <w:p w14:paraId="72AD0C9F">
      <w:pPr>
        <w:pStyle w:val="19"/>
        <w:tabs>
          <w:tab w:val="left" w:pos="-56"/>
          <w:tab w:val="left" w:pos="1440"/>
        </w:tabs>
        <w:spacing w:line="500" w:lineRule="exact"/>
        <w:rPr>
          <w:rFonts w:ascii="宋体" w:hAnsi="宋体" w:cs="宋体"/>
          <w:bCs/>
        </w:rPr>
      </w:pPr>
      <w:r>
        <w:rPr>
          <w:rFonts w:ascii="宋体" w:hAnsi="宋体" w:cs="宋体"/>
          <w:bCs/>
        </w:rPr>
        <w:t>5.甲方向乙方提供的内部资料乙方应予以保密，乙方承诺不向任何第三方泄露。</w:t>
      </w:r>
    </w:p>
    <w:p w14:paraId="1075B88B">
      <w:pPr>
        <w:pStyle w:val="19"/>
        <w:tabs>
          <w:tab w:val="left" w:pos="-56"/>
          <w:tab w:val="left" w:pos="1440"/>
        </w:tabs>
        <w:spacing w:line="500" w:lineRule="exact"/>
        <w:rPr>
          <w:rFonts w:ascii="宋体" w:hAnsi="宋体" w:cs="宋体"/>
          <w:bCs/>
        </w:rPr>
      </w:pPr>
      <w:r>
        <w:rPr>
          <w:rFonts w:ascii="宋体" w:hAnsi="宋体" w:cs="宋体"/>
          <w:bCs/>
        </w:rPr>
        <w:t>6.乙方应按合同规定时间完成服务。</w:t>
      </w:r>
    </w:p>
    <w:p w14:paraId="3FDC58DC">
      <w:pPr>
        <w:pStyle w:val="19"/>
        <w:tabs>
          <w:tab w:val="left" w:pos="-56"/>
          <w:tab w:val="left" w:pos="1440"/>
        </w:tabs>
        <w:spacing w:line="500" w:lineRule="exact"/>
        <w:rPr>
          <w:rFonts w:ascii="宋体" w:hAnsi="宋体" w:cs="宋体"/>
          <w:bCs/>
        </w:rPr>
      </w:pPr>
      <w:r>
        <w:rPr>
          <w:rFonts w:ascii="宋体" w:hAnsi="宋体" w:cs="宋体"/>
          <w:bCs/>
        </w:rPr>
        <w:t>7.乙方在项目结束时提交相应文档，并积极配合甲方对项目进行验收。</w:t>
      </w:r>
    </w:p>
    <w:p w14:paraId="6B3F1F52">
      <w:pPr>
        <w:spacing w:line="500" w:lineRule="exact"/>
        <w:ind w:firstLine="480" w:firstLineChars="200"/>
        <w:rPr>
          <w:rFonts w:ascii="宋体" w:hAnsi="宋体" w:cs="宋体"/>
          <w:sz w:val="24"/>
        </w:rPr>
      </w:pPr>
      <w:r>
        <w:rPr>
          <w:rFonts w:ascii="宋体" w:hAnsi="宋体" w:cs="宋体"/>
          <w:sz w:val="24"/>
        </w:rPr>
        <w:t>8.乙方有义务配合甲方或相关单位根据工作需要，对其提供服务情况及项目服务费支出、使用情况进行的监督和检查，出现问题的应及时整改。</w:t>
      </w:r>
    </w:p>
    <w:p w14:paraId="5201D60A">
      <w:pPr>
        <w:pStyle w:val="15"/>
        <w:spacing w:line="360" w:lineRule="auto"/>
        <w:ind w:firstLine="480" w:firstLineChars="200"/>
        <w:rPr>
          <w:rFonts w:ascii="宋体" w:hAnsi="宋体" w:cs="宋体"/>
          <w:sz w:val="24"/>
        </w:rPr>
      </w:pPr>
      <w:r>
        <w:rPr>
          <w:rFonts w:ascii="宋体" w:hAnsi="宋体" w:cs="宋体"/>
          <w:sz w:val="24"/>
        </w:rPr>
        <w:t>9.未经甲方的书面许可，乙方不得以任何形式将其在本合同项下的权利义务转让给任何第三方。</w:t>
      </w:r>
      <w:r>
        <w:rPr>
          <w:rFonts w:hint="eastAsia"/>
          <w:sz w:val="24"/>
          <w:lang w:eastAsia="zh-Hans"/>
        </w:rPr>
        <w:t>甲乙双方之间仅为</w:t>
      </w:r>
      <w:r>
        <w:rPr>
          <w:rFonts w:hint="eastAsia"/>
          <w:sz w:val="24"/>
        </w:rPr>
        <w:t>学生公寓</w:t>
      </w:r>
      <w:r>
        <w:rPr>
          <w:rFonts w:hint="eastAsia"/>
          <w:sz w:val="24"/>
          <w:lang w:eastAsia="zh-Hans"/>
        </w:rPr>
        <w:t>服务合同关系，乙方为甲方提供的本协议项下服务为独立的服务，乙方服务人员仅接受乙方安排，从事本协议项下乙方所承接外包业务中的相关工作，并未作为甲方的员工与甲方建立或存续任何劳动关系或者雇佣关系，故亦不享受甲方员工所享有的工资、各项法定的社会保险、福利待遇以及甲方员工依据甲方的规章制度所可能获得的包括但不限于奖金、津贴、补贴等各类费用。如双方履约期间或属履约期内发生的任何有关劳动方面的争议，所产生的法律责任和经济责任均由乙方自行承担，与甲方无任何关系，且甲方不承担任何连带责任，包括经济责任和法律责任。</w:t>
      </w:r>
    </w:p>
    <w:p w14:paraId="5BDA124F">
      <w:pPr>
        <w:pStyle w:val="19"/>
        <w:tabs>
          <w:tab w:val="left" w:pos="1440"/>
        </w:tabs>
        <w:spacing w:line="500" w:lineRule="exact"/>
        <w:ind w:left="426" w:firstLine="0"/>
        <w:rPr>
          <w:rFonts w:ascii="宋体" w:hAnsi="宋体" w:cs="宋体"/>
          <w:b/>
        </w:rPr>
      </w:pPr>
      <w:r>
        <w:rPr>
          <w:rFonts w:hint="eastAsia" w:ascii="宋体" w:hAnsi="宋体" w:cs="宋体"/>
          <w:b/>
        </w:rPr>
        <w:t>第七条</w:t>
      </w:r>
      <w:r>
        <w:rPr>
          <w:rFonts w:ascii="宋体" w:hAnsi="宋体" w:cs="宋体"/>
          <w:b/>
        </w:rPr>
        <w:t xml:space="preserve"> </w:t>
      </w:r>
      <w:r>
        <w:rPr>
          <w:rFonts w:hint="eastAsia" w:ascii="宋体" w:hAnsi="宋体" w:cs="宋体"/>
          <w:b/>
        </w:rPr>
        <w:t>项目考核见附件学生公寓标准化管理考核明细表（试行）</w:t>
      </w:r>
    </w:p>
    <w:p w14:paraId="1F87CF16">
      <w:pPr>
        <w:pStyle w:val="19"/>
        <w:tabs>
          <w:tab w:val="left" w:pos="1440"/>
        </w:tabs>
        <w:spacing w:line="500" w:lineRule="exact"/>
        <w:ind w:left="426" w:firstLine="0"/>
        <w:rPr>
          <w:rFonts w:ascii="宋体" w:hAnsi="宋体" w:cs="宋体"/>
          <w:b/>
        </w:rPr>
      </w:pPr>
      <w:r>
        <w:rPr>
          <w:rFonts w:hint="eastAsia" w:ascii="宋体" w:hAnsi="宋体" w:cs="宋体"/>
          <w:b/>
        </w:rPr>
        <w:t>第八条</w:t>
      </w:r>
      <w:r>
        <w:rPr>
          <w:rFonts w:ascii="宋体" w:hAnsi="宋体" w:cs="宋体"/>
          <w:b/>
        </w:rPr>
        <w:t xml:space="preserve"> </w:t>
      </w:r>
      <w:r>
        <w:rPr>
          <w:rFonts w:hint="eastAsia" w:ascii="宋体" w:hAnsi="宋体" w:cs="宋体"/>
          <w:b/>
        </w:rPr>
        <w:t>费用核算</w:t>
      </w:r>
    </w:p>
    <w:p w14:paraId="5F7E489B">
      <w:pPr>
        <w:tabs>
          <w:tab w:val="left" w:pos="900"/>
        </w:tabs>
        <w:spacing w:line="500" w:lineRule="exact"/>
        <w:ind w:firstLine="480" w:firstLineChars="200"/>
        <w:rPr>
          <w:rFonts w:ascii="宋体" w:hAnsi="宋体" w:cs="宋体"/>
          <w:sz w:val="24"/>
          <w:highlight w:val="red"/>
        </w:rPr>
      </w:pPr>
      <w:r>
        <w:rPr>
          <w:rFonts w:ascii="宋体" w:hAnsi="宋体" w:cs="宋体"/>
          <w:sz w:val="24"/>
        </w:rPr>
        <w:t>（一）</w:t>
      </w:r>
      <w:r>
        <w:rPr>
          <w:rFonts w:hint="eastAsia" w:ascii="宋体" w:hAnsi="宋体" w:cs="宋体"/>
          <w:sz w:val="24"/>
        </w:rPr>
        <w:t>若有疫情防控，校园实行动态封闭式管理期间，合同结算时将按实际到岗人数参照投</w:t>
      </w:r>
      <w:r>
        <w:rPr>
          <w:rFonts w:ascii="宋体" w:hAnsi="宋体" w:cs="宋体"/>
          <w:sz w:val="24"/>
        </w:rPr>
        <w:t>标</w:t>
      </w:r>
      <w:r>
        <w:rPr>
          <w:rFonts w:hint="eastAsia" w:ascii="宋体" w:hAnsi="宋体" w:cs="宋体"/>
          <w:sz w:val="24"/>
        </w:rPr>
        <w:t>文件工资标准进行核算。人员工资在原合同标准的基础上参照北京相关政策执行。</w:t>
      </w:r>
    </w:p>
    <w:p w14:paraId="73F71D5F">
      <w:pPr>
        <w:tabs>
          <w:tab w:val="left" w:pos="900"/>
        </w:tabs>
        <w:spacing w:line="500" w:lineRule="exact"/>
        <w:ind w:firstLine="480" w:firstLineChars="200"/>
        <w:rPr>
          <w:rFonts w:ascii="宋体" w:hAnsi="宋体" w:cs="宋体"/>
          <w:sz w:val="24"/>
          <w:highlight w:val="green"/>
        </w:rPr>
      </w:pPr>
      <w:r>
        <w:rPr>
          <w:rFonts w:ascii="宋体" w:hAnsi="宋体" w:cs="宋体"/>
          <w:sz w:val="24"/>
        </w:rPr>
        <w:t>(二）</w:t>
      </w:r>
      <w:r>
        <w:rPr>
          <w:rFonts w:hint="eastAsia" w:ascii="宋体" w:hAnsi="宋体" w:cs="宋体"/>
          <w:sz w:val="24"/>
        </w:rPr>
        <w:t>校园未实行封闭管理期间，按照原服务合同约定的服务内容、服务质量、服务标准进行考核核算。</w:t>
      </w:r>
    </w:p>
    <w:p w14:paraId="78299B69">
      <w:pPr>
        <w:pStyle w:val="42"/>
        <w:tabs>
          <w:tab w:val="left" w:pos="5580"/>
        </w:tabs>
        <w:spacing w:line="500" w:lineRule="exact"/>
        <w:ind w:left="0" w:leftChars="0" w:firstLine="482"/>
        <w:rPr>
          <w:rFonts w:ascii="宋体" w:hAnsi="宋体" w:cs="宋体"/>
          <w:b/>
          <w:szCs w:val="24"/>
        </w:rPr>
      </w:pPr>
      <w:r>
        <w:rPr>
          <w:rFonts w:hint="eastAsia" w:ascii="宋体" w:hAnsi="宋体" w:cs="宋体"/>
          <w:b/>
          <w:szCs w:val="24"/>
        </w:rPr>
        <w:t>第九条</w:t>
      </w:r>
      <w:r>
        <w:rPr>
          <w:rFonts w:ascii="宋体" w:hAnsi="宋体" w:cs="宋体"/>
          <w:b/>
          <w:szCs w:val="24"/>
        </w:rPr>
        <w:t xml:space="preserve">  </w:t>
      </w:r>
      <w:r>
        <w:rPr>
          <w:rFonts w:hint="eastAsia" w:ascii="宋体" w:hAnsi="宋体" w:cs="宋体"/>
          <w:b/>
          <w:szCs w:val="24"/>
        </w:rPr>
        <w:t>附则</w:t>
      </w:r>
    </w:p>
    <w:p w14:paraId="3B6AEFA9">
      <w:pPr>
        <w:pStyle w:val="42"/>
        <w:tabs>
          <w:tab w:val="left" w:pos="5580"/>
        </w:tabs>
        <w:spacing w:line="500" w:lineRule="exact"/>
        <w:ind w:left="0" w:leftChars="0" w:firstLine="480"/>
        <w:rPr>
          <w:rFonts w:ascii="宋体" w:hAnsi="宋体" w:cs="宋体"/>
          <w:bCs/>
          <w:szCs w:val="24"/>
        </w:rPr>
      </w:pPr>
      <w:r>
        <w:rPr>
          <w:rFonts w:ascii="宋体" w:hAnsi="宋体" w:cs="宋体"/>
          <w:bCs/>
          <w:szCs w:val="24"/>
        </w:rPr>
        <w:t>（一）</w:t>
      </w:r>
      <w:r>
        <w:rPr>
          <w:rFonts w:hint="eastAsia" w:ascii="宋体" w:hAnsi="宋体" w:cs="宋体"/>
          <w:bCs/>
          <w:szCs w:val="24"/>
        </w:rPr>
        <w:t>违约责任</w:t>
      </w:r>
      <w:r>
        <w:rPr>
          <w:rFonts w:ascii="宋体" w:hAnsi="宋体" w:cs="宋体"/>
          <w:bCs/>
          <w:szCs w:val="24"/>
        </w:rPr>
        <w:t xml:space="preserve"> </w:t>
      </w:r>
    </w:p>
    <w:p w14:paraId="17BEB009">
      <w:pPr>
        <w:pStyle w:val="42"/>
        <w:tabs>
          <w:tab w:val="left" w:pos="5580"/>
        </w:tabs>
        <w:spacing w:line="500" w:lineRule="exact"/>
        <w:ind w:left="0" w:leftChars="0" w:firstLine="480"/>
        <w:rPr>
          <w:rFonts w:ascii="宋体" w:hAnsi="宋体" w:cs="宋体"/>
        </w:rPr>
      </w:pPr>
      <w:r>
        <w:rPr>
          <w:rFonts w:ascii="宋体" w:hAnsi="宋体" w:cs="宋体"/>
        </w:rPr>
        <w:t>1.</w:t>
      </w:r>
      <w:r>
        <w:rPr>
          <w:rFonts w:hint="eastAsia" w:ascii="宋体" w:hAnsi="宋体" w:cs="宋体"/>
        </w:rPr>
        <w:t>甲方违约责任</w:t>
      </w:r>
    </w:p>
    <w:p w14:paraId="0AC5E317">
      <w:pPr>
        <w:snapToGrid w:val="0"/>
        <w:spacing w:line="500" w:lineRule="exact"/>
        <w:ind w:firstLine="480" w:firstLineChars="200"/>
        <w:rPr>
          <w:rFonts w:ascii="宋体" w:hAnsi="宋体" w:cs="宋体"/>
          <w:sz w:val="24"/>
        </w:rPr>
      </w:pPr>
      <w:r>
        <w:rPr>
          <w:rFonts w:hint="eastAsia" w:ascii="宋体" w:hAnsi="宋体" w:cs="宋体"/>
          <w:sz w:val="24"/>
        </w:rPr>
        <w:t>甲方应按时支付合同约定的服务费用，如逾期支付服务费用的，每天应按照逾期付款金额的万分之五向乙方支付违约金，最高不超过合同总价的百分之五。但甲方未支付服务费用系乙方原因导致（包括但不限于未提供符合甲方要求的发票或账号信息错误等），则甲方无需承担迟延付款的违约责任。</w:t>
      </w:r>
    </w:p>
    <w:p w14:paraId="3666C69B">
      <w:pPr>
        <w:snapToGrid w:val="0"/>
        <w:spacing w:line="5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乙方违约责任</w:t>
      </w:r>
    </w:p>
    <w:p w14:paraId="1316C686">
      <w:pPr>
        <w:snapToGrid w:val="0"/>
        <w:spacing w:line="500" w:lineRule="exact"/>
        <w:ind w:firstLine="480" w:firstLineChars="200"/>
        <w:rPr>
          <w:rFonts w:ascii="宋体" w:hAnsi="宋体" w:cs="宋体"/>
          <w:sz w:val="24"/>
        </w:rPr>
      </w:pPr>
      <w:r>
        <w:rPr>
          <w:rFonts w:ascii="宋体" w:hAnsi="宋体" w:cs="宋体"/>
          <w:sz w:val="24"/>
        </w:rPr>
        <w:t>（1）乙方未按合同约定时间内履行合同义务的，应每天按照合同总金额的万分之五向甲方支付违约金，逾期达10日及以上的，甲方有权解除本合同，且拒付任何费用，乙方应返还甲方已支付但未实际履行部分的费用，并按照不低于合同总价10%的金额支付违约金，违约金不足以弥补甲方损失的，乙方应补足甲方所受损失。</w:t>
      </w:r>
    </w:p>
    <w:p w14:paraId="5CC2BEA2">
      <w:pPr>
        <w:snapToGrid w:val="0"/>
        <w:spacing w:line="500" w:lineRule="exact"/>
        <w:ind w:firstLine="360" w:firstLineChars="150"/>
        <w:rPr>
          <w:rFonts w:ascii="宋体" w:hAnsi="宋体" w:cs="宋体"/>
          <w:sz w:val="24"/>
        </w:rPr>
      </w:pPr>
      <w:r>
        <w:rPr>
          <w:rFonts w:ascii="宋体" w:hAnsi="宋体" w:cs="宋体"/>
          <w:sz w:val="24"/>
        </w:rPr>
        <w:t xml:space="preserve"> （2）因乙方原因，服务质量未达到合同约定的服务标准，乙方应采取补救措施，在甲方指定时间内完成整改达到标准。乙方拒绝整改或者整改后仍不合格的，或服务质量未达到合同约定的服务标准的情况发生三次及以上的，甲方有权解除合同，且有权拒付任何费用，乙方应返还甲方已支付但未实际履行部分的费用，并应向甲方支付不低于合同总价10%的违约金，违约金不足以弥补甲方损失的，乙方应补足甲方所受损失。</w:t>
      </w:r>
    </w:p>
    <w:p w14:paraId="7B4D0BE1">
      <w:pPr>
        <w:snapToGrid w:val="0"/>
        <w:spacing w:line="500" w:lineRule="exact"/>
        <w:ind w:firstLine="480" w:firstLineChars="200"/>
        <w:rPr>
          <w:rFonts w:ascii="宋体" w:hAnsi="宋体" w:cs="宋体"/>
          <w:sz w:val="24"/>
        </w:rPr>
      </w:pPr>
      <w:r>
        <w:rPr>
          <w:rFonts w:ascii="宋体" w:hAnsi="宋体" w:cs="宋体"/>
          <w:sz w:val="24"/>
        </w:rPr>
        <w:t>（3）未经甲方书面同意，乙方擅自更改、调整服务方案，应在甲方指定时间内进行整改。如整改不合格或发生擅自更改、调整服务方案情况三次及以上的，甲方有权解除合同，且有权拒付任何费用，乙方应返还甲方已支付但未实际履行部分的费用，并应向甲方支付不低于合同总价10%的违约金，违约金不足以弥补甲方损失的，乙方应补足甲方所受损失。</w:t>
      </w:r>
    </w:p>
    <w:p w14:paraId="2023F134">
      <w:pPr>
        <w:snapToGrid w:val="0"/>
        <w:spacing w:line="500" w:lineRule="exact"/>
        <w:ind w:firstLine="480" w:firstLineChars="200"/>
        <w:rPr>
          <w:rFonts w:ascii="宋体" w:hAnsi="宋体" w:cs="宋体"/>
          <w:sz w:val="24"/>
        </w:rPr>
      </w:pPr>
      <w:r>
        <w:rPr>
          <w:rFonts w:ascii="宋体" w:hAnsi="宋体" w:cs="宋体"/>
          <w:sz w:val="24"/>
        </w:rPr>
        <w:t>（4）乙方不得擅自将承包的服务项目进行分包或转包给他人，如出现分包或转包情况应当承担法律责任，甲方有权解除合同，且有权拒付任何费用，乙方应返还甲方已支付但未实际履行部分的费用，并应向甲方支付不低于合同总价10%的违约金，违约金不足以弥补甲方损失的，乙方应补足甲方所受损失。</w:t>
      </w:r>
    </w:p>
    <w:p w14:paraId="722307DA">
      <w:pPr>
        <w:snapToGrid w:val="0"/>
        <w:spacing w:line="500" w:lineRule="exact"/>
        <w:ind w:firstLine="480" w:firstLineChars="200"/>
        <w:rPr>
          <w:rFonts w:ascii="宋体" w:hAnsi="宋体" w:cs="宋体"/>
          <w:sz w:val="24"/>
        </w:rPr>
      </w:pPr>
      <w:r>
        <w:rPr>
          <w:rFonts w:ascii="宋体" w:hAnsi="宋体" w:cs="宋体"/>
          <w:sz w:val="24"/>
        </w:rPr>
        <w:t>（5）本合同履行期限内，因乙方原因造成重大安全责任事故或给甲方造成重大负面影响的，甲方有权解除本合同，且有权拒付任何费用，乙方应返还甲方已支付但未实际履行部分的费用，并应向甲方支付不低于合同总价10%的违约金。违约金不足以弥补甲方损失的，乙方应补足甲方所受损失。</w:t>
      </w:r>
    </w:p>
    <w:p w14:paraId="6E56F3AF">
      <w:pPr>
        <w:snapToGrid w:val="0"/>
        <w:spacing w:line="500" w:lineRule="exact"/>
        <w:ind w:firstLine="480" w:firstLineChars="200"/>
        <w:rPr>
          <w:rFonts w:ascii="宋体" w:hAnsi="宋体" w:cs="宋体"/>
          <w:sz w:val="24"/>
        </w:rPr>
      </w:pPr>
      <w:r>
        <w:rPr>
          <w:rFonts w:ascii="宋体" w:hAnsi="宋体" w:cs="宋体"/>
          <w:sz w:val="24"/>
        </w:rPr>
        <w:t>（6）乙方未经甲方允许，不得擅自将因履行本合同所知悉的甲方保密信息及与本合同有关的任何资料泄露或公开给第三方。乙方违反本条约定，甲方有权解除本合同，且乙方应承担全部法律责任并赔偿因此给甲方造成的全部损失，违约金数额以甲方所受损失为准。本条规定持续有效，不因本合同终止而失效。</w:t>
      </w:r>
    </w:p>
    <w:p w14:paraId="15ED6569">
      <w:pPr>
        <w:pStyle w:val="42"/>
        <w:tabs>
          <w:tab w:val="left" w:pos="5580"/>
        </w:tabs>
        <w:spacing w:line="500" w:lineRule="exact"/>
        <w:ind w:left="0" w:leftChars="0" w:firstLine="480"/>
        <w:rPr>
          <w:rFonts w:ascii="宋体" w:hAnsi="宋体" w:cs="宋体"/>
          <w:szCs w:val="24"/>
        </w:rPr>
      </w:pPr>
      <w:r>
        <w:rPr>
          <w:rFonts w:ascii="宋体" w:hAnsi="宋体" w:cs="宋体"/>
          <w:szCs w:val="24"/>
        </w:rPr>
        <w:t>（7）乙方应保证其有资质和能力签订并履行本合同，否则甲方有权解除本合同，要求乙方支付不低于合同总价10%的违约金，违约金不足以弥补甲方损失的，乙方应补足甲方所受损失。</w:t>
      </w:r>
    </w:p>
    <w:p w14:paraId="06EE4A1D">
      <w:pPr>
        <w:pStyle w:val="42"/>
        <w:tabs>
          <w:tab w:val="left" w:pos="5580"/>
        </w:tabs>
        <w:spacing w:line="500" w:lineRule="exact"/>
        <w:ind w:left="0" w:leftChars="0" w:firstLine="480"/>
        <w:rPr>
          <w:rFonts w:ascii="宋体" w:hAnsi="宋体" w:cs="宋体"/>
          <w:szCs w:val="24"/>
        </w:rPr>
      </w:pPr>
      <w:r>
        <w:rPr>
          <w:rFonts w:ascii="宋体" w:hAnsi="宋体" w:cs="宋体"/>
          <w:szCs w:val="24"/>
        </w:rPr>
        <w:t>（8）因乙方或</w:t>
      </w:r>
      <w:r>
        <w:rPr>
          <w:rFonts w:hint="eastAsia" w:ascii="宋体" w:hAnsi="宋体" w:cs="宋体"/>
          <w:szCs w:val="24"/>
        </w:rPr>
        <w:t>乙方宿管人员原因（包括但不限于故意、失职等重大过失）造成甲方及第三人财产损失（包括但不限于甲方设备、工具丢失、损毁，生产资料丢失、损毁，用户利益受损等情形），或造成甲方员工及第三人人身损害的，甲方有权单方解除合同，要求乙方支付不低于合同总价</w:t>
      </w:r>
      <w:r>
        <w:rPr>
          <w:rFonts w:ascii="宋体" w:hAnsi="宋体" w:cs="宋体"/>
          <w:szCs w:val="24"/>
        </w:rPr>
        <w:t>10%的违约金，违约金不足以弥补甲方损失的，乙方应补足甲方所受损失。</w:t>
      </w:r>
    </w:p>
    <w:p w14:paraId="23E0535E">
      <w:pPr>
        <w:pStyle w:val="42"/>
        <w:tabs>
          <w:tab w:val="left" w:pos="5580"/>
        </w:tabs>
        <w:spacing w:line="500" w:lineRule="exact"/>
        <w:ind w:left="0" w:leftChars="0" w:firstLine="480"/>
        <w:rPr>
          <w:rFonts w:ascii="宋体" w:hAnsi="宋体" w:cs="宋体"/>
          <w:szCs w:val="24"/>
        </w:rPr>
      </w:pPr>
      <w:r>
        <w:rPr>
          <w:rFonts w:ascii="宋体" w:hAnsi="宋体" w:cs="宋体"/>
          <w:szCs w:val="24"/>
        </w:rPr>
        <w:t>（9）乙方或</w:t>
      </w:r>
      <w:r>
        <w:rPr>
          <w:rFonts w:hint="eastAsia" w:ascii="宋体" w:hAnsi="宋体" w:cs="宋体"/>
          <w:szCs w:val="24"/>
        </w:rPr>
        <w:t>乙方宿管员擅自利用甲方提供的场所、工具或设备，从事与甲方要求无关的服务，甲方有权单方解除合同，要求乙方支付不低于合同总价</w:t>
      </w:r>
      <w:r>
        <w:rPr>
          <w:rFonts w:ascii="宋体" w:hAnsi="宋体" w:cs="宋体"/>
          <w:szCs w:val="24"/>
        </w:rPr>
        <w:t>10%的违约金，违约金不足以弥补甲方损失的，乙方应补足甲方所受损失。</w:t>
      </w:r>
    </w:p>
    <w:p w14:paraId="2C44F0B7">
      <w:pPr>
        <w:pStyle w:val="42"/>
        <w:tabs>
          <w:tab w:val="left" w:pos="5580"/>
        </w:tabs>
        <w:spacing w:line="500" w:lineRule="exact"/>
        <w:ind w:left="0" w:leftChars="0" w:firstLine="480"/>
        <w:rPr>
          <w:rFonts w:ascii="宋体" w:hAnsi="宋体" w:cs="宋体"/>
          <w:szCs w:val="24"/>
        </w:rPr>
      </w:pPr>
      <w:r>
        <w:rPr>
          <w:rFonts w:ascii="宋体" w:hAnsi="宋体" w:cs="宋体"/>
          <w:szCs w:val="24"/>
        </w:rPr>
        <w:t>（10）除本合同另有约定外，乙方违反合同约定其他义务的，经甲方催告后10日内仍拒不改正的，甲方有权解除本合同，乙方应向甲方支付不低于合同总价10%的违约金，违约金不足以弥补甲方损失的，乙方应补足甲方所受损失。</w:t>
      </w:r>
    </w:p>
    <w:p w14:paraId="2DC7509C">
      <w:pPr>
        <w:snapToGrid w:val="0"/>
        <w:spacing w:line="500" w:lineRule="exact"/>
        <w:ind w:firstLine="480" w:firstLineChars="200"/>
        <w:rPr>
          <w:rFonts w:ascii="宋体" w:hAnsi="宋体" w:cs="宋体"/>
          <w:sz w:val="24"/>
        </w:rPr>
      </w:pPr>
      <w:r>
        <w:rPr>
          <w:rFonts w:ascii="宋体" w:hAnsi="宋体" w:cs="宋体"/>
          <w:sz w:val="24"/>
        </w:rPr>
        <w:t>（11）上述所称给甲方造成的经济损失，包括但不限于实际损失、预期利益、律师费、鉴定费、公证费、交通费、诉讼费等。</w:t>
      </w:r>
    </w:p>
    <w:p w14:paraId="32F1A8F4">
      <w:pPr>
        <w:snapToGrid w:val="0"/>
        <w:spacing w:line="500" w:lineRule="exact"/>
        <w:ind w:firstLine="480" w:firstLineChars="200"/>
        <w:rPr>
          <w:rFonts w:ascii="宋体" w:hAnsi="宋体" w:cs="宋体"/>
          <w:sz w:val="24"/>
        </w:rPr>
      </w:pPr>
      <w:r>
        <w:rPr>
          <w:rFonts w:ascii="宋体" w:hAnsi="宋体" w:cs="宋体"/>
          <w:sz w:val="24"/>
        </w:rPr>
        <w:t>（二）</w:t>
      </w:r>
      <w:r>
        <w:rPr>
          <w:rFonts w:hint="eastAsia" w:ascii="宋体" w:hAnsi="宋体" w:cs="宋体"/>
          <w:sz w:val="24"/>
        </w:rPr>
        <w:t>通知、不可抗力及合同争议的解决</w:t>
      </w:r>
    </w:p>
    <w:p w14:paraId="4E632D7D">
      <w:pPr>
        <w:snapToGrid w:val="0"/>
        <w:spacing w:line="500" w:lineRule="exact"/>
        <w:ind w:firstLine="480" w:firstLineChars="200"/>
        <w:rPr>
          <w:rFonts w:ascii="宋体" w:hAnsi="宋体" w:cs="宋体"/>
          <w:sz w:val="24"/>
        </w:rPr>
      </w:pPr>
      <w:r>
        <w:rPr>
          <w:rFonts w:ascii="宋体" w:hAnsi="宋体" w:cs="宋体"/>
          <w:sz w:val="24"/>
        </w:rPr>
        <w:t>1.根据本合同需要发出的全部通知，均须采取书面形式按照本合同文首的</w:t>
      </w:r>
      <w:r>
        <w:rPr>
          <w:rFonts w:hint="eastAsia" w:ascii="宋体" w:hAnsi="宋体" w:cs="宋体"/>
          <w:sz w:val="24"/>
        </w:rPr>
        <w:t>地址（包括电子邮箱地址）发出，该地址同样适用于人民法院第一审程序、第二审程序、执行程序等诉讼程序以及仲裁程序。</w:t>
      </w:r>
    </w:p>
    <w:p w14:paraId="58AF55F7">
      <w:pPr>
        <w:snapToGrid w:val="0"/>
        <w:spacing w:line="500" w:lineRule="exact"/>
        <w:ind w:firstLine="480" w:firstLineChars="200"/>
        <w:rPr>
          <w:rFonts w:ascii="宋体" w:hAnsi="宋体" w:cs="宋体"/>
          <w:sz w:val="24"/>
        </w:rPr>
      </w:pPr>
      <w:r>
        <w:rPr>
          <w:rFonts w:hint="eastAsia" w:ascii="宋体" w:hAnsi="宋体" w:cs="宋体"/>
          <w:sz w:val="24"/>
        </w:rPr>
        <w:t>任何一方上述地址及约定的联系人、联系方式发生变更的，应当及时书面通知另一方。如果因接收方原因（包括但不限于接收方相关信息变更未及时通知、无人签收或拒收、电子邮箱地址不存在或者邮箱已满或者设置拒收等）导致通知发送失败，则发送方按照上述地址以寄送方式送达的书面文件，寄送后第</w:t>
      </w:r>
      <w:r>
        <w:rPr>
          <w:rFonts w:ascii="宋体" w:hAnsi="宋体" w:cs="宋体"/>
          <w:sz w:val="24"/>
        </w:rPr>
        <w:t>3个工作日视为送达；以电子邮件方式送达的书面文件，以电子邮件发送时间作为通知送达时间。</w:t>
      </w:r>
    </w:p>
    <w:p w14:paraId="65400247">
      <w:pPr>
        <w:snapToGrid w:val="0"/>
        <w:spacing w:line="500" w:lineRule="exact"/>
        <w:ind w:firstLine="480" w:firstLineChars="200"/>
        <w:rPr>
          <w:rFonts w:ascii="宋体" w:hAnsi="宋体" w:cs="宋体"/>
          <w:sz w:val="24"/>
        </w:rPr>
      </w:pPr>
      <w:r>
        <w:rPr>
          <w:rFonts w:ascii="宋体" w:hAnsi="宋体" w:cs="宋体"/>
          <w:sz w:val="24"/>
        </w:rPr>
        <w:t>2.由于不可抗力事件对本合同的履行造成影响的，按照影响程度由双方协商决定是否解除合同、部分免除或变更合同的责任，或延期履行合同。本合同所称不可抗力是指不能预见、不能克服、不能避免并对一方当事人造成重大影响的客观事件，包括但不限于自然灾害如洪水、地震、火灾和风暴等以及社会事件如战争、动乱、政府行为等。</w:t>
      </w:r>
    </w:p>
    <w:p w14:paraId="2FBF2B33">
      <w:pPr>
        <w:snapToGrid w:val="0"/>
        <w:spacing w:line="500" w:lineRule="exact"/>
        <w:ind w:firstLine="480" w:firstLineChars="200"/>
        <w:rPr>
          <w:rFonts w:ascii="宋体" w:hAnsi="宋体" w:cs="宋体"/>
          <w:sz w:val="24"/>
        </w:rPr>
      </w:pPr>
      <w:r>
        <w:rPr>
          <w:rFonts w:ascii="宋体" w:hAnsi="宋体" w:cs="宋体"/>
          <w:sz w:val="24"/>
        </w:rPr>
        <w:t>3.凡因本合同引起的或与本合同有关的任何争议，首先由双方协商解决，如果协商不能解决的，任何一方均可依法向甲方所在地有管辖权的人民法院起诉。</w:t>
      </w:r>
    </w:p>
    <w:p w14:paraId="61D53A13">
      <w:pPr>
        <w:snapToGrid w:val="0"/>
        <w:spacing w:line="500" w:lineRule="exact"/>
        <w:ind w:left="420" w:leftChars="200"/>
        <w:rPr>
          <w:rFonts w:ascii="宋体" w:hAnsi="宋体" w:cs="宋体"/>
          <w:sz w:val="24"/>
        </w:rPr>
      </w:pPr>
      <w:r>
        <w:rPr>
          <w:rFonts w:ascii="宋体" w:hAnsi="宋体" w:cs="宋体"/>
          <w:sz w:val="24"/>
        </w:rPr>
        <w:t>（三）</w:t>
      </w:r>
      <w:r>
        <w:rPr>
          <w:rFonts w:hint="eastAsia" w:ascii="宋体" w:hAnsi="宋体" w:cs="宋体"/>
          <w:sz w:val="24"/>
        </w:rPr>
        <w:t>合同生效</w:t>
      </w:r>
    </w:p>
    <w:p w14:paraId="26438B7F">
      <w:pPr>
        <w:snapToGrid w:val="0"/>
        <w:spacing w:line="500" w:lineRule="exact"/>
        <w:ind w:firstLine="480" w:firstLineChars="200"/>
        <w:rPr>
          <w:rFonts w:ascii="宋体" w:hAnsi="宋体"/>
          <w:sz w:val="24"/>
        </w:rPr>
      </w:pPr>
      <w:r>
        <w:rPr>
          <w:rFonts w:hint="eastAsia" w:ascii="宋体" w:hAnsi="宋体" w:cs="宋体"/>
          <w:sz w:val="24"/>
        </w:rPr>
        <w:t>本合同经双方法定代表人或授权代表人签字并加盖公章或合同专用章之日起生效。一式</w:t>
      </w:r>
      <w:r>
        <w:rPr>
          <w:rFonts w:hint="eastAsia" w:ascii="宋体" w:hAnsi="宋体" w:cs="宋体"/>
          <w:sz w:val="24"/>
          <w:u w:val="single"/>
        </w:rPr>
        <w:t>捌</w:t>
      </w:r>
      <w:r>
        <w:rPr>
          <w:rFonts w:hint="eastAsia" w:ascii="宋体" w:hAnsi="宋体" w:cs="宋体"/>
          <w:sz w:val="24"/>
        </w:rPr>
        <w:t>份，具有同等法律效力，由甲方、乙方分别保存</w:t>
      </w:r>
      <w:r>
        <w:rPr>
          <w:rFonts w:hint="eastAsia" w:ascii="宋体" w:hAnsi="宋体" w:cs="宋体"/>
          <w:sz w:val="24"/>
          <w:u w:val="single"/>
        </w:rPr>
        <w:t>肆</w:t>
      </w:r>
      <w:r>
        <w:rPr>
          <w:rFonts w:hint="eastAsia" w:ascii="宋体" w:hAnsi="宋体" w:cs="宋体"/>
          <w:sz w:val="24"/>
        </w:rPr>
        <w:t>份。合同所有附件与本合同具有同等法律效力，如果本合同正文所列条款与本合同附件有任何抵触，则以本合同正文所列条款为准，除非本合同附件另有约定。</w:t>
      </w:r>
    </w:p>
    <w:p w14:paraId="3947A8E2">
      <w:pPr>
        <w:pStyle w:val="42"/>
        <w:tabs>
          <w:tab w:val="left" w:pos="5580"/>
        </w:tabs>
        <w:spacing w:line="500" w:lineRule="exact"/>
        <w:ind w:left="0" w:leftChars="0" w:firstLine="480"/>
        <w:rPr>
          <w:rFonts w:ascii="宋体" w:hAnsi="宋体" w:cs="宋体"/>
          <w:szCs w:val="24"/>
        </w:rPr>
      </w:pPr>
      <w:r>
        <w:rPr>
          <w:rFonts w:hint="eastAsia" w:ascii="宋体" w:hAnsi="宋体" w:cs="宋体"/>
          <w:szCs w:val="24"/>
        </w:rPr>
        <w:t>附件：</w:t>
      </w:r>
    </w:p>
    <w:p w14:paraId="3BC6B9B5">
      <w:pPr>
        <w:tabs>
          <w:tab w:val="left" w:pos="900"/>
          <w:tab w:val="left" w:pos="1080"/>
        </w:tabs>
        <w:snapToGrid w:val="0"/>
        <w:spacing w:line="500" w:lineRule="exact"/>
        <w:ind w:firstLine="480" w:firstLineChars="200"/>
        <w:rPr>
          <w:rFonts w:ascii="宋体" w:hAnsi="宋体" w:cs="宋体"/>
          <w:sz w:val="24"/>
        </w:rPr>
      </w:pPr>
      <w:r>
        <w:rPr>
          <w:rFonts w:ascii="宋体" w:hAnsi="宋体" w:cs="宋体"/>
          <w:sz w:val="24"/>
        </w:rPr>
        <w:t>1、学生公寓标准化</w:t>
      </w:r>
      <w:r>
        <w:rPr>
          <w:rFonts w:hint="eastAsia" w:ascii="宋体" w:hAnsi="宋体" w:cs="宋体"/>
          <w:sz w:val="24"/>
        </w:rPr>
        <w:t>管理宿管人员配备表</w:t>
      </w:r>
    </w:p>
    <w:p w14:paraId="286DEC86">
      <w:pPr>
        <w:pStyle w:val="17"/>
        <w:ind w:firstLine="480" w:firstLineChars="200"/>
      </w:pPr>
      <w:r>
        <w:rPr>
          <w:rFonts w:hint="eastAsia"/>
        </w:rPr>
        <w:t>2、学生公寓标准化管理考核明细表（试行）</w:t>
      </w:r>
    </w:p>
    <w:p w14:paraId="023235DC">
      <w:pPr>
        <w:tabs>
          <w:tab w:val="left" w:pos="2020"/>
          <w:tab w:val="center" w:pos="4708"/>
        </w:tabs>
        <w:spacing w:line="500" w:lineRule="exact"/>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、学生公寓标准化管理项目安全生产协议</w:t>
      </w:r>
    </w:p>
    <w:p w14:paraId="195E05F8">
      <w:pPr>
        <w:spacing w:line="50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学生公寓标准化管理项目廉政责任书</w:t>
      </w:r>
    </w:p>
    <w:p w14:paraId="2EAAE152">
      <w:pPr>
        <w:spacing w:line="500" w:lineRule="exact"/>
        <w:ind w:firstLine="480" w:firstLineChars="200"/>
        <w:rPr>
          <w:rFonts w:ascii="宋体" w:hAnsi="宋体" w:cs="宋体"/>
          <w:sz w:val="24"/>
        </w:rPr>
      </w:pPr>
      <w:r>
        <w:rPr>
          <w:rFonts w:hint="eastAsia" w:ascii="宋体" w:hAnsi="宋体" w:cs="宋体"/>
          <w:sz w:val="24"/>
        </w:rPr>
        <w:t>5</w:t>
      </w:r>
      <w:r>
        <w:rPr>
          <w:rFonts w:ascii="宋体" w:hAnsi="宋体" w:cs="宋体"/>
          <w:sz w:val="24"/>
        </w:rPr>
        <w:t>、中标通知书</w:t>
      </w:r>
    </w:p>
    <w:p w14:paraId="4025F143">
      <w:pPr>
        <w:spacing w:line="50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、乙方公司营业执照截图等相关资质。</w:t>
      </w:r>
    </w:p>
    <w:p w14:paraId="279D8E4C">
      <w:pPr>
        <w:spacing w:line="500" w:lineRule="exact"/>
        <w:ind w:firstLine="482" w:firstLineChars="200"/>
        <w:rPr>
          <w:rFonts w:hint="eastAsia" w:ascii="宋体" w:hAnsi="宋体" w:cs="宋体"/>
          <w:b/>
          <w:sz w:val="24"/>
        </w:rPr>
      </w:pPr>
      <w:r>
        <w:rPr>
          <w:rFonts w:hint="eastAsia" w:ascii="宋体" w:hAnsi="宋体" w:cs="宋体"/>
          <w:b/>
          <w:sz w:val="24"/>
        </w:rPr>
        <w:t>（以下无正文）</w:t>
      </w:r>
    </w:p>
    <w:p w14:paraId="7921BF1A">
      <w:pPr>
        <w:spacing w:line="500" w:lineRule="exact"/>
        <w:ind w:firstLine="482" w:firstLineChars="200"/>
        <w:rPr>
          <w:rFonts w:hint="eastAsia" w:ascii="宋体" w:hAnsi="宋体" w:cs="宋体"/>
          <w:b/>
          <w:sz w:val="24"/>
        </w:rPr>
      </w:pPr>
    </w:p>
    <w:p w14:paraId="61752A9B">
      <w:pPr>
        <w:spacing w:line="500" w:lineRule="exact"/>
        <w:ind w:firstLine="482" w:firstLineChars="200"/>
        <w:rPr>
          <w:rFonts w:hint="eastAsia" w:ascii="宋体" w:hAnsi="宋体" w:cs="宋体"/>
          <w:b/>
          <w:sz w:val="24"/>
        </w:rPr>
      </w:pPr>
    </w:p>
    <w:p w14:paraId="6F31A684">
      <w:pPr>
        <w:adjustRightInd w:val="0"/>
        <w:snapToGrid w:val="0"/>
        <w:spacing w:line="500" w:lineRule="exact"/>
        <w:rPr>
          <w:rFonts w:ascii="宋体" w:hAnsi="宋体" w:cs="宋体"/>
          <w:b/>
          <w:sz w:val="24"/>
        </w:rPr>
      </w:pPr>
    </w:p>
    <w:p w14:paraId="14D022E5">
      <w:pPr>
        <w:pStyle w:val="17"/>
      </w:pPr>
    </w:p>
    <w:p w14:paraId="037A0072">
      <w:pPr>
        <w:adjustRightInd w:val="0"/>
        <w:snapToGrid w:val="0"/>
        <w:spacing w:line="500" w:lineRule="exact"/>
        <w:ind w:left="6170" w:hanging="6170" w:hangingChars="2561"/>
        <w:rPr>
          <w:rFonts w:ascii="宋体" w:hAnsi="宋体" w:cs="宋体"/>
          <w:b/>
          <w:sz w:val="24"/>
        </w:rPr>
      </w:pPr>
      <w:r>
        <w:rPr>
          <w:rFonts w:hint="eastAsia" w:ascii="宋体" w:hAnsi="宋体" w:cs="宋体"/>
          <w:b/>
          <w:sz w:val="24"/>
        </w:rPr>
        <w:t xml:space="preserve">甲方（盖章）：北京劳动保障职业学院 </w:t>
      </w:r>
      <w:r>
        <w:rPr>
          <w:rFonts w:ascii="宋体" w:hAnsi="宋体" w:cs="宋体"/>
          <w:b/>
          <w:sz w:val="24"/>
        </w:rPr>
        <w:t xml:space="preserve">  </w:t>
      </w:r>
      <w:r>
        <w:rPr>
          <w:rFonts w:hint="eastAsia" w:ascii="宋体" w:hAnsi="宋体" w:cs="宋体"/>
          <w:b/>
          <w:sz w:val="24"/>
        </w:rPr>
        <w:t xml:space="preserve"> 乙方（盖章）：</w:t>
      </w:r>
    </w:p>
    <w:p w14:paraId="69BA5DD6">
      <w:pPr>
        <w:pStyle w:val="42"/>
        <w:spacing w:line="500" w:lineRule="exact"/>
        <w:ind w:firstLine="480"/>
        <w:rPr>
          <w:rFonts w:ascii="宋体" w:hAnsi="宋体" w:cs="宋体"/>
          <w:szCs w:val="24"/>
        </w:rPr>
      </w:pPr>
    </w:p>
    <w:p w14:paraId="3B35BF0E">
      <w:pPr>
        <w:adjustRightInd w:val="0"/>
        <w:snapToGrid w:val="0"/>
        <w:spacing w:line="500" w:lineRule="exact"/>
        <w:rPr>
          <w:rFonts w:ascii="宋体" w:hAnsi="宋体" w:cs="宋体"/>
          <w:b/>
          <w:sz w:val="24"/>
        </w:rPr>
      </w:pPr>
      <w:r>
        <w:rPr>
          <w:rFonts w:hint="eastAsia" w:ascii="宋体" w:hAnsi="宋体" w:cs="宋体"/>
          <w:b/>
          <w:sz w:val="24"/>
        </w:rPr>
        <w:t xml:space="preserve">法定代表人或授权代表（签字）：     </w:t>
      </w:r>
      <w:r>
        <w:rPr>
          <w:rFonts w:ascii="宋体" w:hAnsi="宋体" w:cs="宋体"/>
          <w:b/>
          <w:sz w:val="24"/>
        </w:rPr>
        <w:t xml:space="preserve">   </w:t>
      </w:r>
      <w:r>
        <w:rPr>
          <w:rFonts w:hint="eastAsia" w:ascii="宋体" w:hAnsi="宋体" w:cs="宋体"/>
          <w:b/>
          <w:sz w:val="24"/>
        </w:rPr>
        <w:t>法定代表人或授权代表（签字）：</w:t>
      </w:r>
    </w:p>
    <w:p w14:paraId="2D9E7A24">
      <w:pPr>
        <w:pStyle w:val="42"/>
        <w:spacing w:line="500" w:lineRule="exact"/>
        <w:ind w:firstLine="480"/>
        <w:rPr>
          <w:rFonts w:ascii="宋体" w:hAnsi="宋体" w:cs="宋体"/>
          <w:szCs w:val="24"/>
        </w:rPr>
      </w:pPr>
    </w:p>
    <w:p w14:paraId="389F01DE">
      <w:pPr>
        <w:tabs>
          <w:tab w:val="left" w:pos="900"/>
          <w:tab w:val="left" w:pos="1080"/>
        </w:tabs>
        <w:snapToGrid w:val="0"/>
        <w:spacing w:line="500" w:lineRule="exact"/>
        <w:rPr>
          <w:rFonts w:ascii="宋体" w:hAnsi="宋体" w:cs="宋体"/>
          <w:b/>
          <w:sz w:val="24"/>
        </w:rPr>
      </w:pPr>
      <w:r>
        <w:rPr>
          <w:rFonts w:hint="eastAsia" w:ascii="宋体" w:hAnsi="宋体" w:cs="宋体"/>
          <w:b/>
          <w:sz w:val="24"/>
        </w:rPr>
        <w:t xml:space="preserve">签订日期：                        </w:t>
      </w:r>
      <w:r>
        <w:rPr>
          <w:rFonts w:ascii="宋体" w:hAnsi="宋体" w:cs="宋体"/>
          <w:b/>
          <w:sz w:val="24"/>
        </w:rPr>
        <w:t xml:space="preserve">   </w:t>
      </w:r>
      <w:r>
        <w:rPr>
          <w:rFonts w:hint="eastAsia" w:ascii="宋体" w:hAnsi="宋体" w:cs="宋体"/>
          <w:b/>
          <w:sz w:val="24"/>
        </w:rPr>
        <w:t>签订日期：</w:t>
      </w:r>
    </w:p>
    <w:p w14:paraId="1DA66FC3">
      <w:pPr>
        <w:spacing w:line="500" w:lineRule="exact"/>
        <w:rPr>
          <w:rFonts w:ascii="宋体" w:hAnsi="宋体"/>
          <w:sz w:val="24"/>
        </w:rPr>
      </w:pPr>
    </w:p>
    <w:p w14:paraId="2ADD073D">
      <w:pPr>
        <w:tabs>
          <w:tab w:val="left" w:pos="900"/>
          <w:tab w:val="left" w:pos="1080"/>
        </w:tabs>
        <w:snapToGrid w:val="0"/>
        <w:spacing w:line="360" w:lineRule="auto"/>
        <w:rPr>
          <w:rFonts w:hint="eastAsia" w:ascii="宋体" w:hAnsi="宋体" w:cs="宋体"/>
          <w:b/>
          <w:sz w:val="24"/>
        </w:rPr>
      </w:pPr>
    </w:p>
    <w:p w14:paraId="0EBEABED">
      <w:pPr>
        <w:tabs>
          <w:tab w:val="left" w:pos="900"/>
          <w:tab w:val="left" w:pos="1080"/>
        </w:tabs>
        <w:snapToGrid w:val="0"/>
        <w:spacing w:line="360" w:lineRule="auto"/>
        <w:rPr>
          <w:rFonts w:hint="eastAsia" w:ascii="宋体" w:hAnsi="宋体" w:cs="宋体"/>
          <w:b/>
          <w:sz w:val="24"/>
        </w:rPr>
      </w:pPr>
    </w:p>
    <w:p w14:paraId="49FFC219">
      <w:pPr>
        <w:tabs>
          <w:tab w:val="left" w:pos="900"/>
          <w:tab w:val="left" w:pos="1080"/>
        </w:tabs>
        <w:snapToGrid w:val="0"/>
        <w:spacing w:line="360" w:lineRule="auto"/>
        <w:rPr>
          <w:rFonts w:hint="eastAsia" w:ascii="宋体" w:hAnsi="宋体" w:cs="宋体"/>
          <w:b/>
          <w:sz w:val="24"/>
        </w:rPr>
      </w:pPr>
    </w:p>
    <w:p w14:paraId="2C73C87B">
      <w:pPr>
        <w:tabs>
          <w:tab w:val="left" w:pos="900"/>
          <w:tab w:val="left" w:pos="1080"/>
        </w:tabs>
        <w:snapToGrid w:val="0"/>
        <w:spacing w:line="360" w:lineRule="auto"/>
        <w:rPr>
          <w:rFonts w:hint="eastAsia" w:ascii="宋体" w:hAnsi="宋体" w:cs="宋体"/>
          <w:b/>
          <w:sz w:val="24"/>
        </w:rPr>
      </w:pPr>
    </w:p>
    <w:p w14:paraId="5CCE7092">
      <w:pPr>
        <w:tabs>
          <w:tab w:val="left" w:pos="900"/>
          <w:tab w:val="left" w:pos="1080"/>
        </w:tabs>
        <w:snapToGrid w:val="0"/>
        <w:spacing w:line="360" w:lineRule="auto"/>
        <w:rPr>
          <w:rFonts w:hint="eastAsia" w:ascii="宋体" w:hAnsi="宋体" w:cs="宋体"/>
          <w:b/>
          <w:sz w:val="24"/>
        </w:rPr>
      </w:pPr>
    </w:p>
    <w:p w14:paraId="0FE18AFB">
      <w:pPr>
        <w:tabs>
          <w:tab w:val="left" w:pos="900"/>
          <w:tab w:val="left" w:pos="1080"/>
        </w:tabs>
        <w:snapToGrid w:val="0"/>
        <w:spacing w:line="360" w:lineRule="auto"/>
        <w:rPr>
          <w:rFonts w:hint="eastAsia" w:ascii="宋体" w:hAnsi="宋体" w:cs="宋体"/>
          <w:b/>
          <w:sz w:val="24"/>
        </w:rPr>
      </w:pPr>
    </w:p>
    <w:p w14:paraId="73F5AB4E">
      <w:pPr>
        <w:tabs>
          <w:tab w:val="left" w:pos="900"/>
          <w:tab w:val="left" w:pos="1080"/>
        </w:tabs>
        <w:snapToGrid w:val="0"/>
        <w:spacing w:line="360" w:lineRule="auto"/>
        <w:rPr>
          <w:rFonts w:hint="eastAsia" w:ascii="宋体" w:hAnsi="宋体" w:cs="宋体"/>
          <w:b/>
          <w:sz w:val="24"/>
        </w:rPr>
      </w:pPr>
    </w:p>
    <w:p w14:paraId="05632D31">
      <w:pPr>
        <w:tabs>
          <w:tab w:val="left" w:pos="900"/>
          <w:tab w:val="left" w:pos="1080"/>
        </w:tabs>
        <w:snapToGrid w:val="0"/>
        <w:spacing w:line="360" w:lineRule="auto"/>
        <w:rPr>
          <w:rFonts w:hint="eastAsia" w:ascii="宋体" w:hAnsi="宋体" w:cs="宋体"/>
          <w:b/>
          <w:sz w:val="24"/>
        </w:rPr>
      </w:pPr>
    </w:p>
    <w:p w14:paraId="5BB06C64">
      <w:pPr>
        <w:tabs>
          <w:tab w:val="left" w:pos="900"/>
          <w:tab w:val="left" w:pos="1080"/>
        </w:tabs>
        <w:snapToGrid w:val="0"/>
        <w:spacing w:line="360" w:lineRule="auto"/>
        <w:rPr>
          <w:rFonts w:hint="eastAsia" w:ascii="宋体" w:hAnsi="宋体" w:cs="宋体"/>
          <w:b/>
          <w:sz w:val="24"/>
        </w:rPr>
      </w:pPr>
    </w:p>
    <w:p w14:paraId="44A0AF19">
      <w:pPr>
        <w:tabs>
          <w:tab w:val="left" w:pos="900"/>
          <w:tab w:val="left" w:pos="1080"/>
        </w:tabs>
        <w:snapToGrid w:val="0"/>
        <w:spacing w:line="360" w:lineRule="auto"/>
        <w:rPr>
          <w:rFonts w:hint="eastAsia" w:ascii="宋体" w:hAnsi="宋体" w:cs="宋体"/>
          <w:b/>
          <w:sz w:val="24"/>
        </w:rPr>
      </w:pPr>
    </w:p>
    <w:p w14:paraId="2DBCC744">
      <w:pPr>
        <w:tabs>
          <w:tab w:val="left" w:pos="900"/>
          <w:tab w:val="left" w:pos="1080"/>
        </w:tabs>
        <w:snapToGrid w:val="0"/>
        <w:spacing w:line="360" w:lineRule="auto"/>
        <w:rPr>
          <w:rFonts w:hint="eastAsia" w:ascii="宋体" w:hAnsi="宋体" w:cs="宋体"/>
          <w:b/>
          <w:sz w:val="24"/>
        </w:rPr>
      </w:pPr>
    </w:p>
    <w:p w14:paraId="7F928B63">
      <w:pPr>
        <w:tabs>
          <w:tab w:val="left" w:pos="900"/>
          <w:tab w:val="left" w:pos="1080"/>
        </w:tabs>
        <w:snapToGrid w:val="0"/>
        <w:spacing w:line="360" w:lineRule="auto"/>
        <w:rPr>
          <w:rFonts w:hint="eastAsia" w:ascii="宋体" w:hAnsi="宋体" w:cs="宋体"/>
          <w:b/>
          <w:sz w:val="24"/>
        </w:rPr>
      </w:pPr>
    </w:p>
    <w:p w14:paraId="40F44D3A">
      <w:pPr>
        <w:tabs>
          <w:tab w:val="left" w:pos="900"/>
          <w:tab w:val="left" w:pos="1080"/>
        </w:tabs>
        <w:snapToGrid w:val="0"/>
        <w:spacing w:line="360" w:lineRule="auto"/>
        <w:rPr>
          <w:rFonts w:hint="eastAsia" w:ascii="宋体" w:hAnsi="宋体" w:cs="宋体"/>
          <w:b/>
          <w:sz w:val="24"/>
        </w:rPr>
      </w:pPr>
    </w:p>
    <w:p w14:paraId="2AE3A05C">
      <w:pPr>
        <w:tabs>
          <w:tab w:val="left" w:pos="900"/>
          <w:tab w:val="left" w:pos="1080"/>
        </w:tabs>
        <w:snapToGrid w:val="0"/>
        <w:spacing w:line="360" w:lineRule="auto"/>
        <w:rPr>
          <w:rFonts w:hint="eastAsia" w:ascii="宋体" w:hAnsi="宋体" w:cs="宋体"/>
          <w:b/>
          <w:sz w:val="24"/>
        </w:rPr>
      </w:pPr>
    </w:p>
    <w:p w14:paraId="7372E15C">
      <w:pPr>
        <w:tabs>
          <w:tab w:val="left" w:pos="900"/>
          <w:tab w:val="left" w:pos="1080"/>
        </w:tabs>
        <w:snapToGrid w:val="0"/>
        <w:spacing w:line="360" w:lineRule="auto"/>
        <w:rPr>
          <w:rFonts w:hint="eastAsia" w:ascii="宋体" w:hAnsi="宋体" w:cs="宋体"/>
          <w:b/>
          <w:sz w:val="24"/>
        </w:rPr>
      </w:pPr>
    </w:p>
    <w:p w14:paraId="575AC793">
      <w:pPr>
        <w:tabs>
          <w:tab w:val="left" w:pos="900"/>
          <w:tab w:val="left" w:pos="1080"/>
        </w:tabs>
        <w:snapToGrid w:val="0"/>
        <w:spacing w:line="360" w:lineRule="auto"/>
        <w:rPr>
          <w:rFonts w:hint="eastAsia" w:ascii="宋体" w:hAnsi="宋体" w:cs="宋体"/>
          <w:b/>
          <w:sz w:val="24"/>
        </w:rPr>
      </w:pPr>
    </w:p>
    <w:p w14:paraId="2FCA77F9">
      <w:pPr>
        <w:tabs>
          <w:tab w:val="left" w:pos="900"/>
          <w:tab w:val="left" w:pos="1080"/>
        </w:tabs>
        <w:snapToGrid w:val="0"/>
        <w:spacing w:line="360" w:lineRule="auto"/>
        <w:rPr>
          <w:rFonts w:hint="eastAsia" w:ascii="宋体" w:hAnsi="宋体" w:cs="宋体"/>
          <w:b/>
          <w:sz w:val="24"/>
        </w:rPr>
      </w:pPr>
    </w:p>
    <w:p w14:paraId="3C7A1959">
      <w:pPr>
        <w:tabs>
          <w:tab w:val="left" w:pos="900"/>
          <w:tab w:val="left" w:pos="1080"/>
        </w:tabs>
        <w:snapToGrid w:val="0"/>
        <w:spacing w:line="360" w:lineRule="auto"/>
        <w:rPr>
          <w:rFonts w:hint="eastAsia" w:ascii="宋体" w:hAnsi="宋体" w:cs="宋体"/>
          <w:b/>
          <w:sz w:val="24"/>
        </w:rPr>
      </w:pPr>
    </w:p>
    <w:p w14:paraId="7C8B9746">
      <w:pPr>
        <w:tabs>
          <w:tab w:val="left" w:pos="900"/>
          <w:tab w:val="left" w:pos="1080"/>
        </w:tabs>
        <w:snapToGrid w:val="0"/>
        <w:spacing w:line="360" w:lineRule="auto"/>
        <w:rPr>
          <w:rFonts w:hint="eastAsia" w:ascii="宋体" w:hAnsi="宋体" w:cs="宋体"/>
          <w:b/>
          <w:sz w:val="24"/>
        </w:rPr>
      </w:pPr>
      <w:r>
        <w:rPr>
          <w:rFonts w:hint="eastAsia" w:ascii="宋体" w:hAnsi="宋体" w:cs="宋体"/>
          <w:b/>
          <w:sz w:val="24"/>
        </w:rPr>
        <w:t xml:space="preserve">附1    </w:t>
      </w:r>
    </w:p>
    <w:p w14:paraId="540791B8">
      <w:pPr>
        <w:snapToGrid w:val="0"/>
        <w:jc w:val="center"/>
        <w:rPr>
          <w:rFonts w:ascii="宋体" w:hAnsi="宋体" w:cs="宋体"/>
          <w:b/>
          <w:sz w:val="24"/>
        </w:rPr>
      </w:pPr>
      <w:r>
        <w:rPr>
          <w:rFonts w:hint="eastAsia" w:ascii="宋体" w:hAnsi="宋体" w:cs="宋体"/>
          <w:b/>
          <w:sz w:val="24"/>
        </w:rPr>
        <w:t>学生公寓标准化管理项目人员配备表</w:t>
      </w:r>
    </w:p>
    <w:p w14:paraId="5FB949E6">
      <w:pPr>
        <w:snapToGrid w:val="0"/>
        <w:jc w:val="center"/>
        <w:rPr>
          <w:rFonts w:ascii="宋体" w:hAnsi="宋体" w:cs="宋体"/>
          <w:b/>
          <w:sz w:val="24"/>
        </w:rPr>
      </w:pP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664"/>
        <w:gridCol w:w="835"/>
        <w:gridCol w:w="773"/>
        <w:gridCol w:w="647"/>
        <w:gridCol w:w="777"/>
        <w:gridCol w:w="777"/>
        <w:gridCol w:w="780"/>
        <w:gridCol w:w="773"/>
        <w:gridCol w:w="782"/>
        <w:gridCol w:w="774"/>
      </w:tblGrid>
      <w:tr w14:paraId="1D12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Merge w:val="restart"/>
            <w:noWrap w:val="0"/>
            <w:vAlign w:val="center"/>
          </w:tcPr>
          <w:p w14:paraId="6BE3C23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服务场地</w:t>
            </w:r>
          </w:p>
        </w:tc>
        <w:tc>
          <w:tcPr>
            <w:tcW w:w="390" w:type="pct"/>
            <w:vMerge w:val="restart"/>
            <w:noWrap w:val="0"/>
            <w:vAlign w:val="center"/>
          </w:tcPr>
          <w:p w14:paraId="479D2188">
            <w:pPr>
              <w:widowControl/>
              <w:adjustRightInd w:val="0"/>
              <w:snapToGrid w:val="0"/>
              <w:jc w:val="center"/>
              <w:rPr>
                <w:rFonts w:ascii="宋体" w:hAnsi="宋体" w:cs="宋体"/>
                <w:kern w:val="0"/>
                <w:szCs w:val="21"/>
              </w:rPr>
            </w:pPr>
            <w:r>
              <w:rPr>
                <w:rFonts w:hint="eastAsia" w:ascii="宋体" w:hAnsi="宋体" w:cs="宋体"/>
                <w:kern w:val="0"/>
                <w:szCs w:val="21"/>
              </w:rPr>
              <w:t>楼层</w:t>
            </w:r>
          </w:p>
        </w:tc>
        <w:tc>
          <w:tcPr>
            <w:tcW w:w="489" w:type="pct"/>
            <w:vMerge w:val="restart"/>
            <w:noWrap w:val="0"/>
            <w:vAlign w:val="center"/>
          </w:tcPr>
          <w:p w14:paraId="4F79BAC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住宿人员</w:t>
            </w:r>
          </w:p>
        </w:tc>
        <w:tc>
          <w:tcPr>
            <w:tcW w:w="454" w:type="pct"/>
            <w:vMerge w:val="restart"/>
            <w:noWrap w:val="0"/>
            <w:vAlign w:val="center"/>
          </w:tcPr>
          <w:p w14:paraId="4955CE4C">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住宿人数</w:t>
            </w:r>
          </w:p>
        </w:tc>
        <w:tc>
          <w:tcPr>
            <w:tcW w:w="1750" w:type="pct"/>
            <w:gridSpan w:val="4"/>
            <w:noWrap w:val="0"/>
            <w:vAlign w:val="center"/>
          </w:tcPr>
          <w:p w14:paraId="0E8D31B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教学期</w:t>
            </w:r>
          </w:p>
        </w:tc>
        <w:tc>
          <w:tcPr>
            <w:tcW w:w="913" w:type="pct"/>
            <w:gridSpan w:val="2"/>
            <w:noWrap w:val="0"/>
            <w:vAlign w:val="center"/>
          </w:tcPr>
          <w:p w14:paraId="566013B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假期</w:t>
            </w:r>
          </w:p>
        </w:tc>
        <w:tc>
          <w:tcPr>
            <w:tcW w:w="454" w:type="pct"/>
            <w:vMerge w:val="restart"/>
            <w:noWrap w:val="0"/>
            <w:vAlign w:val="center"/>
          </w:tcPr>
          <w:p w14:paraId="0298CEC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备注</w:t>
            </w:r>
          </w:p>
        </w:tc>
      </w:tr>
      <w:tr w14:paraId="2A7E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Merge w:val="continue"/>
            <w:noWrap w:val="0"/>
            <w:vAlign w:val="center"/>
          </w:tcPr>
          <w:p w14:paraId="478F2F0B">
            <w:pPr>
              <w:widowControl/>
              <w:tabs>
                <w:tab w:val="left" w:pos="8400"/>
              </w:tabs>
              <w:adjustRightInd w:val="0"/>
              <w:snapToGrid w:val="0"/>
              <w:jc w:val="center"/>
              <w:rPr>
                <w:rFonts w:ascii="宋体" w:hAnsi="宋体" w:cs="宋体"/>
                <w:kern w:val="0"/>
                <w:szCs w:val="21"/>
              </w:rPr>
            </w:pPr>
          </w:p>
        </w:tc>
        <w:tc>
          <w:tcPr>
            <w:tcW w:w="390" w:type="pct"/>
            <w:vMerge w:val="continue"/>
            <w:noWrap w:val="0"/>
            <w:vAlign w:val="center"/>
          </w:tcPr>
          <w:p w14:paraId="6BCF4F43">
            <w:pPr>
              <w:widowControl/>
              <w:adjustRightInd w:val="0"/>
              <w:snapToGrid w:val="0"/>
              <w:jc w:val="center"/>
              <w:rPr>
                <w:rFonts w:ascii="宋体" w:hAnsi="宋体" w:cs="宋体"/>
                <w:kern w:val="0"/>
                <w:szCs w:val="21"/>
              </w:rPr>
            </w:pPr>
          </w:p>
        </w:tc>
        <w:tc>
          <w:tcPr>
            <w:tcW w:w="489" w:type="pct"/>
            <w:vMerge w:val="continue"/>
            <w:noWrap w:val="0"/>
            <w:vAlign w:val="center"/>
          </w:tcPr>
          <w:p w14:paraId="53FDC71E">
            <w:pPr>
              <w:widowControl/>
              <w:tabs>
                <w:tab w:val="left" w:pos="8400"/>
              </w:tabs>
              <w:adjustRightInd w:val="0"/>
              <w:snapToGrid w:val="0"/>
              <w:jc w:val="center"/>
              <w:rPr>
                <w:rFonts w:ascii="宋体" w:hAnsi="宋体" w:cs="宋体"/>
                <w:kern w:val="0"/>
                <w:szCs w:val="21"/>
              </w:rPr>
            </w:pPr>
          </w:p>
        </w:tc>
        <w:tc>
          <w:tcPr>
            <w:tcW w:w="454" w:type="pct"/>
            <w:vMerge w:val="continue"/>
            <w:noWrap w:val="0"/>
            <w:vAlign w:val="center"/>
          </w:tcPr>
          <w:p w14:paraId="77775AA9">
            <w:pPr>
              <w:widowControl/>
              <w:tabs>
                <w:tab w:val="left" w:pos="8400"/>
              </w:tabs>
              <w:adjustRightInd w:val="0"/>
              <w:snapToGrid w:val="0"/>
              <w:jc w:val="center"/>
              <w:rPr>
                <w:rFonts w:ascii="宋体" w:hAnsi="宋体" w:cs="宋体"/>
                <w:kern w:val="0"/>
                <w:szCs w:val="21"/>
              </w:rPr>
            </w:pPr>
          </w:p>
        </w:tc>
        <w:tc>
          <w:tcPr>
            <w:tcW w:w="836" w:type="pct"/>
            <w:gridSpan w:val="2"/>
            <w:noWrap w:val="0"/>
            <w:vAlign w:val="center"/>
          </w:tcPr>
          <w:p w14:paraId="6B34EEE0">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南校</w:t>
            </w:r>
          </w:p>
        </w:tc>
        <w:tc>
          <w:tcPr>
            <w:tcW w:w="913" w:type="pct"/>
            <w:gridSpan w:val="2"/>
            <w:noWrap w:val="0"/>
            <w:vAlign w:val="center"/>
          </w:tcPr>
          <w:p w14:paraId="005DECD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北校</w:t>
            </w:r>
          </w:p>
        </w:tc>
        <w:tc>
          <w:tcPr>
            <w:tcW w:w="454" w:type="pct"/>
            <w:vMerge w:val="restart"/>
            <w:noWrap w:val="0"/>
            <w:vAlign w:val="center"/>
          </w:tcPr>
          <w:p w14:paraId="47BE36D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南校</w:t>
            </w:r>
          </w:p>
        </w:tc>
        <w:tc>
          <w:tcPr>
            <w:tcW w:w="458" w:type="pct"/>
            <w:vMerge w:val="restart"/>
            <w:noWrap w:val="0"/>
            <w:vAlign w:val="center"/>
          </w:tcPr>
          <w:p w14:paraId="684A89D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北校</w:t>
            </w:r>
          </w:p>
        </w:tc>
        <w:tc>
          <w:tcPr>
            <w:tcW w:w="454" w:type="pct"/>
            <w:vMerge w:val="continue"/>
            <w:noWrap w:val="0"/>
            <w:vAlign w:val="center"/>
          </w:tcPr>
          <w:p w14:paraId="41A1D13D">
            <w:pPr>
              <w:widowControl/>
              <w:tabs>
                <w:tab w:val="left" w:pos="8400"/>
              </w:tabs>
              <w:adjustRightInd w:val="0"/>
              <w:snapToGrid w:val="0"/>
              <w:jc w:val="center"/>
              <w:rPr>
                <w:rFonts w:ascii="宋体" w:hAnsi="宋体" w:cs="宋体"/>
                <w:kern w:val="0"/>
                <w:szCs w:val="21"/>
              </w:rPr>
            </w:pPr>
          </w:p>
        </w:tc>
      </w:tr>
      <w:tr w14:paraId="74D0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Merge w:val="continue"/>
            <w:noWrap w:val="0"/>
            <w:vAlign w:val="center"/>
          </w:tcPr>
          <w:p w14:paraId="37C7CC99">
            <w:pPr>
              <w:widowControl/>
              <w:tabs>
                <w:tab w:val="left" w:pos="8400"/>
              </w:tabs>
              <w:adjustRightInd w:val="0"/>
              <w:snapToGrid w:val="0"/>
              <w:jc w:val="center"/>
              <w:rPr>
                <w:rFonts w:ascii="宋体" w:hAnsi="宋体" w:cs="宋体"/>
                <w:kern w:val="0"/>
                <w:szCs w:val="21"/>
              </w:rPr>
            </w:pPr>
          </w:p>
        </w:tc>
        <w:tc>
          <w:tcPr>
            <w:tcW w:w="390" w:type="pct"/>
            <w:vMerge w:val="continue"/>
            <w:noWrap w:val="0"/>
            <w:vAlign w:val="center"/>
          </w:tcPr>
          <w:p w14:paraId="5F5FB74F">
            <w:pPr>
              <w:widowControl/>
              <w:adjustRightInd w:val="0"/>
              <w:snapToGrid w:val="0"/>
              <w:jc w:val="center"/>
              <w:rPr>
                <w:rFonts w:ascii="宋体" w:hAnsi="宋体" w:cs="宋体"/>
                <w:kern w:val="0"/>
                <w:szCs w:val="21"/>
              </w:rPr>
            </w:pPr>
          </w:p>
        </w:tc>
        <w:tc>
          <w:tcPr>
            <w:tcW w:w="489" w:type="pct"/>
            <w:vMerge w:val="continue"/>
            <w:noWrap w:val="0"/>
            <w:vAlign w:val="center"/>
          </w:tcPr>
          <w:p w14:paraId="16DAE6DC">
            <w:pPr>
              <w:widowControl/>
              <w:tabs>
                <w:tab w:val="left" w:pos="8400"/>
              </w:tabs>
              <w:adjustRightInd w:val="0"/>
              <w:snapToGrid w:val="0"/>
              <w:jc w:val="center"/>
              <w:rPr>
                <w:rFonts w:ascii="宋体" w:hAnsi="宋体" w:cs="宋体"/>
                <w:kern w:val="0"/>
                <w:szCs w:val="21"/>
              </w:rPr>
            </w:pPr>
          </w:p>
        </w:tc>
        <w:tc>
          <w:tcPr>
            <w:tcW w:w="454" w:type="pct"/>
            <w:vMerge w:val="continue"/>
            <w:noWrap w:val="0"/>
            <w:vAlign w:val="center"/>
          </w:tcPr>
          <w:p w14:paraId="56F66C8A">
            <w:pPr>
              <w:widowControl/>
              <w:tabs>
                <w:tab w:val="left" w:pos="8400"/>
              </w:tabs>
              <w:adjustRightInd w:val="0"/>
              <w:snapToGrid w:val="0"/>
              <w:jc w:val="center"/>
              <w:rPr>
                <w:rFonts w:ascii="宋体" w:hAnsi="宋体" w:cs="宋体"/>
                <w:kern w:val="0"/>
                <w:szCs w:val="21"/>
              </w:rPr>
            </w:pPr>
          </w:p>
        </w:tc>
        <w:tc>
          <w:tcPr>
            <w:tcW w:w="380" w:type="pct"/>
            <w:noWrap w:val="0"/>
            <w:vAlign w:val="center"/>
          </w:tcPr>
          <w:p w14:paraId="2B1A780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宿管</w:t>
            </w:r>
          </w:p>
        </w:tc>
        <w:tc>
          <w:tcPr>
            <w:tcW w:w="456" w:type="pct"/>
            <w:noWrap w:val="0"/>
            <w:vAlign w:val="center"/>
          </w:tcPr>
          <w:p w14:paraId="407775B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保洁</w:t>
            </w:r>
          </w:p>
        </w:tc>
        <w:tc>
          <w:tcPr>
            <w:tcW w:w="456" w:type="pct"/>
            <w:noWrap w:val="0"/>
            <w:vAlign w:val="center"/>
          </w:tcPr>
          <w:p w14:paraId="0981A30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宿管</w:t>
            </w:r>
          </w:p>
        </w:tc>
        <w:tc>
          <w:tcPr>
            <w:tcW w:w="457" w:type="pct"/>
            <w:noWrap w:val="0"/>
            <w:vAlign w:val="center"/>
          </w:tcPr>
          <w:p w14:paraId="56398640">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保洁</w:t>
            </w:r>
          </w:p>
        </w:tc>
        <w:tc>
          <w:tcPr>
            <w:tcW w:w="454" w:type="pct"/>
            <w:vMerge w:val="continue"/>
            <w:noWrap w:val="0"/>
            <w:vAlign w:val="center"/>
          </w:tcPr>
          <w:p w14:paraId="0FC3183B">
            <w:pPr>
              <w:widowControl/>
              <w:tabs>
                <w:tab w:val="left" w:pos="8400"/>
              </w:tabs>
              <w:adjustRightInd w:val="0"/>
              <w:snapToGrid w:val="0"/>
              <w:jc w:val="center"/>
              <w:rPr>
                <w:rFonts w:ascii="宋体" w:hAnsi="宋体" w:cs="宋体"/>
                <w:kern w:val="0"/>
                <w:szCs w:val="21"/>
              </w:rPr>
            </w:pPr>
          </w:p>
        </w:tc>
        <w:tc>
          <w:tcPr>
            <w:tcW w:w="458" w:type="pct"/>
            <w:vMerge w:val="continue"/>
            <w:noWrap w:val="0"/>
            <w:vAlign w:val="center"/>
          </w:tcPr>
          <w:p w14:paraId="0350DE1A">
            <w:pPr>
              <w:widowControl/>
              <w:tabs>
                <w:tab w:val="left" w:pos="8400"/>
              </w:tabs>
              <w:adjustRightInd w:val="0"/>
              <w:snapToGrid w:val="0"/>
              <w:jc w:val="center"/>
              <w:rPr>
                <w:rFonts w:ascii="宋体" w:hAnsi="宋体" w:cs="宋体"/>
                <w:kern w:val="0"/>
                <w:szCs w:val="21"/>
              </w:rPr>
            </w:pPr>
          </w:p>
        </w:tc>
        <w:tc>
          <w:tcPr>
            <w:tcW w:w="454" w:type="pct"/>
            <w:vMerge w:val="continue"/>
            <w:noWrap w:val="0"/>
            <w:vAlign w:val="center"/>
          </w:tcPr>
          <w:p w14:paraId="24C1F107">
            <w:pPr>
              <w:widowControl/>
              <w:tabs>
                <w:tab w:val="left" w:pos="8400"/>
              </w:tabs>
              <w:adjustRightInd w:val="0"/>
              <w:snapToGrid w:val="0"/>
              <w:jc w:val="center"/>
              <w:rPr>
                <w:rFonts w:ascii="宋体" w:hAnsi="宋体" w:cs="宋体"/>
                <w:kern w:val="0"/>
                <w:szCs w:val="21"/>
              </w:rPr>
            </w:pPr>
          </w:p>
        </w:tc>
      </w:tr>
      <w:tr w14:paraId="6DD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noWrap w:val="0"/>
            <w:vAlign w:val="center"/>
          </w:tcPr>
          <w:p w14:paraId="5A1B455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1号学生公寓</w:t>
            </w:r>
          </w:p>
        </w:tc>
        <w:tc>
          <w:tcPr>
            <w:tcW w:w="390" w:type="pct"/>
            <w:noWrap w:val="0"/>
            <w:vAlign w:val="center"/>
          </w:tcPr>
          <w:p w14:paraId="76FBBA9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89" w:type="pct"/>
            <w:noWrap w:val="0"/>
            <w:vAlign w:val="center"/>
          </w:tcPr>
          <w:p w14:paraId="6CB6D86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p>
        </w:tc>
        <w:tc>
          <w:tcPr>
            <w:tcW w:w="454" w:type="pct"/>
            <w:noWrap w:val="0"/>
            <w:vAlign w:val="center"/>
          </w:tcPr>
          <w:p w14:paraId="2C42CC3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462</w:t>
            </w:r>
          </w:p>
        </w:tc>
        <w:tc>
          <w:tcPr>
            <w:tcW w:w="380" w:type="pct"/>
            <w:noWrap w:val="0"/>
            <w:vAlign w:val="center"/>
          </w:tcPr>
          <w:p w14:paraId="12114FC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1C73552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5F53EE1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57" w:type="pct"/>
            <w:noWrap w:val="0"/>
            <w:vAlign w:val="center"/>
          </w:tcPr>
          <w:p w14:paraId="7EB1F64C">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1A871E3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noWrap w:val="0"/>
            <w:vAlign w:val="center"/>
          </w:tcPr>
          <w:p w14:paraId="68236A7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0D296762">
            <w:pPr>
              <w:widowControl/>
              <w:tabs>
                <w:tab w:val="left" w:pos="8400"/>
              </w:tabs>
              <w:adjustRightInd w:val="0"/>
              <w:snapToGrid w:val="0"/>
              <w:jc w:val="center"/>
              <w:rPr>
                <w:rFonts w:ascii="宋体" w:hAnsi="宋体" w:cs="宋体"/>
                <w:kern w:val="0"/>
                <w:szCs w:val="21"/>
              </w:rPr>
            </w:pPr>
          </w:p>
        </w:tc>
      </w:tr>
      <w:tr w14:paraId="6A80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noWrap w:val="0"/>
            <w:vAlign w:val="center"/>
          </w:tcPr>
          <w:p w14:paraId="2B3DFC2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2号学生公寓</w:t>
            </w:r>
          </w:p>
        </w:tc>
        <w:tc>
          <w:tcPr>
            <w:tcW w:w="390" w:type="pct"/>
            <w:noWrap w:val="0"/>
            <w:vAlign w:val="center"/>
          </w:tcPr>
          <w:p w14:paraId="31E9366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89" w:type="pct"/>
            <w:noWrap w:val="0"/>
            <w:vAlign w:val="center"/>
          </w:tcPr>
          <w:p w14:paraId="35C60F5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p>
        </w:tc>
        <w:tc>
          <w:tcPr>
            <w:tcW w:w="454" w:type="pct"/>
            <w:noWrap w:val="0"/>
            <w:vAlign w:val="center"/>
          </w:tcPr>
          <w:p w14:paraId="5636893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742</w:t>
            </w:r>
          </w:p>
        </w:tc>
        <w:tc>
          <w:tcPr>
            <w:tcW w:w="380" w:type="pct"/>
            <w:noWrap w:val="0"/>
            <w:vAlign w:val="center"/>
          </w:tcPr>
          <w:p w14:paraId="0F1184F9">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71461C1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5A162CF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57" w:type="pct"/>
            <w:noWrap w:val="0"/>
            <w:vAlign w:val="center"/>
          </w:tcPr>
          <w:p w14:paraId="0A557891">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5A12B26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noWrap w:val="0"/>
            <w:vAlign w:val="center"/>
          </w:tcPr>
          <w:p w14:paraId="679CF53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398D0B1A">
            <w:pPr>
              <w:widowControl/>
              <w:tabs>
                <w:tab w:val="left" w:pos="8400"/>
              </w:tabs>
              <w:adjustRightInd w:val="0"/>
              <w:snapToGrid w:val="0"/>
              <w:jc w:val="center"/>
              <w:rPr>
                <w:rFonts w:ascii="宋体" w:hAnsi="宋体" w:cs="宋体"/>
                <w:kern w:val="0"/>
                <w:szCs w:val="21"/>
              </w:rPr>
            </w:pPr>
          </w:p>
        </w:tc>
      </w:tr>
      <w:tr w14:paraId="1D88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noWrap w:val="0"/>
            <w:vAlign w:val="center"/>
          </w:tcPr>
          <w:p w14:paraId="7C10729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3号学生公寓</w:t>
            </w:r>
          </w:p>
        </w:tc>
        <w:tc>
          <w:tcPr>
            <w:tcW w:w="390" w:type="pct"/>
            <w:noWrap w:val="0"/>
            <w:vAlign w:val="center"/>
          </w:tcPr>
          <w:p w14:paraId="5150089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89" w:type="pct"/>
            <w:noWrap w:val="0"/>
            <w:vAlign w:val="center"/>
          </w:tcPr>
          <w:p w14:paraId="2931D74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女生</w:t>
            </w:r>
          </w:p>
        </w:tc>
        <w:tc>
          <w:tcPr>
            <w:tcW w:w="454" w:type="pct"/>
            <w:noWrap w:val="0"/>
            <w:vAlign w:val="center"/>
          </w:tcPr>
          <w:p w14:paraId="2B4CECB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1176</w:t>
            </w:r>
          </w:p>
        </w:tc>
        <w:tc>
          <w:tcPr>
            <w:tcW w:w="380" w:type="pct"/>
            <w:noWrap w:val="0"/>
            <w:vAlign w:val="center"/>
          </w:tcPr>
          <w:p w14:paraId="0764FED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414C6B9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5B357C60">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57" w:type="pct"/>
            <w:noWrap w:val="0"/>
            <w:vAlign w:val="center"/>
          </w:tcPr>
          <w:p w14:paraId="1E35194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692D5D3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noWrap w:val="0"/>
            <w:vAlign w:val="center"/>
          </w:tcPr>
          <w:p w14:paraId="28908259">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27ABAD94">
            <w:pPr>
              <w:widowControl/>
              <w:tabs>
                <w:tab w:val="left" w:pos="8400"/>
              </w:tabs>
              <w:adjustRightInd w:val="0"/>
              <w:snapToGrid w:val="0"/>
              <w:jc w:val="center"/>
              <w:rPr>
                <w:rFonts w:ascii="宋体" w:hAnsi="宋体" w:cs="宋体"/>
                <w:kern w:val="0"/>
                <w:szCs w:val="21"/>
              </w:rPr>
            </w:pPr>
          </w:p>
        </w:tc>
      </w:tr>
      <w:tr w14:paraId="4417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noWrap w:val="0"/>
            <w:vAlign w:val="center"/>
          </w:tcPr>
          <w:p w14:paraId="787B647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4号学生公寓</w:t>
            </w:r>
          </w:p>
        </w:tc>
        <w:tc>
          <w:tcPr>
            <w:tcW w:w="390" w:type="pct"/>
            <w:noWrap w:val="0"/>
            <w:vAlign w:val="center"/>
          </w:tcPr>
          <w:p w14:paraId="2DF649DC">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4</w:t>
            </w:r>
          </w:p>
        </w:tc>
        <w:tc>
          <w:tcPr>
            <w:tcW w:w="489" w:type="pct"/>
            <w:noWrap w:val="0"/>
            <w:vAlign w:val="center"/>
          </w:tcPr>
          <w:p w14:paraId="316FD6F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r>
              <w:rPr>
                <w:rFonts w:hint="eastAsia" w:ascii="宋体" w:hAnsi="宋体" w:cs="宋体"/>
                <w:kern w:val="0"/>
                <w:szCs w:val="21"/>
                <w:lang w:val="en-US" w:eastAsia="zh-CN"/>
              </w:rPr>
              <w:t xml:space="preserve"> </w:t>
            </w:r>
            <w:r>
              <w:rPr>
                <w:rFonts w:hint="eastAsia" w:ascii="宋体" w:hAnsi="宋体" w:cs="宋体"/>
                <w:kern w:val="0"/>
                <w:szCs w:val="21"/>
              </w:rPr>
              <w:t>女生</w:t>
            </w:r>
          </w:p>
        </w:tc>
        <w:tc>
          <w:tcPr>
            <w:tcW w:w="454" w:type="pct"/>
            <w:noWrap w:val="0"/>
            <w:vAlign w:val="center"/>
          </w:tcPr>
          <w:p w14:paraId="3AE3BB80">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726</w:t>
            </w:r>
          </w:p>
        </w:tc>
        <w:tc>
          <w:tcPr>
            <w:tcW w:w="380" w:type="pct"/>
            <w:noWrap w:val="0"/>
            <w:vAlign w:val="center"/>
          </w:tcPr>
          <w:p w14:paraId="30E217B2">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6A80E76E">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4A39643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w:t>
            </w:r>
          </w:p>
        </w:tc>
        <w:tc>
          <w:tcPr>
            <w:tcW w:w="457" w:type="pct"/>
            <w:noWrap w:val="0"/>
            <w:vAlign w:val="center"/>
          </w:tcPr>
          <w:p w14:paraId="1E957D3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12BC057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noWrap w:val="0"/>
            <w:vAlign w:val="center"/>
          </w:tcPr>
          <w:p w14:paraId="0EA23561">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4" w:type="pct"/>
            <w:noWrap w:val="0"/>
            <w:vAlign w:val="center"/>
          </w:tcPr>
          <w:p w14:paraId="3697EE8A">
            <w:pPr>
              <w:widowControl/>
              <w:tabs>
                <w:tab w:val="left" w:pos="8400"/>
              </w:tabs>
              <w:adjustRightInd w:val="0"/>
              <w:snapToGrid w:val="0"/>
              <w:jc w:val="center"/>
              <w:rPr>
                <w:rFonts w:ascii="宋体" w:hAnsi="宋体" w:cs="宋体"/>
                <w:kern w:val="0"/>
                <w:szCs w:val="21"/>
              </w:rPr>
            </w:pPr>
          </w:p>
        </w:tc>
      </w:tr>
      <w:tr w14:paraId="5CE1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noWrap w:val="0"/>
            <w:vAlign w:val="center"/>
          </w:tcPr>
          <w:p w14:paraId="57595EA9">
            <w:pPr>
              <w:widowControl/>
              <w:tabs>
                <w:tab w:val="left" w:pos="367"/>
                <w:tab w:val="left" w:pos="8400"/>
              </w:tabs>
              <w:adjustRightInd w:val="0"/>
              <w:snapToGrid w:val="0"/>
              <w:jc w:val="center"/>
              <w:rPr>
                <w:rFonts w:ascii="宋体" w:hAnsi="宋体" w:cs="宋体"/>
                <w:kern w:val="0"/>
                <w:szCs w:val="21"/>
              </w:rPr>
            </w:pPr>
            <w:r>
              <w:rPr>
                <w:rFonts w:hint="eastAsia" w:ascii="宋体" w:hAnsi="宋体" w:cs="宋体"/>
                <w:kern w:val="0"/>
                <w:szCs w:val="21"/>
              </w:rPr>
              <w:t>5号学生公寓</w:t>
            </w:r>
          </w:p>
        </w:tc>
        <w:tc>
          <w:tcPr>
            <w:tcW w:w="390" w:type="pct"/>
            <w:noWrap w:val="0"/>
            <w:vAlign w:val="center"/>
          </w:tcPr>
          <w:p w14:paraId="059CA95C">
            <w:pPr>
              <w:widowControl/>
              <w:tabs>
                <w:tab w:val="left" w:pos="367"/>
                <w:tab w:val="left" w:pos="8400"/>
              </w:tabs>
              <w:adjustRightInd w:val="0"/>
              <w:snapToGrid w:val="0"/>
              <w:jc w:val="center"/>
              <w:rPr>
                <w:rFonts w:ascii="宋体" w:hAnsi="宋体" w:cs="宋体"/>
                <w:kern w:val="0"/>
                <w:szCs w:val="21"/>
              </w:rPr>
            </w:pPr>
            <w:r>
              <w:rPr>
                <w:rFonts w:hint="eastAsia" w:ascii="宋体" w:hAnsi="宋体" w:cs="宋体"/>
                <w:kern w:val="0"/>
                <w:szCs w:val="21"/>
              </w:rPr>
              <w:t>5</w:t>
            </w:r>
          </w:p>
        </w:tc>
        <w:tc>
          <w:tcPr>
            <w:tcW w:w="489" w:type="pct"/>
            <w:noWrap w:val="0"/>
            <w:vAlign w:val="center"/>
          </w:tcPr>
          <w:p w14:paraId="47CC3A1B">
            <w:pPr>
              <w:widowControl/>
              <w:tabs>
                <w:tab w:val="left" w:pos="367"/>
                <w:tab w:val="left" w:pos="8400"/>
              </w:tabs>
              <w:adjustRightInd w:val="0"/>
              <w:snapToGrid w:val="0"/>
              <w:jc w:val="center"/>
              <w:rPr>
                <w:rFonts w:ascii="宋体" w:hAnsi="宋体" w:cs="宋体"/>
                <w:kern w:val="0"/>
                <w:szCs w:val="21"/>
              </w:rPr>
            </w:pPr>
            <w:r>
              <w:rPr>
                <w:rFonts w:hint="eastAsia" w:ascii="宋体" w:hAnsi="宋体" w:cs="宋体"/>
                <w:kern w:val="0"/>
                <w:szCs w:val="21"/>
              </w:rPr>
              <w:t>男生</w:t>
            </w:r>
            <w:r>
              <w:rPr>
                <w:rFonts w:hint="eastAsia" w:ascii="宋体" w:hAnsi="宋体" w:cs="宋体"/>
                <w:kern w:val="0"/>
                <w:szCs w:val="21"/>
                <w:lang w:val="en-US" w:eastAsia="zh-CN"/>
              </w:rPr>
              <w:t xml:space="preserve"> </w:t>
            </w:r>
            <w:r>
              <w:rPr>
                <w:rFonts w:hint="eastAsia" w:ascii="宋体" w:hAnsi="宋体" w:cs="宋体"/>
                <w:kern w:val="0"/>
                <w:szCs w:val="21"/>
              </w:rPr>
              <w:t>女生</w:t>
            </w:r>
          </w:p>
        </w:tc>
        <w:tc>
          <w:tcPr>
            <w:tcW w:w="454" w:type="pct"/>
            <w:noWrap w:val="0"/>
            <w:vAlign w:val="center"/>
          </w:tcPr>
          <w:p w14:paraId="176A357F">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623</w:t>
            </w:r>
          </w:p>
        </w:tc>
        <w:tc>
          <w:tcPr>
            <w:tcW w:w="380" w:type="pct"/>
            <w:noWrap w:val="0"/>
            <w:vAlign w:val="center"/>
          </w:tcPr>
          <w:p w14:paraId="2BE3C1DA">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456" w:type="pct"/>
            <w:noWrap w:val="0"/>
            <w:vAlign w:val="center"/>
          </w:tcPr>
          <w:p w14:paraId="78AAC166">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456" w:type="pct"/>
            <w:noWrap w:val="0"/>
            <w:vAlign w:val="center"/>
          </w:tcPr>
          <w:p w14:paraId="065FAB0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7" w:type="pct"/>
            <w:noWrap w:val="0"/>
            <w:vAlign w:val="center"/>
          </w:tcPr>
          <w:p w14:paraId="68D9B28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noWrap w:val="0"/>
            <w:vAlign w:val="center"/>
          </w:tcPr>
          <w:p w14:paraId="00D3A87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8" w:type="pct"/>
            <w:noWrap w:val="0"/>
            <w:vAlign w:val="center"/>
          </w:tcPr>
          <w:p w14:paraId="4D159998">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noWrap w:val="0"/>
            <w:vAlign w:val="center"/>
          </w:tcPr>
          <w:p w14:paraId="1730454E">
            <w:pPr>
              <w:widowControl/>
              <w:tabs>
                <w:tab w:val="left" w:pos="8400"/>
              </w:tabs>
              <w:adjustRightInd w:val="0"/>
              <w:snapToGrid w:val="0"/>
              <w:jc w:val="center"/>
              <w:rPr>
                <w:rFonts w:ascii="宋体" w:hAnsi="宋体" w:cs="宋体"/>
                <w:kern w:val="0"/>
                <w:szCs w:val="21"/>
              </w:rPr>
            </w:pPr>
          </w:p>
        </w:tc>
      </w:tr>
      <w:tr w14:paraId="4965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noWrap w:val="0"/>
            <w:vAlign w:val="center"/>
          </w:tcPr>
          <w:p w14:paraId="2393249A">
            <w:pPr>
              <w:widowControl/>
              <w:tabs>
                <w:tab w:val="left" w:pos="537"/>
                <w:tab w:val="left" w:pos="8400"/>
              </w:tabs>
              <w:adjustRightInd w:val="0"/>
              <w:snapToGrid w:val="0"/>
              <w:jc w:val="center"/>
              <w:rPr>
                <w:rFonts w:ascii="宋体" w:hAnsi="宋体" w:cs="宋体"/>
                <w:kern w:val="0"/>
                <w:szCs w:val="21"/>
              </w:rPr>
            </w:pPr>
            <w:r>
              <w:rPr>
                <w:rFonts w:hint="eastAsia" w:ascii="宋体" w:hAnsi="宋体" w:cs="宋体"/>
                <w:kern w:val="0"/>
                <w:szCs w:val="21"/>
              </w:rPr>
              <w:t>项目经理</w:t>
            </w:r>
          </w:p>
        </w:tc>
        <w:tc>
          <w:tcPr>
            <w:tcW w:w="454" w:type="pct"/>
            <w:noWrap w:val="0"/>
            <w:vAlign w:val="center"/>
          </w:tcPr>
          <w:p w14:paraId="74A8E154">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380" w:type="pct"/>
            <w:noWrap w:val="0"/>
            <w:vAlign w:val="center"/>
          </w:tcPr>
          <w:p w14:paraId="6727F7D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6" w:type="pct"/>
            <w:noWrap w:val="0"/>
            <w:vAlign w:val="center"/>
          </w:tcPr>
          <w:p w14:paraId="0D112A63">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3229037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7" w:type="pct"/>
            <w:noWrap w:val="0"/>
            <w:vAlign w:val="center"/>
          </w:tcPr>
          <w:p w14:paraId="2EC447A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noWrap w:val="0"/>
            <w:vAlign w:val="center"/>
          </w:tcPr>
          <w:p w14:paraId="163CB4D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8" w:type="pct"/>
            <w:noWrap w:val="0"/>
            <w:vAlign w:val="center"/>
          </w:tcPr>
          <w:p w14:paraId="02269545">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1</w:t>
            </w:r>
          </w:p>
        </w:tc>
        <w:tc>
          <w:tcPr>
            <w:tcW w:w="454" w:type="pct"/>
            <w:noWrap w:val="0"/>
            <w:vAlign w:val="center"/>
          </w:tcPr>
          <w:p w14:paraId="2DD6E64D">
            <w:pPr>
              <w:widowControl/>
              <w:tabs>
                <w:tab w:val="left" w:pos="8400"/>
              </w:tabs>
              <w:adjustRightInd w:val="0"/>
              <w:snapToGrid w:val="0"/>
              <w:jc w:val="center"/>
              <w:rPr>
                <w:rFonts w:ascii="宋体" w:hAnsi="宋体" w:cs="宋体"/>
                <w:kern w:val="0"/>
                <w:szCs w:val="21"/>
              </w:rPr>
            </w:pPr>
          </w:p>
        </w:tc>
      </w:tr>
      <w:tr w14:paraId="4AFA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noWrap w:val="0"/>
            <w:vAlign w:val="center"/>
          </w:tcPr>
          <w:p w14:paraId="702A3CF5">
            <w:pPr>
              <w:widowControl/>
              <w:tabs>
                <w:tab w:val="left" w:pos="537"/>
                <w:tab w:val="left" w:pos="8400"/>
              </w:tabs>
              <w:adjustRightInd w:val="0"/>
              <w:snapToGrid w:val="0"/>
              <w:jc w:val="center"/>
              <w:rPr>
                <w:rFonts w:ascii="宋体" w:hAnsi="宋体" w:cs="宋体"/>
                <w:kern w:val="0"/>
                <w:szCs w:val="21"/>
              </w:rPr>
            </w:pPr>
            <w:r>
              <w:rPr>
                <w:rFonts w:hint="eastAsia" w:ascii="宋体" w:hAnsi="宋体" w:cs="宋体"/>
                <w:kern w:val="0"/>
                <w:szCs w:val="21"/>
              </w:rPr>
              <w:t>办公室文员</w:t>
            </w:r>
          </w:p>
        </w:tc>
        <w:tc>
          <w:tcPr>
            <w:tcW w:w="454" w:type="pct"/>
            <w:noWrap w:val="0"/>
            <w:vAlign w:val="center"/>
          </w:tcPr>
          <w:p w14:paraId="2E285F0D">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380" w:type="pct"/>
            <w:noWrap w:val="0"/>
            <w:vAlign w:val="center"/>
          </w:tcPr>
          <w:p w14:paraId="2AB7BD76">
            <w:pPr>
              <w:widowControl/>
              <w:tabs>
                <w:tab w:val="left" w:pos="8400"/>
              </w:tabs>
              <w:adjustRightInd w:val="0"/>
              <w:snapToGrid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w:t>
            </w:r>
          </w:p>
        </w:tc>
        <w:tc>
          <w:tcPr>
            <w:tcW w:w="456" w:type="pct"/>
            <w:noWrap w:val="0"/>
            <w:vAlign w:val="center"/>
          </w:tcPr>
          <w:p w14:paraId="7DA652A1">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6" w:type="pct"/>
            <w:noWrap w:val="0"/>
            <w:vAlign w:val="center"/>
          </w:tcPr>
          <w:p w14:paraId="4552AA8C">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lang w:val="en-US" w:eastAsia="zh-CN"/>
              </w:rPr>
              <w:t>1</w:t>
            </w:r>
          </w:p>
        </w:tc>
        <w:tc>
          <w:tcPr>
            <w:tcW w:w="457" w:type="pct"/>
            <w:noWrap w:val="0"/>
            <w:vAlign w:val="center"/>
          </w:tcPr>
          <w:p w14:paraId="1CEE51BB">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noWrap w:val="0"/>
            <w:vAlign w:val="center"/>
          </w:tcPr>
          <w:p w14:paraId="0D9DCD77">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8" w:type="pct"/>
            <w:noWrap w:val="0"/>
            <w:vAlign w:val="center"/>
          </w:tcPr>
          <w:p w14:paraId="69FC6EF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w:t>
            </w:r>
          </w:p>
        </w:tc>
        <w:tc>
          <w:tcPr>
            <w:tcW w:w="454" w:type="pct"/>
            <w:noWrap w:val="0"/>
            <w:vAlign w:val="center"/>
          </w:tcPr>
          <w:p w14:paraId="17A3DF03">
            <w:pPr>
              <w:widowControl/>
              <w:tabs>
                <w:tab w:val="left" w:pos="8400"/>
              </w:tabs>
              <w:adjustRightInd w:val="0"/>
              <w:snapToGrid w:val="0"/>
              <w:jc w:val="center"/>
              <w:rPr>
                <w:rFonts w:ascii="宋体" w:hAnsi="宋体" w:cs="宋体"/>
                <w:kern w:val="0"/>
                <w:szCs w:val="21"/>
              </w:rPr>
            </w:pPr>
          </w:p>
        </w:tc>
      </w:tr>
      <w:tr w14:paraId="7D98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vMerge w:val="restart"/>
            <w:noWrap w:val="0"/>
            <w:vAlign w:val="center"/>
          </w:tcPr>
          <w:p w14:paraId="46AC3A3A">
            <w:pPr>
              <w:widowControl/>
              <w:tabs>
                <w:tab w:val="left" w:pos="537"/>
                <w:tab w:val="left" w:pos="8400"/>
              </w:tabs>
              <w:adjustRightInd w:val="0"/>
              <w:snapToGrid w:val="0"/>
              <w:jc w:val="center"/>
              <w:rPr>
                <w:rFonts w:ascii="宋体" w:hAnsi="宋体" w:cs="宋体"/>
                <w:kern w:val="0"/>
                <w:szCs w:val="21"/>
              </w:rPr>
            </w:pPr>
            <w:r>
              <w:rPr>
                <w:rFonts w:hint="eastAsia" w:ascii="宋体" w:hAnsi="宋体" w:cs="宋体"/>
                <w:kern w:val="0"/>
                <w:szCs w:val="21"/>
              </w:rPr>
              <w:t>合计</w:t>
            </w:r>
          </w:p>
        </w:tc>
        <w:tc>
          <w:tcPr>
            <w:tcW w:w="454" w:type="pct"/>
            <w:vMerge w:val="restart"/>
            <w:noWrap w:val="0"/>
            <w:vAlign w:val="center"/>
          </w:tcPr>
          <w:p w14:paraId="5EFC84B6">
            <w:pPr>
              <w:widowControl/>
              <w:tabs>
                <w:tab w:val="left" w:pos="8400"/>
              </w:tabs>
              <w:adjustRightInd w:val="0"/>
              <w:snapToGrid w:val="0"/>
              <w:jc w:val="center"/>
              <w:rPr>
                <w:rFonts w:hint="default"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729</w:t>
            </w:r>
          </w:p>
        </w:tc>
        <w:tc>
          <w:tcPr>
            <w:tcW w:w="380" w:type="pct"/>
            <w:noWrap w:val="0"/>
            <w:vAlign w:val="center"/>
          </w:tcPr>
          <w:p w14:paraId="09DFF8BF">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456" w:type="pct"/>
            <w:noWrap w:val="0"/>
            <w:vAlign w:val="center"/>
          </w:tcPr>
          <w:p w14:paraId="72DBC176">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2</w:t>
            </w:r>
          </w:p>
        </w:tc>
        <w:tc>
          <w:tcPr>
            <w:tcW w:w="456" w:type="pct"/>
            <w:noWrap w:val="0"/>
            <w:vAlign w:val="center"/>
          </w:tcPr>
          <w:p w14:paraId="0C5F362E">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2</w:t>
            </w:r>
          </w:p>
        </w:tc>
        <w:tc>
          <w:tcPr>
            <w:tcW w:w="457" w:type="pct"/>
            <w:noWrap w:val="0"/>
            <w:vAlign w:val="center"/>
          </w:tcPr>
          <w:p w14:paraId="4FFDDFD1">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8</w:t>
            </w:r>
          </w:p>
        </w:tc>
        <w:tc>
          <w:tcPr>
            <w:tcW w:w="454" w:type="pct"/>
            <w:noWrap w:val="0"/>
            <w:vAlign w:val="center"/>
          </w:tcPr>
          <w:p w14:paraId="7237EA2E">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458" w:type="pct"/>
            <w:noWrap w:val="0"/>
            <w:vAlign w:val="center"/>
          </w:tcPr>
          <w:p w14:paraId="793293D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9</w:t>
            </w:r>
          </w:p>
        </w:tc>
        <w:tc>
          <w:tcPr>
            <w:tcW w:w="454" w:type="pct"/>
            <w:noWrap w:val="0"/>
            <w:vAlign w:val="center"/>
          </w:tcPr>
          <w:p w14:paraId="7E9956B2">
            <w:pPr>
              <w:widowControl/>
              <w:tabs>
                <w:tab w:val="left" w:pos="8400"/>
              </w:tabs>
              <w:adjustRightInd w:val="0"/>
              <w:snapToGrid w:val="0"/>
              <w:jc w:val="center"/>
              <w:rPr>
                <w:rFonts w:ascii="宋体" w:hAnsi="宋体" w:cs="宋体"/>
                <w:kern w:val="0"/>
                <w:szCs w:val="21"/>
              </w:rPr>
            </w:pPr>
          </w:p>
        </w:tc>
      </w:tr>
      <w:tr w14:paraId="3AC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gridSpan w:val="3"/>
            <w:vMerge w:val="continue"/>
            <w:noWrap w:val="0"/>
            <w:vAlign w:val="center"/>
          </w:tcPr>
          <w:p w14:paraId="6AD40DAF">
            <w:pPr>
              <w:widowControl/>
              <w:tabs>
                <w:tab w:val="left" w:pos="537"/>
                <w:tab w:val="left" w:pos="8400"/>
              </w:tabs>
              <w:adjustRightInd w:val="0"/>
              <w:snapToGrid w:val="0"/>
              <w:jc w:val="center"/>
              <w:rPr>
                <w:rFonts w:ascii="宋体" w:hAnsi="宋体" w:cs="宋体"/>
                <w:kern w:val="0"/>
                <w:szCs w:val="21"/>
              </w:rPr>
            </w:pPr>
          </w:p>
        </w:tc>
        <w:tc>
          <w:tcPr>
            <w:tcW w:w="454" w:type="pct"/>
            <w:vMerge w:val="continue"/>
            <w:noWrap w:val="0"/>
            <w:vAlign w:val="center"/>
          </w:tcPr>
          <w:p w14:paraId="4BCCC908">
            <w:pPr>
              <w:widowControl/>
              <w:tabs>
                <w:tab w:val="left" w:pos="8400"/>
              </w:tabs>
              <w:adjustRightInd w:val="0"/>
              <w:snapToGrid w:val="0"/>
              <w:jc w:val="center"/>
              <w:rPr>
                <w:rFonts w:ascii="宋体" w:hAnsi="宋体" w:cs="宋体"/>
                <w:kern w:val="0"/>
                <w:szCs w:val="21"/>
              </w:rPr>
            </w:pPr>
          </w:p>
        </w:tc>
        <w:tc>
          <w:tcPr>
            <w:tcW w:w="1750" w:type="pct"/>
            <w:gridSpan w:val="4"/>
            <w:noWrap w:val="0"/>
            <w:vAlign w:val="center"/>
          </w:tcPr>
          <w:p w14:paraId="5C31D3CA">
            <w:pPr>
              <w:widowControl/>
              <w:tabs>
                <w:tab w:val="left" w:pos="8400"/>
              </w:tabs>
              <w:adjustRightInd w:val="0"/>
              <w:snapToGrid w:val="0"/>
              <w:jc w:val="center"/>
              <w:rPr>
                <w:rFonts w:ascii="宋体" w:hAnsi="宋体" w:cs="宋体"/>
                <w:kern w:val="0"/>
                <w:szCs w:val="21"/>
              </w:rPr>
            </w:pPr>
            <w:r>
              <w:rPr>
                <w:rFonts w:hint="eastAsia" w:ascii="宋体" w:hAnsi="宋体" w:cs="宋体"/>
                <w:kern w:val="0"/>
                <w:szCs w:val="21"/>
              </w:rPr>
              <w:t>39</w:t>
            </w:r>
          </w:p>
        </w:tc>
        <w:tc>
          <w:tcPr>
            <w:tcW w:w="913" w:type="pct"/>
            <w:gridSpan w:val="2"/>
            <w:noWrap w:val="0"/>
            <w:vAlign w:val="center"/>
          </w:tcPr>
          <w:p w14:paraId="3150D25E">
            <w:pPr>
              <w:widowControl/>
              <w:tabs>
                <w:tab w:val="left" w:pos="8400"/>
              </w:tabs>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2</w:t>
            </w:r>
          </w:p>
        </w:tc>
        <w:tc>
          <w:tcPr>
            <w:tcW w:w="454" w:type="pct"/>
            <w:noWrap w:val="0"/>
            <w:vAlign w:val="center"/>
          </w:tcPr>
          <w:p w14:paraId="079B4206">
            <w:pPr>
              <w:widowControl/>
              <w:tabs>
                <w:tab w:val="left" w:pos="8400"/>
              </w:tabs>
              <w:adjustRightInd w:val="0"/>
              <w:snapToGrid w:val="0"/>
              <w:jc w:val="center"/>
              <w:rPr>
                <w:rFonts w:ascii="宋体" w:hAnsi="宋体" w:cs="宋体"/>
                <w:kern w:val="0"/>
                <w:szCs w:val="21"/>
              </w:rPr>
            </w:pPr>
          </w:p>
        </w:tc>
      </w:tr>
    </w:tbl>
    <w:p w14:paraId="164D4966">
      <w:pPr>
        <w:tabs>
          <w:tab w:val="left" w:pos="900"/>
          <w:tab w:val="left" w:pos="1080"/>
        </w:tabs>
        <w:snapToGrid w:val="0"/>
        <w:spacing w:line="360" w:lineRule="auto"/>
        <w:rPr>
          <w:rFonts w:ascii="宋体" w:hAnsi="宋体" w:cs="宋体"/>
          <w:b/>
          <w:sz w:val="24"/>
        </w:rPr>
      </w:pPr>
      <w:r>
        <w:rPr>
          <w:rFonts w:hint="eastAsia" w:ascii="宋体" w:hAnsi="宋体" w:cs="宋体"/>
          <w:b/>
          <w:sz w:val="24"/>
        </w:rPr>
        <w:t xml:space="preserve">     </w:t>
      </w:r>
    </w:p>
    <w:p w14:paraId="61CB4642">
      <w:pPr>
        <w:sectPr>
          <w:footerReference r:id="rId13" w:type="default"/>
          <w:pgSz w:w="11906" w:h="16838"/>
          <w:pgMar w:top="1440" w:right="1800" w:bottom="1440" w:left="1800" w:header="851" w:footer="992" w:gutter="0"/>
          <w:cols w:space="720" w:num="1"/>
          <w:docGrid w:type="lines" w:linePitch="312" w:charSpace="0"/>
        </w:sectPr>
      </w:pPr>
    </w:p>
    <w:p w14:paraId="6C2DA70C">
      <w:pPr>
        <w:rPr>
          <w:rFonts w:cs="仿宋"/>
          <w:b/>
          <w:sz w:val="28"/>
          <w:szCs w:val="28"/>
        </w:rPr>
      </w:pPr>
      <w:r>
        <w:rPr>
          <w:rFonts w:hint="eastAsia" w:cs="仿宋"/>
          <w:b/>
          <w:sz w:val="28"/>
          <w:szCs w:val="28"/>
        </w:rPr>
        <w:t>附件2</w:t>
      </w:r>
    </w:p>
    <w:p w14:paraId="6169B8FC">
      <w:pPr>
        <w:pStyle w:val="17"/>
        <w:ind w:firstLine="1920" w:firstLineChars="800"/>
      </w:pPr>
    </w:p>
    <w:tbl>
      <w:tblPr>
        <w:tblStyle w:val="43"/>
        <w:tblW w:w="15322" w:type="dxa"/>
        <w:jc w:val="center"/>
        <w:tblLayout w:type="autofit"/>
        <w:tblCellMar>
          <w:top w:w="0" w:type="dxa"/>
          <w:left w:w="108" w:type="dxa"/>
          <w:bottom w:w="0" w:type="dxa"/>
          <w:right w:w="108" w:type="dxa"/>
        </w:tblCellMar>
      </w:tblPr>
      <w:tblGrid>
        <w:gridCol w:w="851"/>
        <w:gridCol w:w="850"/>
        <w:gridCol w:w="4421"/>
        <w:gridCol w:w="600"/>
        <w:gridCol w:w="1089"/>
        <w:gridCol w:w="3351"/>
        <w:gridCol w:w="1040"/>
        <w:gridCol w:w="1100"/>
        <w:gridCol w:w="580"/>
        <w:gridCol w:w="560"/>
        <w:gridCol w:w="880"/>
      </w:tblGrid>
      <w:tr w14:paraId="0936E9A1">
        <w:tblPrEx>
          <w:tblCellMar>
            <w:top w:w="0" w:type="dxa"/>
            <w:left w:w="108" w:type="dxa"/>
            <w:bottom w:w="0" w:type="dxa"/>
            <w:right w:w="108" w:type="dxa"/>
          </w:tblCellMar>
        </w:tblPrEx>
        <w:trPr>
          <w:trHeight w:val="510" w:hRule="atLeast"/>
          <w:jc w:val="center"/>
        </w:trPr>
        <w:tc>
          <w:tcPr>
            <w:tcW w:w="15322" w:type="dxa"/>
            <w:gridSpan w:val="11"/>
            <w:tcBorders>
              <w:top w:val="nil"/>
              <w:left w:val="nil"/>
              <w:bottom w:val="nil"/>
              <w:right w:val="nil"/>
            </w:tcBorders>
            <w:noWrap/>
            <w:vAlign w:val="center"/>
          </w:tcPr>
          <w:p w14:paraId="3A24D433">
            <w:pPr>
              <w:widowControl/>
              <w:jc w:val="center"/>
              <w:rPr>
                <w:rFonts w:ascii="微软雅黑" w:hAnsi="微软雅黑" w:eastAsia="微软雅黑" w:cs="宋体"/>
                <w:color w:val="000000"/>
                <w:kern w:val="0"/>
                <w:sz w:val="36"/>
                <w:szCs w:val="36"/>
              </w:rPr>
            </w:pPr>
            <w:bookmarkStart w:id="778" w:name="RANGE!A1:K38"/>
            <w:r>
              <w:rPr>
                <w:rFonts w:hint="eastAsia" w:ascii="微软雅黑" w:hAnsi="微软雅黑" w:eastAsia="微软雅黑" w:cs="宋体"/>
                <w:color w:val="000000"/>
                <w:kern w:val="0"/>
                <w:sz w:val="36"/>
                <w:szCs w:val="36"/>
              </w:rPr>
              <w:t>学生公寓标准化管理考核明细表（试行）</w:t>
            </w:r>
            <w:bookmarkEnd w:id="778"/>
          </w:p>
        </w:tc>
      </w:tr>
      <w:tr w14:paraId="0F1DA9E5">
        <w:tblPrEx>
          <w:tblCellMar>
            <w:top w:w="0" w:type="dxa"/>
            <w:left w:w="108" w:type="dxa"/>
            <w:bottom w:w="0" w:type="dxa"/>
            <w:right w:w="108" w:type="dxa"/>
          </w:tblCellMar>
        </w:tblPrEx>
        <w:trPr>
          <w:trHeight w:val="1995" w:hRule="atLeast"/>
          <w:jc w:val="center"/>
        </w:trPr>
        <w:tc>
          <w:tcPr>
            <w:tcW w:w="15322" w:type="dxa"/>
            <w:gridSpan w:val="11"/>
            <w:tcBorders>
              <w:top w:val="nil"/>
              <w:left w:val="nil"/>
              <w:bottom w:val="single" w:color="auto" w:sz="4" w:space="0"/>
              <w:right w:val="nil"/>
            </w:tcBorders>
            <w:noWrap w:val="0"/>
            <w:vAlign w:val="top"/>
          </w:tcPr>
          <w:p w14:paraId="4AAF978E">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根据北京市教育委员会《</w:t>
            </w:r>
            <w:r>
              <w:rPr>
                <w:rFonts w:hint="eastAsia"/>
                <w:lang w:eastAsia="zh-Hans"/>
              </w:rPr>
              <w:t>北京高校标准化公寓、食堂和物业标准（2016版</w:t>
            </w:r>
            <w:r>
              <w:rPr>
                <w:rFonts w:hint="eastAsia"/>
              </w:rPr>
              <w:t>）</w:t>
            </w:r>
            <w:r>
              <w:rPr>
                <w:rFonts w:hint="eastAsia" w:ascii="宋体" w:hAnsi="宋体" w:cs="宋体"/>
                <w:color w:val="000000"/>
                <w:kern w:val="0"/>
                <w:sz w:val="20"/>
                <w:szCs w:val="20"/>
              </w:rPr>
              <w:t>》进一步推进高校后勤标准化建设工作的通知精神，按照“有要求、有考核、有奖惩”的要求，学工部门按照合同内容，对照公寓标准化考评机制细则，组织开展标准化公寓考核达标验收工作，满分为100分，90分以上为达标，同时加强对第三方公寓管理的指导、检查和培训，建立长效机制，实现学生公寓服务标准化建设工作常态化、细致化，更好的为学生服务，提高住宿学生满意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考核小组：甲方党委学工部部长、学宿中心人员、二级学院、学生代表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考核对象：乙方驻北京劳动保障职业学院项目组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考核日期：</w:t>
            </w:r>
          </w:p>
        </w:tc>
      </w:tr>
      <w:tr w14:paraId="74397555">
        <w:tblPrEx>
          <w:tblCellMar>
            <w:top w:w="0" w:type="dxa"/>
            <w:left w:w="108" w:type="dxa"/>
            <w:bottom w:w="0" w:type="dxa"/>
            <w:right w:w="108" w:type="dxa"/>
          </w:tblCellMar>
        </w:tblPrEx>
        <w:trPr>
          <w:trHeight w:val="60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B17795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项目及分值</w:t>
            </w:r>
          </w:p>
        </w:tc>
        <w:tc>
          <w:tcPr>
            <w:tcW w:w="850" w:type="dxa"/>
            <w:tcBorders>
              <w:top w:val="single" w:color="auto" w:sz="4" w:space="0"/>
              <w:left w:val="nil"/>
              <w:bottom w:val="single" w:color="auto" w:sz="4" w:space="0"/>
              <w:right w:val="single" w:color="auto" w:sz="4" w:space="0"/>
            </w:tcBorders>
            <w:noWrap w:val="0"/>
            <w:vAlign w:val="center"/>
          </w:tcPr>
          <w:p w14:paraId="62533B1D">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4421" w:type="dxa"/>
            <w:tcBorders>
              <w:top w:val="single" w:color="auto" w:sz="4" w:space="0"/>
              <w:left w:val="nil"/>
              <w:bottom w:val="single" w:color="auto" w:sz="4" w:space="0"/>
              <w:right w:val="single" w:color="auto" w:sz="4" w:space="0"/>
            </w:tcBorders>
            <w:noWrap w:val="0"/>
            <w:vAlign w:val="center"/>
          </w:tcPr>
          <w:p w14:paraId="6DCC86B0">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项目内容</w:t>
            </w:r>
          </w:p>
        </w:tc>
        <w:tc>
          <w:tcPr>
            <w:tcW w:w="600" w:type="dxa"/>
            <w:tcBorders>
              <w:top w:val="single" w:color="auto" w:sz="4" w:space="0"/>
              <w:left w:val="nil"/>
              <w:bottom w:val="single" w:color="auto" w:sz="4" w:space="0"/>
              <w:right w:val="single" w:color="auto" w:sz="4" w:space="0"/>
            </w:tcBorders>
            <w:noWrap w:val="0"/>
            <w:vAlign w:val="center"/>
          </w:tcPr>
          <w:p w14:paraId="2548FBFE">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89" w:type="dxa"/>
            <w:tcBorders>
              <w:top w:val="single" w:color="auto" w:sz="4" w:space="0"/>
              <w:left w:val="nil"/>
              <w:bottom w:val="single" w:color="auto" w:sz="4" w:space="0"/>
              <w:right w:val="single" w:color="auto" w:sz="4" w:space="0"/>
            </w:tcBorders>
            <w:noWrap w:val="0"/>
            <w:vAlign w:val="center"/>
          </w:tcPr>
          <w:p w14:paraId="7A8DB708">
            <w:pPr>
              <w:widowControl/>
              <w:jc w:val="center"/>
              <w:rPr>
                <w:rFonts w:ascii="宋体" w:hAnsi="宋体" w:cs="宋体"/>
                <w:color w:val="000000"/>
                <w:kern w:val="0"/>
                <w:sz w:val="20"/>
                <w:szCs w:val="20"/>
              </w:rPr>
            </w:pPr>
            <w:r>
              <w:rPr>
                <w:rFonts w:hint="eastAsia" w:ascii="宋体" w:hAnsi="宋体" w:cs="宋体"/>
                <w:color w:val="000000"/>
                <w:kern w:val="0"/>
                <w:sz w:val="20"/>
                <w:szCs w:val="20"/>
              </w:rPr>
              <w:t>考核方法</w:t>
            </w:r>
          </w:p>
        </w:tc>
        <w:tc>
          <w:tcPr>
            <w:tcW w:w="3351" w:type="dxa"/>
            <w:tcBorders>
              <w:top w:val="single" w:color="auto" w:sz="4" w:space="0"/>
              <w:left w:val="nil"/>
              <w:bottom w:val="single" w:color="auto" w:sz="4" w:space="0"/>
              <w:right w:val="single" w:color="auto" w:sz="4" w:space="0"/>
            </w:tcBorders>
            <w:noWrap w:val="0"/>
            <w:vAlign w:val="center"/>
          </w:tcPr>
          <w:p w14:paraId="6F5F5676">
            <w:pPr>
              <w:widowControl/>
              <w:jc w:val="center"/>
              <w:rPr>
                <w:rFonts w:ascii="宋体" w:hAnsi="宋体" w:cs="宋体"/>
                <w:color w:val="000000"/>
                <w:kern w:val="0"/>
                <w:sz w:val="20"/>
                <w:szCs w:val="20"/>
              </w:rPr>
            </w:pPr>
            <w:r>
              <w:rPr>
                <w:rFonts w:hint="eastAsia" w:ascii="宋体" w:hAnsi="宋体" w:cs="宋体"/>
                <w:color w:val="000000"/>
                <w:kern w:val="0"/>
                <w:sz w:val="20"/>
                <w:szCs w:val="20"/>
              </w:rPr>
              <w:t>奖惩办法</w:t>
            </w:r>
          </w:p>
        </w:tc>
        <w:tc>
          <w:tcPr>
            <w:tcW w:w="1040" w:type="dxa"/>
            <w:tcBorders>
              <w:top w:val="single" w:color="auto" w:sz="4" w:space="0"/>
              <w:left w:val="nil"/>
              <w:bottom w:val="single" w:color="auto" w:sz="4" w:space="0"/>
              <w:right w:val="single" w:color="auto" w:sz="4" w:space="0"/>
            </w:tcBorders>
            <w:noWrap w:val="0"/>
            <w:vAlign w:val="center"/>
          </w:tcPr>
          <w:p w14:paraId="57AC4A00">
            <w:pPr>
              <w:widowControl/>
              <w:jc w:val="center"/>
              <w:rPr>
                <w:rFonts w:ascii="宋体" w:hAnsi="宋体" w:cs="宋体"/>
                <w:color w:val="000000"/>
                <w:kern w:val="0"/>
                <w:sz w:val="20"/>
                <w:szCs w:val="20"/>
              </w:rPr>
            </w:pPr>
            <w:r>
              <w:rPr>
                <w:rFonts w:hint="eastAsia" w:ascii="宋体" w:hAnsi="宋体" w:cs="宋体"/>
                <w:color w:val="000000"/>
                <w:kern w:val="0"/>
                <w:sz w:val="20"/>
                <w:szCs w:val="20"/>
              </w:rPr>
              <w:t>考核周期</w:t>
            </w:r>
          </w:p>
        </w:tc>
        <w:tc>
          <w:tcPr>
            <w:tcW w:w="1100" w:type="dxa"/>
            <w:tcBorders>
              <w:top w:val="single" w:color="auto" w:sz="4" w:space="0"/>
              <w:left w:val="nil"/>
              <w:bottom w:val="single" w:color="auto" w:sz="4" w:space="0"/>
              <w:right w:val="single" w:color="auto" w:sz="4" w:space="0"/>
            </w:tcBorders>
            <w:noWrap w:val="0"/>
            <w:vAlign w:val="center"/>
          </w:tcPr>
          <w:p w14:paraId="54B69C80">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完成情况（是/否）</w:t>
            </w:r>
          </w:p>
        </w:tc>
        <w:tc>
          <w:tcPr>
            <w:tcW w:w="580" w:type="dxa"/>
            <w:tcBorders>
              <w:top w:val="single" w:color="auto" w:sz="4" w:space="0"/>
              <w:left w:val="nil"/>
              <w:bottom w:val="single" w:color="auto" w:sz="4" w:space="0"/>
              <w:right w:val="single" w:color="auto" w:sz="4" w:space="0"/>
            </w:tcBorders>
            <w:noWrap w:val="0"/>
            <w:vAlign w:val="center"/>
          </w:tcPr>
          <w:p w14:paraId="113C81A5">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560" w:type="dxa"/>
            <w:tcBorders>
              <w:top w:val="single" w:color="auto" w:sz="4" w:space="0"/>
              <w:left w:val="nil"/>
              <w:bottom w:val="single" w:color="auto" w:sz="4" w:space="0"/>
              <w:right w:val="single" w:color="auto" w:sz="4" w:space="0"/>
            </w:tcBorders>
            <w:noWrap w:val="0"/>
            <w:vAlign w:val="center"/>
          </w:tcPr>
          <w:p w14:paraId="171E826D">
            <w:pPr>
              <w:widowControl/>
              <w:jc w:val="center"/>
              <w:rPr>
                <w:rFonts w:ascii="宋体" w:hAnsi="宋体" w:cs="宋体"/>
                <w:color w:val="000000"/>
                <w:kern w:val="0"/>
                <w:sz w:val="20"/>
                <w:szCs w:val="20"/>
              </w:rPr>
            </w:pPr>
            <w:r>
              <w:rPr>
                <w:rFonts w:hint="eastAsia" w:ascii="宋体" w:hAnsi="宋体" w:cs="宋体"/>
                <w:color w:val="000000"/>
                <w:kern w:val="0"/>
                <w:sz w:val="20"/>
                <w:szCs w:val="20"/>
              </w:rPr>
              <w:t>扣减分值</w:t>
            </w:r>
          </w:p>
        </w:tc>
        <w:tc>
          <w:tcPr>
            <w:tcW w:w="880" w:type="dxa"/>
            <w:tcBorders>
              <w:top w:val="single" w:color="auto" w:sz="4" w:space="0"/>
              <w:left w:val="nil"/>
              <w:bottom w:val="single" w:color="auto" w:sz="4" w:space="0"/>
              <w:right w:val="single" w:color="auto" w:sz="4" w:space="0"/>
            </w:tcBorders>
            <w:noWrap/>
            <w:vAlign w:val="center"/>
          </w:tcPr>
          <w:p w14:paraId="46A3525C">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签字确认</w:t>
            </w:r>
          </w:p>
        </w:tc>
      </w:tr>
      <w:tr w14:paraId="7EA415F2">
        <w:tblPrEx>
          <w:tblCellMar>
            <w:top w:w="0" w:type="dxa"/>
            <w:left w:w="108" w:type="dxa"/>
            <w:bottom w:w="0" w:type="dxa"/>
            <w:right w:w="108" w:type="dxa"/>
          </w:tblCellMar>
        </w:tblPrEx>
        <w:trPr>
          <w:trHeight w:val="780"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4ADA95FA">
            <w:pPr>
              <w:widowControl/>
              <w:jc w:val="center"/>
              <w:rPr>
                <w:rFonts w:ascii="宋体" w:hAnsi="宋体" w:cs="宋体"/>
                <w:color w:val="000000"/>
                <w:kern w:val="0"/>
                <w:sz w:val="20"/>
                <w:szCs w:val="20"/>
              </w:rPr>
            </w:pPr>
            <w:r>
              <w:rPr>
                <w:rFonts w:hint="eastAsia" w:ascii="宋体" w:hAnsi="宋体" w:cs="宋体"/>
                <w:color w:val="000000"/>
                <w:kern w:val="0"/>
                <w:sz w:val="20"/>
                <w:szCs w:val="20"/>
              </w:rPr>
              <w:t>一、人员情况（20分）</w:t>
            </w:r>
          </w:p>
        </w:tc>
        <w:tc>
          <w:tcPr>
            <w:tcW w:w="850" w:type="dxa"/>
            <w:tcBorders>
              <w:top w:val="single" w:color="auto" w:sz="4" w:space="0"/>
              <w:left w:val="nil"/>
              <w:bottom w:val="single" w:color="auto" w:sz="4" w:space="0"/>
              <w:right w:val="single" w:color="auto" w:sz="4" w:space="0"/>
            </w:tcBorders>
            <w:noWrap w:val="0"/>
            <w:vAlign w:val="center"/>
          </w:tcPr>
          <w:p w14:paraId="131CC034">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421" w:type="dxa"/>
            <w:tcBorders>
              <w:top w:val="single" w:color="auto" w:sz="4" w:space="0"/>
              <w:left w:val="nil"/>
              <w:bottom w:val="single" w:color="auto" w:sz="4" w:space="0"/>
              <w:right w:val="single" w:color="auto" w:sz="4" w:space="0"/>
            </w:tcBorders>
            <w:noWrap w:val="0"/>
            <w:vAlign w:val="center"/>
          </w:tcPr>
          <w:p w14:paraId="669F4983">
            <w:pPr>
              <w:widowControl/>
              <w:jc w:val="left"/>
              <w:rPr>
                <w:rFonts w:ascii="宋体" w:hAnsi="宋体" w:cs="宋体"/>
                <w:color w:val="000000"/>
                <w:kern w:val="0"/>
                <w:sz w:val="20"/>
                <w:szCs w:val="20"/>
              </w:rPr>
            </w:pPr>
            <w:r>
              <w:rPr>
                <w:rFonts w:hint="eastAsia" w:ascii="宋体" w:hAnsi="宋体" w:cs="宋体"/>
                <w:color w:val="000000"/>
                <w:kern w:val="0"/>
                <w:sz w:val="20"/>
                <w:szCs w:val="20"/>
              </w:rPr>
              <w:t>服务人员应热爱祖国、具有较强的事业心和责任感，有一定的沟通能力、文化素质和管理经验，与合同约定对年龄、学历的要求是否匹配。</w:t>
            </w:r>
          </w:p>
        </w:tc>
        <w:tc>
          <w:tcPr>
            <w:tcW w:w="600" w:type="dxa"/>
            <w:tcBorders>
              <w:top w:val="single" w:color="auto" w:sz="4" w:space="0"/>
              <w:left w:val="nil"/>
              <w:bottom w:val="single" w:color="auto" w:sz="4" w:space="0"/>
              <w:right w:val="single" w:color="auto" w:sz="4" w:space="0"/>
            </w:tcBorders>
            <w:noWrap w:val="0"/>
            <w:vAlign w:val="center"/>
          </w:tcPr>
          <w:p w14:paraId="47D6981C">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0F0BD1D1">
            <w:pPr>
              <w:widowControl/>
              <w:jc w:val="center"/>
              <w:rPr>
                <w:rFonts w:ascii="宋体" w:hAnsi="宋体" w:cs="宋体"/>
                <w:color w:val="000000"/>
                <w:kern w:val="0"/>
                <w:sz w:val="20"/>
                <w:szCs w:val="20"/>
              </w:rPr>
            </w:pPr>
            <w:r>
              <w:rPr>
                <w:rFonts w:hint="eastAsia" w:ascii="宋体" w:hAnsi="宋体" w:cs="宋体"/>
                <w:color w:val="000000"/>
                <w:kern w:val="0"/>
                <w:sz w:val="20"/>
                <w:szCs w:val="20"/>
              </w:rPr>
              <w:t>查收资料</w:t>
            </w:r>
          </w:p>
        </w:tc>
        <w:tc>
          <w:tcPr>
            <w:tcW w:w="3351" w:type="dxa"/>
            <w:vMerge w:val="restart"/>
            <w:tcBorders>
              <w:top w:val="single" w:color="auto" w:sz="4" w:space="0"/>
              <w:left w:val="single" w:color="auto" w:sz="4" w:space="0"/>
              <w:bottom w:val="single" w:color="auto" w:sz="4" w:space="0"/>
              <w:right w:val="single" w:color="auto" w:sz="4" w:space="0"/>
            </w:tcBorders>
            <w:noWrap w:val="0"/>
            <w:vAlign w:val="center"/>
          </w:tcPr>
          <w:p w14:paraId="3AF8D52F">
            <w:pPr>
              <w:widowControl/>
              <w:jc w:val="left"/>
              <w:rPr>
                <w:rFonts w:ascii="宋体" w:hAnsi="宋体" w:cs="宋体"/>
                <w:color w:val="000000"/>
                <w:kern w:val="0"/>
                <w:sz w:val="20"/>
                <w:szCs w:val="20"/>
              </w:rPr>
            </w:pPr>
            <w:r>
              <w:rPr>
                <w:rFonts w:hint="eastAsia" w:ascii="宋体" w:hAnsi="宋体" w:cs="宋体"/>
                <w:color w:val="000000"/>
                <w:kern w:val="0"/>
                <w:sz w:val="20"/>
                <w:szCs w:val="20"/>
              </w:rPr>
              <w:t>1人/日不符合扣除1分。</w:t>
            </w:r>
          </w:p>
        </w:tc>
        <w:tc>
          <w:tcPr>
            <w:tcW w:w="1040" w:type="dxa"/>
            <w:tcBorders>
              <w:top w:val="single" w:color="auto" w:sz="4" w:space="0"/>
              <w:left w:val="nil"/>
              <w:bottom w:val="single" w:color="auto" w:sz="4" w:space="0"/>
              <w:right w:val="single" w:color="auto" w:sz="4" w:space="0"/>
            </w:tcBorders>
            <w:noWrap w:val="0"/>
            <w:vAlign w:val="center"/>
          </w:tcPr>
          <w:p w14:paraId="13E649F9">
            <w:pPr>
              <w:widowControl/>
              <w:jc w:val="center"/>
              <w:rPr>
                <w:rFonts w:ascii="宋体" w:hAnsi="宋体" w:cs="宋体"/>
                <w:color w:val="000000"/>
                <w:kern w:val="0"/>
                <w:sz w:val="20"/>
                <w:szCs w:val="20"/>
              </w:rPr>
            </w:pPr>
            <w:r>
              <w:rPr>
                <w:rFonts w:hint="eastAsia" w:ascii="宋体" w:hAnsi="宋体" w:cs="宋体"/>
                <w:color w:val="000000"/>
                <w:kern w:val="0"/>
                <w:sz w:val="20"/>
                <w:szCs w:val="20"/>
              </w:rPr>
              <w:t>入职前检查</w:t>
            </w:r>
          </w:p>
        </w:tc>
        <w:tc>
          <w:tcPr>
            <w:tcW w:w="1100" w:type="dxa"/>
            <w:tcBorders>
              <w:top w:val="single" w:color="auto" w:sz="4" w:space="0"/>
              <w:left w:val="nil"/>
              <w:bottom w:val="single" w:color="auto" w:sz="4" w:space="0"/>
              <w:right w:val="single" w:color="auto" w:sz="4" w:space="0"/>
            </w:tcBorders>
            <w:noWrap w:val="0"/>
            <w:vAlign w:val="center"/>
          </w:tcPr>
          <w:p w14:paraId="76162BA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140B43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34B1536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7F477A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68EE63D">
        <w:tblPrEx>
          <w:tblCellMar>
            <w:top w:w="0" w:type="dxa"/>
            <w:left w:w="108" w:type="dxa"/>
            <w:bottom w:w="0" w:type="dxa"/>
            <w:right w:w="108" w:type="dxa"/>
          </w:tblCellMar>
        </w:tblPrEx>
        <w:trPr>
          <w:trHeight w:val="57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1EBEA98E">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2987A283">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421" w:type="dxa"/>
            <w:tcBorders>
              <w:top w:val="single" w:color="auto" w:sz="4" w:space="0"/>
              <w:left w:val="nil"/>
              <w:bottom w:val="single" w:color="auto" w:sz="4" w:space="0"/>
              <w:right w:val="single" w:color="auto" w:sz="4" w:space="0"/>
            </w:tcBorders>
            <w:noWrap w:val="0"/>
            <w:vAlign w:val="center"/>
          </w:tcPr>
          <w:p w14:paraId="0949643C">
            <w:pPr>
              <w:widowControl/>
              <w:jc w:val="left"/>
              <w:rPr>
                <w:rFonts w:ascii="宋体" w:hAnsi="宋体" w:cs="宋体"/>
                <w:color w:val="000000"/>
                <w:kern w:val="0"/>
                <w:sz w:val="20"/>
                <w:szCs w:val="20"/>
              </w:rPr>
            </w:pPr>
            <w:r>
              <w:rPr>
                <w:rFonts w:hint="eastAsia" w:ascii="宋体" w:hAnsi="宋体" w:cs="宋体"/>
                <w:color w:val="000000"/>
                <w:kern w:val="0"/>
                <w:sz w:val="20"/>
                <w:szCs w:val="20"/>
              </w:rPr>
              <w:t>依法用工，岗前培训，合格后上岗。</w:t>
            </w:r>
          </w:p>
        </w:tc>
        <w:tc>
          <w:tcPr>
            <w:tcW w:w="600" w:type="dxa"/>
            <w:tcBorders>
              <w:top w:val="single" w:color="auto" w:sz="4" w:space="0"/>
              <w:left w:val="nil"/>
              <w:bottom w:val="single" w:color="auto" w:sz="4" w:space="0"/>
              <w:right w:val="single" w:color="auto" w:sz="4" w:space="0"/>
            </w:tcBorders>
            <w:noWrap w:val="0"/>
            <w:vAlign w:val="center"/>
          </w:tcPr>
          <w:p w14:paraId="62AC9B93">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7AF42431">
            <w:pPr>
              <w:widowControl/>
              <w:jc w:val="center"/>
              <w:rPr>
                <w:rFonts w:ascii="宋体" w:hAnsi="宋体" w:cs="宋体"/>
                <w:color w:val="000000"/>
                <w:kern w:val="0"/>
                <w:sz w:val="20"/>
                <w:szCs w:val="20"/>
              </w:rPr>
            </w:pPr>
            <w:r>
              <w:rPr>
                <w:rFonts w:hint="eastAsia" w:ascii="宋体" w:hAnsi="宋体" w:cs="宋体"/>
                <w:color w:val="000000"/>
                <w:kern w:val="0"/>
                <w:sz w:val="20"/>
                <w:szCs w:val="20"/>
              </w:rPr>
              <w:t>查收资料</w:t>
            </w:r>
          </w:p>
        </w:tc>
        <w:tc>
          <w:tcPr>
            <w:tcW w:w="3351" w:type="dxa"/>
            <w:vMerge w:val="continue"/>
            <w:tcBorders>
              <w:top w:val="single" w:color="auto" w:sz="4" w:space="0"/>
              <w:left w:val="single" w:color="auto" w:sz="4" w:space="0"/>
              <w:bottom w:val="single" w:color="auto" w:sz="4" w:space="0"/>
              <w:right w:val="single" w:color="auto" w:sz="4" w:space="0"/>
            </w:tcBorders>
            <w:noWrap w:val="0"/>
            <w:vAlign w:val="center"/>
          </w:tcPr>
          <w:p w14:paraId="66CB1059">
            <w:pPr>
              <w:widowControl/>
              <w:jc w:val="left"/>
              <w:rPr>
                <w:rFonts w:ascii="宋体" w:hAns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noWrap w:val="0"/>
            <w:vAlign w:val="center"/>
          </w:tcPr>
          <w:p w14:paraId="3125C481">
            <w:pPr>
              <w:widowControl/>
              <w:jc w:val="center"/>
              <w:rPr>
                <w:rFonts w:ascii="宋体" w:hAnsi="宋体" w:cs="宋体"/>
                <w:color w:val="000000"/>
                <w:kern w:val="0"/>
                <w:sz w:val="20"/>
                <w:szCs w:val="20"/>
              </w:rPr>
            </w:pPr>
            <w:r>
              <w:rPr>
                <w:rFonts w:hint="eastAsia" w:ascii="宋体" w:hAnsi="宋体" w:cs="宋体"/>
                <w:color w:val="000000"/>
                <w:kern w:val="0"/>
                <w:sz w:val="20"/>
                <w:szCs w:val="20"/>
              </w:rPr>
              <w:t>入职前检查</w:t>
            </w:r>
          </w:p>
        </w:tc>
        <w:tc>
          <w:tcPr>
            <w:tcW w:w="1100" w:type="dxa"/>
            <w:tcBorders>
              <w:top w:val="single" w:color="auto" w:sz="4" w:space="0"/>
              <w:left w:val="nil"/>
              <w:bottom w:val="single" w:color="auto" w:sz="4" w:space="0"/>
              <w:right w:val="single" w:color="auto" w:sz="4" w:space="0"/>
            </w:tcBorders>
            <w:noWrap w:val="0"/>
            <w:vAlign w:val="center"/>
          </w:tcPr>
          <w:p w14:paraId="3A20FF7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2B242EE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357D1AF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453E148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3005B545">
        <w:tblPrEx>
          <w:tblCellMar>
            <w:top w:w="0" w:type="dxa"/>
            <w:left w:w="108" w:type="dxa"/>
            <w:bottom w:w="0" w:type="dxa"/>
            <w:right w:w="108" w:type="dxa"/>
          </w:tblCellMar>
        </w:tblPrEx>
        <w:trPr>
          <w:trHeight w:val="91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04F8B033">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53673AC0">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421" w:type="dxa"/>
            <w:tcBorders>
              <w:top w:val="single" w:color="auto" w:sz="4" w:space="0"/>
              <w:left w:val="nil"/>
              <w:bottom w:val="single" w:color="auto" w:sz="4" w:space="0"/>
              <w:right w:val="single" w:color="auto" w:sz="4" w:space="0"/>
            </w:tcBorders>
            <w:noWrap w:val="0"/>
            <w:vAlign w:val="center"/>
          </w:tcPr>
          <w:p w14:paraId="1A2AF4BE">
            <w:pPr>
              <w:widowControl/>
              <w:jc w:val="left"/>
              <w:rPr>
                <w:rFonts w:ascii="宋体" w:hAnsi="宋体" w:cs="宋体"/>
                <w:color w:val="000000"/>
                <w:kern w:val="0"/>
                <w:sz w:val="20"/>
                <w:szCs w:val="20"/>
              </w:rPr>
            </w:pPr>
            <w:r>
              <w:rPr>
                <w:rFonts w:hint="eastAsia" w:ascii="宋体" w:hAnsi="宋体" w:cs="宋体"/>
                <w:color w:val="000000"/>
                <w:kern w:val="0"/>
                <w:sz w:val="20"/>
                <w:szCs w:val="20"/>
              </w:rPr>
              <w:t>提供入职材料：个人信息台账、身份证、从业资格证、无犯罪记录证明及劳动（劳务）合同；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离职材料：离职证明，交回校园卡等物品</w:t>
            </w:r>
          </w:p>
        </w:tc>
        <w:tc>
          <w:tcPr>
            <w:tcW w:w="600" w:type="dxa"/>
            <w:tcBorders>
              <w:top w:val="single" w:color="auto" w:sz="4" w:space="0"/>
              <w:left w:val="nil"/>
              <w:bottom w:val="single" w:color="auto" w:sz="4" w:space="0"/>
              <w:right w:val="single" w:color="auto" w:sz="4" w:space="0"/>
            </w:tcBorders>
            <w:noWrap w:val="0"/>
            <w:vAlign w:val="center"/>
          </w:tcPr>
          <w:p w14:paraId="10D2C1CB">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0BC0CFAF">
            <w:pPr>
              <w:widowControl/>
              <w:jc w:val="center"/>
              <w:rPr>
                <w:rFonts w:ascii="宋体" w:hAnsi="宋体" w:cs="宋体"/>
                <w:color w:val="000000"/>
                <w:kern w:val="0"/>
                <w:sz w:val="20"/>
                <w:szCs w:val="20"/>
              </w:rPr>
            </w:pPr>
            <w:r>
              <w:rPr>
                <w:rFonts w:hint="eastAsia" w:ascii="宋体" w:hAnsi="宋体" w:cs="宋体"/>
                <w:color w:val="000000"/>
                <w:kern w:val="0"/>
                <w:sz w:val="20"/>
                <w:szCs w:val="20"/>
              </w:rPr>
              <w:t>查收资料</w:t>
            </w:r>
          </w:p>
        </w:tc>
        <w:tc>
          <w:tcPr>
            <w:tcW w:w="3351" w:type="dxa"/>
            <w:vMerge w:val="continue"/>
            <w:tcBorders>
              <w:top w:val="single" w:color="auto" w:sz="4" w:space="0"/>
              <w:left w:val="single" w:color="auto" w:sz="4" w:space="0"/>
              <w:bottom w:val="single" w:color="auto" w:sz="4" w:space="0"/>
              <w:right w:val="single" w:color="auto" w:sz="4" w:space="0"/>
            </w:tcBorders>
            <w:noWrap w:val="0"/>
            <w:vAlign w:val="center"/>
          </w:tcPr>
          <w:p w14:paraId="7B16269C">
            <w:pPr>
              <w:widowControl/>
              <w:jc w:val="left"/>
              <w:rPr>
                <w:rFonts w:ascii="宋体" w:hAns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noWrap w:val="0"/>
            <w:vAlign w:val="center"/>
          </w:tcPr>
          <w:p w14:paraId="4416BC8A">
            <w:pPr>
              <w:widowControl/>
              <w:jc w:val="center"/>
              <w:rPr>
                <w:rFonts w:ascii="宋体" w:hAnsi="宋体" w:cs="宋体"/>
                <w:color w:val="000000"/>
                <w:kern w:val="0"/>
                <w:sz w:val="20"/>
                <w:szCs w:val="20"/>
              </w:rPr>
            </w:pPr>
            <w:r>
              <w:rPr>
                <w:rFonts w:hint="eastAsia" w:ascii="宋体" w:hAnsi="宋体" w:cs="宋体"/>
                <w:color w:val="000000"/>
                <w:kern w:val="0"/>
                <w:sz w:val="20"/>
                <w:szCs w:val="20"/>
              </w:rPr>
              <w:t>入职前收</w:t>
            </w:r>
          </w:p>
        </w:tc>
        <w:tc>
          <w:tcPr>
            <w:tcW w:w="1100" w:type="dxa"/>
            <w:tcBorders>
              <w:top w:val="single" w:color="auto" w:sz="4" w:space="0"/>
              <w:left w:val="nil"/>
              <w:bottom w:val="single" w:color="auto" w:sz="4" w:space="0"/>
              <w:right w:val="single" w:color="auto" w:sz="4" w:space="0"/>
            </w:tcBorders>
            <w:noWrap w:val="0"/>
            <w:vAlign w:val="center"/>
          </w:tcPr>
          <w:p w14:paraId="726CF6E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3F0FCE7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3E8A38C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23131B0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F937138">
        <w:tblPrEx>
          <w:tblCellMar>
            <w:top w:w="0" w:type="dxa"/>
            <w:left w:w="108" w:type="dxa"/>
            <w:bottom w:w="0" w:type="dxa"/>
            <w:right w:w="108" w:type="dxa"/>
          </w:tblCellMar>
        </w:tblPrEx>
        <w:trPr>
          <w:trHeight w:val="99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92F41C1">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3CFDB306">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421" w:type="dxa"/>
            <w:tcBorders>
              <w:top w:val="single" w:color="auto" w:sz="4" w:space="0"/>
              <w:left w:val="nil"/>
              <w:bottom w:val="single" w:color="auto" w:sz="4" w:space="0"/>
              <w:right w:val="single" w:color="auto" w:sz="4" w:space="0"/>
            </w:tcBorders>
            <w:noWrap w:val="0"/>
            <w:vAlign w:val="center"/>
          </w:tcPr>
          <w:p w14:paraId="69C2D4E4">
            <w:pPr>
              <w:widowControl/>
              <w:jc w:val="left"/>
              <w:rPr>
                <w:rFonts w:ascii="宋体" w:hAnsi="宋体" w:cs="宋体"/>
                <w:color w:val="000000"/>
                <w:kern w:val="0"/>
                <w:sz w:val="20"/>
                <w:szCs w:val="20"/>
              </w:rPr>
            </w:pPr>
            <w:r>
              <w:rPr>
                <w:rFonts w:hint="eastAsia" w:ascii="宋体" w:hAnsi="宋体" w:cs="宋体"/>
                <w:color w:val="000000"/>
                <w:kern w:val="0"/>
                <w:sz w:val="20"/>
                <w:szCs w:val="20"/>
              </w:rPr>
              <w:t>落实学校各类相关制度：北京市及学校疫情防控措施，离京、返京及时报备。</w:t>
            </w:r>
          </w:p>
        </w:tc>
        <w:tc>
          <w:tcPr>
            <w:tcW w:w="600" w:type="dxa"/>
            <w:tcBorders>
              <w:top w:val="single" w:color="auto" w:sz="4" w:space="0"/>
              <w:left w:val="nil"/>
              <w:bottom w:val="single" w:color="auto" w:sz="4" w:space="0"/>
              <w:right w:val="single" w:color="auto" w:sz="4" w:space="0"/>
            </w:tcBorders>
            <w:noWrap w:val="0"/>
            <w:vAlign w:val="center"/>
          </w:tcPr>
          <w:p w14:paraId="39829068">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9" w:type="dxa"/>
            <w:tcBorders>
              <w:top w:val="single" w:color="auto" w:sz="4" w:space="0"/>
              <w:left w:val="nil"/>
              <w:bottom w:val="single" w:color="auto" w:sz="4" w:space="0"/>
              <w:right w:val="single" w:color="auto" w:sz="4" w:space="0"/>
            </w:tcBorders>
            <w:noWrap w:val="0"/>
            <w:vAlign w:val="center"/>
          </w:tcPr>
          <w:p w14:paraId="6378DE7F">
            <w:pPr>
              <w:widowControl/>
              <w:jc w:val="center"/>
              <w:rPr>
                <w:rFonts w:ascii="宋体" w:hAnsi="宋体" w:cs="宋体"/>
                <w:color w:val="000000"/>
                <w:kern w:val="0"/>
                <w:sz w:val="20"/>
                <w:szCs w:val="20"/>
              </w:rPr>
            </w:pPr>
            <w:r>
              <w:rPr>
                <w:rFonts w:hint="eastAsia" w:ascii="宋体" w:hAnsi="宋体" w:cs="宋体"/>
                <w:color w:val="000000"/>
                <w:kern w:val="0"/>
                <w:sz w:val="20"/>
                <w:szCs w:val="20"/>
              </w:rPr>
              <w:t>查收资料</w:t>
            </w:r>
          </w:p>
        </w:tc>
        <w:tc>
          <w:tcPr>
            <w:tcW w:w="3351" w:type="dxa"/>
            <w:tcBorders>
              <w:top w:val="single" w:color="auto" w:sz="4" w:space="0"/>
              <w:left w:val="nil"/>
              <w:bottom w:val="single" w:color="auto" w:sz="4" w:space="0"/>
              <w:right w:val="single" w:color="auto" w:sz="4" w:space="0"/>
            </w:tcBorders>
            <w:noWrap w:val="0"/>
            <w:vAlign w:val="center"/>
          </w:tcPr>
          <w:p w14:paraId="5BCB1C7B">
            <w:pPr>
              <w:widowControl/>
              <w:jc w:val="left"/>
              <w:rPr>
                <w:rFonts w:ascii="宋体" w:hAnsi="宋体" w:cs="宋体"/>
                <w:color w:val="000000"/>
                <w:kern w:val="0"/>
                <w:sz w:val="20"/>
                <w:szCs w:val="20"/>
              </w:rPr>
            </w:pPr>
            <w:r>
              <w:rPr>
                <w:rFonts w:hint="eastAsia" w:ascii="宋体" w:hAnsi="宋体" w:cs="宋体"/>
                <w:color w:val="000000"/>
                <w:kern w:val="0"/>
                <w:sz w:val="20"/>
                <w:szCs w:val="20"/>
              </w:rPr>
              <w:t>1人/日不符合扣除2分。</w:t>
            </w:r>
          </w:p>
        </w:tc>
        <w:tc>
          <w:tcPr>
            <w:tcW w:w="1040" w:type="dxa"/>
            <w:tcBorders>
              <w:top w:val="single" w:color="auto" w:sz="4" w:space="0"/>
              <w:left w:val="nil"/>
              <w:bottom w:val="single" w:color="auto" w:sz="4" w:space="0"/>
              <w:right w:val="single" w:color="auto" w:sz="4" w:space="0"/>
            </w:tcBorders>
            <w:noWrap w:val="0"/>
            <w:vAlign w:val="center"/>
          </w:tcPr>
          <w:p w14:paraId="6FB37D27">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6404D42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75217C9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6A2F2E9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6927564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7B76D442">
        <w:tblPrEx>
          <w:tblCellMar>
            <w:top w:w="0" w:type="dxa"/>
            <w:left w:w="108" w:type="dxa"/>
            <w:bottom w:w="0" w:type="dxa"/>
            <w:right w:w="108" w:type="dxa"/>
          </w:tblCellMar>
        </w:tblPrEx>
        <w:trPr>
          <w:trHeight w:val="130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62525063">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1C7A3BDF">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421" w:type="dxa"/>
            <w:tcBorders>
              <w:top w:val="single" w:color="auto" w:sz="4" w:space="0"/>
              <w:left w:val="nil"/>
              <w:bottom w:val="single" w:color="auto" w:sz="4" w:space="0"/>
              <w:right w:val="single" w:color="auto" w:sz="4" w:space="0"/>
            </w:tcBorders>
            <w:noWrap w:val="0"/>
            <w:vAlign w:val="center"/>
          </w:tcPr>
          <w:p w14:paraId="1419307C">
            <w:pPr>
              <w:widowControl/>
              <w:jc w:val="left"/>
              <w:rPr>
                <w:rFonts w:ascii="宋体" w:hAnsi="宋体" w:cs="宋体"/>
                <w:color w:val="000000"/>
                <w:kern w:val="0"/>
                <w:sz w:val="20"/>
                <w:szCs w:val="20"/>
              </w:rPr>
            </w:pPr>
            <w:r>
              <w:rPr>
                <w:rFonts w:hint="eastAsia" w:ascii="宋体" w:hAnsi="宋体" w:cs="宋体"/>
                <w:color w:val="000000"/>
                <w:kern w:val="0"/>
                <w:sz w:val="20"/>
                <w:szCs w:val="20"/>
              </w:rPr>
              <w:t>人员配备：不少于合同约定人数</w:t>
            </w:r>
          </w:p>
        </w:tc>
        <w:tc>
          <w:tcPr>
            <w:tcW w:w="600" w:type="dxa"/>
            <w:tcBorders>
              <w:top w:val="single" w:color="auto" w:sz="4" w:space="0"/>
              <w:left w:val="nil"/>
              <w:bottom w:val="single" w:color="auto" w:sz="4" w:space="0"/>
              <w:right w:val="single" w:color="auto" w:sz="4" w:space="0"/>
            </w:tcBorders>
            <w:noWrap w:val="0"/>
            <w:vAlign w:val="center"/>
          </w:tcPr>
          <w:p w14:paraId="40E41529">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511592A2">
            <w:pPr>
              <w:widowControl/>
              <w:jc w:val="center"/>
              <w:rPr>
                <w:rFonts w:ascii="宋体" w:hAnsi="宋体" w:cs="宋体"/>
                <w:color w:val="000000"/>
                <w:kern w:val="0"/>
                <w:sz w:val="20"/>
                <w:szCs w:val="20"/>
              </w:rPr>
            </w:pPr>
            <w:r>
              <w:rPr>
                <w:rFonts w:hint="eastAsia" w:ascii="宋体" w:hAnsi="宋体" w:cs="宋体"/>
                <w:color w:val="000000"/>
                <w:kern w:val="0"/>
                <w:sz w:val="20"/>
                <w:szCs w:val="20"/>
              </w:rPr>
              <w:t>查收资料</w:t>
            </w:r>
          </w:p>
        </w:tc>
        <w:tc>
          <w:tcPr>
            <w:tcW w:w="3351" w:type="dxa"/>
            <w:tcBorders>
              <w:top w:val="single" w:color="auto" w:sz="4" w:space="0"/>
              <w:left w:val="nil"/>
              <w:bottom w:val="single" w:color="auto" w:sz="4" w:space="0"/>
              <w:right w:val="single" w:color="auto" w:sz="4" w:space="0"/>
            </w:tcBorders>
            <w:noWrap w:val="0"/>
            <w:vAlign w:val="center"/>
          </w:tcPr>
          <w:p w14:paraId="4552A7B5">
            <w:pPr>
              <w:widowControl/>
              <w:jc w:val="left"/>
              <w:rPr>
                <w:rFonts w:ascii="宋体" w:hAnsi="宋体" w:cs="宋体"/>
                <w:color w:val="000000"/>
                <w:kern w:val="0"/>
                <w:sz w:val="20"/>
                <w:szCs w:val="20"/>
              </w:rPr>
            </w:pPr>
            <w:r>
              <w:rPr>
                <w:rFonts w:hint="eastAsia" w:ascii="宋体" w:hAnsi="宋体" w:cs="宋体"/>
                <w:color w:val="000000"/>
                <w:kern w:val="0"/>
                <w:sz w:val="20"/>
                <w:szCs w:val="20"/>
              </w:rPr>
              <w:t>人员按合同要求配齐各楼所需员工，遇人员更换，应在7个工作日内补齐缺编，超过7个工作日未补齐，人员不齐每日扣除1分。</w:t>
            </w:r>
          </w:p>
        </w:tc>
        <w:tc>
          <w:tcPr>
            <w:tcW w:w="1040" w:type="dxa"/>
            <w:tcBorders>
              <w:top w:val="single" w:color="auto" w:sz="4" w:space="0"/>
              <w:left w:val="nil"/>
              <w:bottom w:val="single" w:color="auto" w:sz="4" w:space="0"/>
              <w:right w:val="single" w:color="auto" w:sz="4" w:space="0"/>
            </w:tcBorders>
            <w:noWrap w:val="0"/>
            <w:vAlign w:val="center"/>
          </w:tcPr>
          <w:p w14:paraId="40304E49">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2BA6649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080F769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24DC016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4C6D816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6E5F1589">
        <w:tblPrEx>
          <w:tblCellMar>
            <w:top w:w="0" w:type="dxa"/>
            <w:left w:w="108" w:type="dxa"/>
            <w:bottom w:w="0" w:type="dxa"/>
            <w:right w:w="108" w:type="dxa"/>
          </w:tblCellMar>
        </w:tblPrEx>
        <w:trPr>
          <w:trHeight w:val="126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50D60AA6">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0BD32BAC">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421" w:type="dxa"/>
            <w:tcBorders>
              <w:top w:val="single" w:color="auto" w:sz="4" w:space="0"/>
              <w:left w:val="nil"/>
              <w:bottom w:val="single" w:color="auto" w:sz="4" w:space="0"/>
              <w:right w:val="single" w:color="auto" w:sz="4" w:space="0"/>
            </w:tcBorders>
            <w:noWrap w:val="0"/>
            <w:vAlign w:val="center"/>
          </w:tcPr>
          <w:p w14:paraId="06EFFA8A">
            <w:pPr>
              <w:widowControl/>
              <w:jc w:val="left"/>
              <w:rPr>
                <w:rFonts w:ascii="宋体" w:hAnsi="宋体" w:cs="宋体"/>
                <w:color w:val="000000"/>
                <w:kern w:val="0"/>
                <w:sz w:val="20"/>
                <w:szCs w:val="20"/>
              </w:rPr>
            </w:pPr>
            <w:r>
              <w:rPr>
                <w:rFonts w:hint="eastAsia" w:ascii="宋体" w:hAnsi="宋体" w:cs="宋体"/>
                <w:color w:val="000000"/>
                <w:kern w:val="0"/>
                <w:sz w:val="20"/>
                <w:szCs w:val="20"/>
              </w:rPr>
              <w:t>学生公寓管理员的工作态度及服务意识良好、着装整齐、整体素质高。宿管员、保洁员做好工作日志或交接班记录，入住、交费和退宿登记，各项检查、访客、维修、物品进出及钥匙借用登记等记录齐全。</w:t>
            </w:r>
          </w:p>
        </w:tc>
        <w:tc>
          <w:tcPr>
            <w:tcW w:w="600" w:type="dxa"/>
            <w:tcBorders>
              <w:top w:val="single" w:color="auto" w:sz="4" w:space="0"/>
              <w:left w:val="nil"/>
              <w:bottom w:val="single" w:color="auto" w:sz="4" w:space="0"/>
              <w:right w:val="single" w:color="auto" w:sz="4" w:space="0"/>
            </w:tcBorders>
            <w:noWrap w:val="0"/>
            <w:vAlign w:val="center"/>
          </w:tcPr>
          <w:p w14:paraId="5DAD1FB3">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4B65CBD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6878B202">
            <w:pPr>
              <w:widowControl/>
              <w:jc w:val="left"/>
              <w:rPr>
                <w:rFonts w:ascii="宋体" w:hAnsi="宋体" w:cs="宋体"/>
                <w:color w:val="000000"/>
                <w:kern w:val="0"/>
                <w:sz w:val="20"/>
                <w:szCs w:val="20"/>
              </w:rPr>
            </w:pPr>
            <w:r>
              <w:rPr>
                <w:rFonts w:hint="eastAsia" w:ascii="宋体" w:hAnsi="宋体" w:cs="宋体"/>
                <w:color w:val="000000"/>
                <w:kern w:val="0"/>
                <w:sz w:val="20"/>
                <w:szCs w:val="20"/>
              </w:rPr>
              <w:t>1人/日不符合扣除1分。</w:t>
            </w:r>
          </w:p>
        </w:tc>
        <w:tc>
          <w:tcPr>
            <w:tcW w:w="1040" w:type="dxa"/>
            <w:tcBorders>
              <w:top w:val="single" w:color="auto" w:sz="4" w:space="0"/>
              <w:left w:val="nil"/>
              <w:bottom w:val="single" w:color="auto" w:sz="4" w:space="0"/>
              <w:right w:val="single" w:color="auto" w:sz="4" w:space="0"/>
            </w:tcBorders>
            <w:noWrap w:val="0"/>
            <w:vAlign w:val="center"/>
          </w:tcPr>
          <w:p w14:paraId="0A468E45">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599C762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111A87E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0D974E9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52D7AD9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6C3E41F">
        <w:tblPrEx>
          <w:tblCellMar>
            <w:top w:w="0" w:type="dxa"/>
            <w:left w:w="108" w:type="dxa"/>
            <w:bottom w:w="0" w:type="dxa"/>
            <w:right w:w="108" w:type="dxa"/>
          </w:tblCellMar>
        </w:tblPrEx>
        <w:trPr>
          <w:trHeight w:val="115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495EFE0">
            <w:pPr>
              <w:widowControl/>
              <w:jc w:val="left"/>
              <w:rPr>
                <w:rFonts w:ascii="宋体" w:hAnsi="宋体" w:cs="宋体"/>
                <w:color w:val="000000"/>
                <w:kern w:val="0"/>
                <w:sz w:val="20"/>
                <w:szCs w:val="20"/>
              </w:rPr>
            </w:pP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4851A1C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4421" w:type="dxa"/>
            <w:vMerge w:val="restart"/>
            <w:tcBorders>
              <w:top w:val="single" w:color="auto" w:sz="4" w:space="0"/>
              <w:left w:val="single" w:color="auto" w:sz="4" w:space="0"/>
              <w:bottom w:val="single" w:color="auto" w:sz="4" w:space="0"/>
              <w:right w:val="single" w:color="auto" w:sz="4" w:space="0"/>
            </w:tcBorders>
            <w:noWrap w:val="0"/>
            <w:vAlign w:val="center"/>
          </w:tcPr>
          <w:p w14:paraId="5E7835C7">
            <w:pPr>
              <w:widowControl/>
              <w:jc w:val="left"/>
              <w:rPr>
                <w:rFonts w:ascii="宋体" w:hAnsi="宋体" w:cs="宋体"/>
                <w:color w:val="000000"/>
                <w:kern w:val="0"/>
                <w:sz w:val="20"/>
                <w:szCs w:val="20"/>
              </w:rPr>
            </w:pPr>
            <w:r>
              <w:rPr>
                <w:rFonts w:hint="eastAsia" w:ascii="宋体" w:hAnsi="宋体" w:cs="宋体"/>
                <w:color w:val="000000"/>
                <w:kern w:val="0"/>
                <w:sz w:val="20"/>
                <w:szCs w:val="20"/>
              </w:rPr>
              <w:t>学生公寓实行24小时值班，上班期间要严格遵守学校工作纪律，不得迟到、早退、缺勤，在岗期间不嬉戏打闹，坚守岗位不擅离职守、不睡岗、不脱岗，并有交接签字记录。工作期间严守相关规范、服从领导合理工作安排、对上级要求整改之事项积极开展整改。值班室物品及个人物品摆放整齐，做好台账。</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6C10B30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89" w:type="dxa"/>
            <w:vMerge w:val="restart"/>
            <w:tcBorders>
              <w:top w:val="single" w:color="auto" w:sz="4" w:space="0"/>
              <w:left w:val="single" w:color="auto" w:sz="4" w:space="0"/>
              <w:bottom w:val="single" w:color="auto" w:sz="4" w:space="0"/>
              <w:right w:val="single" w:color="auto" w:sz="4" w:space="0"/>
            </w:tcBorders>
            <w:noWrap w:val="0"/>
            <w:vAlign w:val="center"/>
          </w:tcPr>
          <w:p w14:paraId="7680F91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4E4513F4">
            <w:pPr>
              <w:widowControl/>
              <w:jc w:val="left"/>
              <w:rPr>
                <w:rFonts w:ascii="宋体" w:hAnsi="宋体" w:cs="宋体"/>
                <w:color w:val="000000"/>
                <w:kern w:val="0"/>
                <w:sz w:val="20"/>
                <w:szCs w:val="20"/>
              </w:rPr>
            </w:pPr>
            <w:r>
              <w:rPr>
                <w:rFonts w:hint="eastAsia" w:ascii="宋体" w:hAnsi="宋体" w:cs="宋体"/>
                <w:color w:val="000000"/>
                <w:kern w:val="0"/>
                <w:sz w:val="20"/>
                <w:szCs w:val="20"/>
              </w:rPr>
              <w:t>（1）发现违反工作纪律的，特别是睡岗、脱岗情况发生的，一次扣除2分；造成严重后果的，宿管员开除处理，扣除7分。</w:t>
            </w: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46441244">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5D69DD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vMerge w:val="restart"/>
            <w:tcBorders>
              <w:top w:val="single" w:color="auto" w:sz="4" w:space="0"/>
              <w:left w:val="single" w:color="auto" w:sz="4" w:space="0"/>
              <w:bottom w:val="single" w:color="auto" w:sz="4" w:space="0"/>
              <w:right w:val="single" w:color="auto" w:sz="4" w:space="0"/>
            </w:tcBorders>
            <w:noWrap w:val="0"/>
            <w:vAlign w:val="center"/>
          </w:tcPr>
          <w:p w14:paraId="284B399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74D36C7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vMerge w:val="restart"/>
            <w:tcBorders>
              <w:top w:val="single" w:color="auto" w:sz="4" w:space="0"/>
              <w:left w:val="single" w:color="auto" w:sz="4" w:space="0"/>
              <w:bottom w:val="single" w:color="auto" w:sz="4" w:space="0"/>
              <w:right w:val="single" w:color="auto" w:sz="4" w:space="0"/>
            </w:tcBorders>
            <w:noWrap/>
            <w:vAlign w:val="center"/>
          </w:tcPr>
          <w:p w14:paraId="011860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72642F8B">
        <w:tblPrEx>
          <w:tblCellMar>
            <w:top w:w="0" w:type="dxa"/>
            <w:left w:w="108" w:type="dxa"/>
            <w:bottom w:w="0" w:type="dxa"/>
            <w:right w:w="108" w:type="dxa"/>
          </w:tblCellMar>
        </w:tblPrEx>
        <w:trPr>
          <w:trHeight w:val="75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0BC5E96">
            <w:pPr>
              <w:widowControl/>
              <w:jc w:val="left"/>
              <w:rPr>
                <w:rFonts w:ascii="宋体" w:hAnsi="宋体" w:cs="宋体"/>
                <w:color w:val="000000"/>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7BEB9B5A">
            <w:pPr>
              <w:widowControl/>
              <w:jc w:val="left"/>
              <w:rPr>
                <w:rFonts w:ascii="宋体" w:hAnsi="宋体" w:cs="宋体"/>
                <w:color w:val="000000"/>
                <w:kern w:val="0"/>
                <w:sz w:val="20"/>
                <w:szCs w:val="20"/>
              </w:rPr>
            </w:pPr>
          </w:p>
        </w:tc>
        <w:tc>
          <w:tcPr>
            <w:tcW w:w="4421" w:type="dxa"/>
            <w:vMerge w:val="continue"/>
            <w:tcBorders>
              <w:top w:val="single" w:color="auto" w:sz="4" w:space="0"/>
              <w:left w:val="single" w:color="auto" w:sz="4" w:space="0"/>
              <w:bottom w:val="single" w:color="auto" w:sz="4" w:space="0"/>
              <w:right w:val="single" w:color="auto" w:sz="4" w:space="0"/>
            </w:tcBorders>
            <w:noWrap w:val="0"/>
            <w:vAlign w:val="center"/>
          </w:tcPr>
          <w:p w14:paraId="1AE8861E">
            <w:pPr>
              <w:widowControl/>
              <w:jc w:val="left"/>
              <w:rPr>
                <w:rFonts w:ascii="宋体" w:hAnsi="宋体" w:cs="宋体"/>
                <w:color w:val="000000"/>
                <w:kern w:val="0"/>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01867125">
            <w:pPr>
              <w:widowControl/>
              <w:jc w:val="left"/>
              <w:rPr>
                <w:rFonts w:ascii="宋体" w:hAnsi="宋体" w:cs="宋体"/>
                <w:color w:val="000000"/>
                <w:kern w:val="0"/>
                <w:sz w:val="20"/>
                <w:szCs w:val="20"/>
              </w:rPr>
            </w:pPr>
          </w:p>
        </w:tc>
        <w:tc>
          <w:tcPr>
            <w:tcW w:w="1089" w:type="dxa"/>
            <w:vMerge w:val="continue"/>
            <w:tcBorders>
              <w:top w:val="single" w:color="auto" w:sz="4" w:space="0"/>
              <w:left w:val="single" w:color="auto" w:sz="4" w:space="0"/>
              <w:bottom w:val="single" w:color="auto" w:sz="4" w:space="0"/>
              <w:right w:val="single" w:color="auto" w:sz="4" w:space="0"/>
            </w:tcBorders>
            <w:noWrap w:val="0"/>
            <w:vAlign w:val="center"/>
          </w:tcPr>
          <w:p w14:paraId="63565D7C">
            <w:pPr>
              <w:widowControl/>
              <w:jc w:val="left"/>
              <w:rPr>
                <w:rFonts w:ascii="宋体" w:hAnsi="宋体" w:cs="宋体"/>
                <w:color w:val="000000"/>
                <w:kern w:val="0"/>
                <w:sz w:val="20"/>
                <w:szCs w:val="20"/>
              </w:rPr>
            </w:pPr>
          </w:p>
        </w:tc>
        <w:tc>
          <w:tcPr>
            <w:tcW w:w="3351" w:type="dxa"/>
            <w:tcBorders>
              <w:top w:val="single" w:color="auto" w:sz="4" w:space="0"/>
              <w:left w:val="nil"/>
              <w:bottom w:val="single" w:color="auto" w:sz="4" w:space="0"/>
              <w:right w:val="single" w:color="auto" w:sz="4" w:space="0"/>
            </w:tcBorders>
            <w:noWrap w:val="0"/>
            <w:vAlign w:val="center"/>
          </w:tcPr>
          <w:p w14:paraId="2DDF9AB7">
            <w:pPr>
              <w:widowControl/>
              <w:jc w:val="left"/>
              <w:rPr>
                <w:rFonts w:ascii="宋体" w:hAnsi="宋体" w:cs="宋体"/>
                <w:color w:val="000000"/>
                <w:kern w:val="0"/>
                <w:sz w:val="20"/>
                <w:szCs w:val="20"/>
              </w:rPr>
            </w:pPr>
            <w:r>
              <w:rPr>
                <w:rFonts w:hint="eastAsia" w:ascii="宋体" w:hAnsi="宋体" w:cs="宋体"/>
                <w:color w:val="000000"/>
                <w:kern w:val="0"/>
                <w:sz w:val="20"/>
                <w:szCs w:val="20"/>
              </w:rPr>
              <w:t>（2）发现未服从领导合理工作安排的，一次扣除2分。</w:t>
            </w: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3223DBB4">
            <w:pPr>
              <w:widowControl/>
              <w:jc w:val="left"/>
              <w:rPr>
                <w:rFonts w:ascii="宋体" w:hAnsi="宋体" w:cs="宋体"/>
                <w:color w:val="000000"/>
                <w:kern w:val="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63B0D137">
            <w:pPr>
              <w:widowControl/>
              <w:jc w:val="left"/>
              <w:rPr>
                <w:rFonts w:ascii="宋体" w:hAnsi="宋体" w:cs="宋体"/>
                <w:color w:val="000000"/>
                <w:kern w:val="0"/>
                <w:sz w:val="20"/>
                <w:szCs w:val="20"/>
              </w:rPr>
            </w:pPr>
          </w:p>
        </w:tc>
        <w:tc>
          <w:tcPr>
            <w:tcW w:w="580" w:type="dxa"/>
            <w:vMerge w:val="continue"/>
            <w:tcBorders>
              <w:top w:val="single" w:color="auto" w:sz="4" w:space="0"/>
              <w:left w:val="single" w:color="auto" w:sz="4" w:space="0"/>
              <w:bottom w:val="single" w:color="auto" w:sz="4" w:space="0"/>
              <w:right w:val="single" w:color="auto" w:sz="4" w:space="0"/>
            </w:tcBorders>
            <w:noWrap w:val="0"/>
            <w:vAlign w:val="center"/>
          </w:tcPr>
          <w:p w14:paraId="15AE6C48">
            <w:pPr>
              <w:widowControl/>
              <w:jc w:val="left"/>
              <w:rPr>
                <w:rFonts w:ascii="宋体" w:hAnsi="宋体" w:cs="宋体"/>
                <w:color w:val="000000"/>
                <w:kern w:val="0"/>
                <w:sz w:val="20"/>
                <w:szCs w:val="20"/>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7BF5F317">
            <w:pPr>
              <w:widowControl/>
              <w:jc w:val="left"/>
              <w:rPr>
                <w:rFonts w:ascii="宋体" w:hAnsi="宋体" w:cs="宋体"/>
                <w:color w:val="000000"/>
                <w:kern w:val="0"/>
                <w:sz w:val="20"/>
                <w:szCs w:val="20"/>
              </w:rPr>
            </w:p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14:paraId="27F98B46">
            <w:pPr>
              <w:widowControl/>
              <w:jc w:val="left"/>
              <w:rPr>
                <w:rFonts w:ascii="宋体" w:hAnsi="宋体" w:cs="宋体"/>
                <w:color w:val="000000"/>
                <w:kern w:val="0"/>
                <w:sz w:val="20"/>
                <w:szCs w:val="20"/>
              </w:rPr>
            </w:pPr>
          </w:p>
        </w:tc>
      </w:tr>
      <w:tr w14:paraId="355CDEA3">
        <w:tblPrEx>
          <w:tblCellMar>
            <w:top w:w="0" w:type="dxa"/>
            <w:left w:w="108" w:type="dxa"/>
            <w:bottom w:w="0" w:type="dxa"/>
            <w:right w:w="108" w:type="dxa"/>
          </w:tblCellMar>
        </w:tblPrEx>
        <w:trPr>
          <w:trHeight w:val="75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145E9264">
            <w:pPr>
              <w:widowControl/>
              <w:jc w:val="left"/>
              <w:rPr>
                <w:rFonts w:ascii="宋体" w:hAnsi="宋体" w:cs="宋体"/>
                <w:color w:val="000000"/>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58945B78">
            <w:pPr>
              <w:widowControl/>
              <w:jc w:val="left"/>
              <w:rPr>
                <w:rFonts w:ascii="宋体" w:hAnsi="宋体" w:cs="宋体"/>
                <w:color w:val="000000"/>
                <w:kern w:val="0"/>
                <w:sz w:val="20"/>
                <w:szCs w:val="20"/>
              </w:rPr>
            </w:pPr>
          </w:p>
        </w:tc>
        <w:tc>
          <w:tcPr>
            <w:tcW w:w="4421" w:type="dxa"/>
            <w:vMerge w:val="continue"/>
            <w:tcBorders>
              <w:top w:val="single" w:color="auto" w:sz="4" w:space="0"/>
              <w:left w:val="single" w:color="auto" w:sz="4" w:space="0"/>
              <w:bottom w:val="single" w:color="auto" w:sz="4" w:space="0"/>
              <w:right w:val="single" w:color="auto" w:sz="4" w:space="0"/>
            </w:tcBorders>
            <w:noWrap w:val="0"/>
            <w:vAlign w:val="center"/>
          </w:tcPr>
          <w:p w14:paraId="3714B5EE">
            <w:pPr>
              <w:widowControl/>
              <w:jc w:val="left"/>
              <w:rPr>
                <w:rFonts w:ascii="宋体" w:hAnsi="宋体" w:cs="宋体"/>
                <w:color w:val="000000"/>
                <w:kern w:val="0"/>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196232B4">
            <w:pPr>
              <w:widowControl/>
              <w:jc w:val="left"/>
              <w:rPr>
                <w:rFonts w:ascii="宋体" w:hAnsi="宋体" w:cs="宋体"/>
                <w:color w:val="000000"/>
                <w:kern w:val="0"/>
                <w:sz w:val="20"/>
                <w:szCs w:val="20"/>
              </w:rPr>
            </w:pPr>
          </w:p>
        </w:tc>
        <w:tc>
          <w:tcPr>
            <w:tcW w:w="1089" w:type="dxa"/>
            <w:vMerge w:val="continue"/>
            <w:tcBorders>
              <w:top w:val="single" w:color="auto" w:sz="4" w:space="0"/>
              <w:left w:val="single" w:color="auto" w:sz="4" w:space="0"/>
              <w:bottom w:val="single" w:color="auto" w:sz="4" w:space="0"/>
              <w:right w:val="single" w:color="auto" w:sz="4" w:space="0"/>
            </w:tcBorders>
            <w:noWrap w:val="0"/>
            <w:vAlign w:val="center"/>
          </w:tcPr>
          <w:p w14:paraId="63D12D09">
            <w:pPr>
              <w:widowControl/>
              <w:jc w:val="left"/>
              <w:rPr>
                <w:rFonts w:ascii="宋体" w:hAnsi="宋体" w:cs="宋体"/>
                <w:color w:val="000000"/>
                <w:kern w:val="0"/>
                <w:sz w:val="20"/>
                <w:szCs w:val="20"/>
              </w:rPr>
            </w:pPr>
          </w:p>
        </w:tc>
        <w:tc>
          <w:tcPr>
            <w:tcW w:w="3351" w:type="dxa"/>
            <w:tcBorders>
              <w:top w:val="single" w:color="auto" w:sz="4" w:space="0"/>
              <w:left w:val="nil"/>
              <w:bottom w:val="single" w:color="auto" w:sz="4" w:space="0"/>
              <w:right w:val="single" w:color="auto" w:sz="4" w:space="0"/>
            </w:tcBorders>
            <w:noWrap w:val="0"/>
            <w:vAlign w:val="center"/>
          </w:tcPr>
          <w:p w14:paraId="3F6617E0">
            <w:pPr>
              <w:widowControl/>
              <w:jc w:val="left"/>
              <w:rPr>
                <w:rFonts w:ascii="宋体" w:hAnsi="宋体" w:cs="宋体"/>
                <w:color w:val="000000"/>
                <w:kern w:val="0"/>
                <w:sz w:val="20"/>
                <w:szCs w:val="20"/>
              </w:rPr>
            </w:pPr>
            <w:r>
              <w:rPr>
                <w:rFonts w:hint="eastAsia" w:ascii="宋体" w:hAnsi="宋体" w:cs="宋体"/>
                <w:color w:val="000000"/>
                <w:kern w:val="0"/>
                <w:sz w:val="20"/>
                <w:szCs w:val="20"/>
              </w:rPr>
              <w:t>（3）对发现问题不予整改的，每日扣除2分，直至整改完毕。</w:t>
            </w: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683D4CFA">
            <w:pPr>
              <w:widowControl/>
              <w:jc w:val="left"/>
              <w:rPr>
                <w:rFonts w:ascii="宋体" w:hAnsi="宋体" w:cs="宋体"/>
                <w:color w:val="000000"/>
                <w:kern w:val="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61E8E06C">
            <w:pPr>
              <w:widowControl/>
              <w:jc w:val="left"/>
              <w:rPr>
                <w:rFonts w:ascii="宋体" w:hAnsi="宋体" w:cs="宋体"/>
                <w:color w:val="000000"/>
                <w:kern w:val="0"/>
                <w:sz w:val="20"/>
                <w:szCs w:val="20"/>
              </w:rPr>
            </w:pPr>
          </w:p>
        </w:tc>
        <w:tc>
          <w:tcPr>
            <w:tcW w:w="580" w:type="dxa"/>
            <w:vMerge w:val="continue"/>
            <w:tcBorders>
              <w:top w:val="single" w:color="auto" w:sz="4" w:space="0"/>
              <w:left w:val="single" w:color="auto" w:sz="4" w:space="0"/>
              <w:bottom w:val="single" w:color="auto" w:sz="4" w:space="0"/>
              <w:right w:val="single" w:color="auto" w:sz="4" w:space="0"/>
            </w:tcBorders>
            <w:noWrap w:val="0"/>
            <w:vAlign w:val="center"/>
          </w:tcPr>
          <w:p w14:paraId="79102B0A">
            <w:pPr>
              <w:widowControl/>
              <w:jc w:val="left"/>
              <w:rPr>
                <w:rFonts w:ascii="宋体" w:hAnsi="宋体" w:cs="宋体"/>
                <w:color w:val="000000"/>
                <w:kern w:val="0"/>
                <w:sz w:val="20"/>
                <w:szCs w:val="20"/>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5083AB19">
            <w:pPr>
              <w:widowControl/>
              <w:jc w:val="left"/>
              <w:rPr>
                <w:rFonts w:ascii="宋体" w:hAnsi="宋体" w:cs="宋体"/>
                <w:color w:val="000000"/>
                <w:kern w:val="0"/>
                <w:sz w:val="20"/>
                <w:szCs w:val="20"/>
              </w:rPr>
            </w:p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14:paraId="6A412286">
            <w:pPr>
              <w:widowControl/>
              <w:jc w:val="left"/>
              <w:rPr>
                <w:rFonts w:ascii="宋体" w:hAnsi="宋体" w:cs="宋体"/>
                <w:color w:val="000000"/>
                <w:kern w:val="0"/>
                <w:sz w:val="20"/>
                <w:szCs w:val="20"/>
              </w:rPr>
            </w:pPr>
          </w:p>
        </w:tc>
      </w:tr>
      <w:tr w14:paraId="34C65D20">
        <w:tblPrEx>
          <w:tblCellMar>
            <w:top w:w="0" w:type="dxa"/>
            <w:left w:w="108" w:type="dxa"/>
            <w:bottom w:w="0" w:type="dxa"/>
            <w:right w:w="108" w:type="dxa"/>
          </w:tblCellMar>
        </w:tblPrEx>
        <w:trPr>
          <w:trHeight w:val="675"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20B25AB1">
            <w:pPr>
              <w:widowControl/>
              <w:jc w:val="center"/>
              <w:rPr>
                <w:rFonts w:ascii="宋体" w:hAnsi="宋体" w:cs="宋体"/>
                <w:color w:val="000000"/>
                <w:kern w:val="0"/>
                <w:sz w:val="20"/>
                <w:szCs w:val="20"/>
              </w:rPr>
            </w:pPr>
            <w:r>
              <w:rPr>
                <w:rFonts w:hint="eastAsia" w:ascii="宋体" w:hAnsi="宋体" w:cs="宋体"/>
                <w:color w:val="000000"/>
                <w:kern w:val="0"/>
                <w:sz w:val="20"/>
                <w:szCs w:val="20"/>
              </w:rPr>
              <w:t>二、制度管理（10分）</w:t>
            </w:r>
          </w:p>
        </w:tc>
        <w:tc>
          <w:tcPr>
            <w:tcW w:w="850" w:type="dxa"/>
            <w:tcBorders>
              <w:top w:val="single" w:color="auto" w:sz="4" w:space="0"/>
              <w:left w:val="nil"/>
              <w:bottom w:val="single" w:color="auto" w:sz="4" w:space="0"/>
              <w:right w:val="single" w:color="auto" w:sz="4" w:space="0"/>
            </w:tcBorders>
            <w:noWrap w:val="0"/>
            <w:vAlign w:val="center"/>
          </w:tcPr>
          <w:p w14:paraId="52ABF02B">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421" w:type="dxa"/>
            <w:tcBorders>
              <w:top w:val="single" w:color="auto" w:sz="4" w:space="0"/>
              <w:left w:val="nil"/>
              <w:bottom w:val="single" w:color="auto" w:sz="4" w:space="0"/>
              <w:right w:val="single" w:color="auto" w:sz="4" w:space="0"/>
            </w:tcBorders>
            <w:noWrap w:val="0"/>
            <w:vAlign w:val="center"/>
          </w:tcPr>
          <w:p w14:paraId="7A2A8C3E">
            <w:pPr>
              <w:widowControl/>
              <w:jc w:val="left"/>
              <w:rPr>
                <w:rFonts w:ascii="宋体" w:hAnsi="宋体" w:cs="宋体"/>
                <w:color w:val="000000"/>
                <w:kern w:val="0"/>
                <w:sz w:val="20"/>
                <w:szCs w:val="20"/>
              </w:rPr>
            </w:pPr>
            <w:r>
              <w:rPr>
                <w:rFonts w:hint="eastAsia" w:ascii="宋体" w:hAnsi="宋体" w:cs="宋体"/>
                <w:color w:val="000000"/>
                <w:kern w:val="0"/>
                <w:sz w:val="20"/>
                <w:szCs w:val="20"/>
              </w:rPr>
              <w:t>制定宿管员管理制度、公寓应急预案，定期对各类预案开展演练，应急预案要做到可操作性强，责任到个人，做好台账。</w:t>
            </w:r>
          </w:p>
        </w:tc>
        <w:tc>
          <w:tcPr>
            <w:tcW w:w="600" w:type="dxa"/>
            <w:tcBorders>
              <w:top w:val="single" w:color="auto" w:sz="4" w:space="0"/>
              <w:left w:val="nil"/>
              <w:bottom w:val="single" w:color="auto" w:sz="4" w:space="0"/>
              <w:right w:val="single" w:color="auto" w:sz="4" w:space="0"/>
            </w:tcBorders>
            <w:noWrap w:val="0"/>
            <w:vAlign w:val="center"/>
          </w:tcPr>
          <w:p w14:paraId="74C2ACD9">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9" w:type="dxa"/>
            <w:tcBorders>
              <w:top w:val="single" w:color="auto" w:sz="4" w:space="0"/>
              <w:left w:val="nil"/>
              <w:bottom w:val="single" w:color="auto" w:sz="4" w:space="0"/>
              <w:right w:val="single" w:color="auto" w:sz="4" w:space="0"/>
            </w:tcBorders>
            <w:noWrap w:val="0"/>
            <w:vAlign w:val="center"/>
          </w:tcPr>
          <w:p w14:paraId="1FA790BC">
            <w:pPr>
              <w:widowControl/>
              <w:jc w:val="center"/>
              <w:rPr>
                <w:rFonts w:ascii="宋体" w:hAnsi="宋体" w:cs="宋体"/>
                <w:color w:val="000000"/>
                <w:kern w:val="0"/>
                <w:sz w:val="20"/>
                <w:szCs w:val="20"/>
              </w:rPr>
            </w:pPr>
            <w:r>
              <w:rPr>
                <w:rFonts w:hint="eastAsia" w:ascii="宋体" w:hAnsi="宋体" w:cs="宋体"/>
                <w:color w:val="000000"/>
                <w:kern w:val="0"/>
                <w:sz w:val="20"/>
                <w:szCs w:val="20"/>
              </w:rPr>
              <w:t>听取汇报</w:t>
            </w:r>
          </w:p>
        </w:tc>
        <w:tc>
          <w:tcPr>
            <w:tcW w:w="3351" w:type="dxa"/>
            <w:vMerge w:val="restart"/>
            <w:tcBorders>
              <w:top w:val="single" w:color="auto" w:sz="4" w:space="0"/>
              <w:left w:val="single" w:color="auto" w:sz="4" w:space="0"/>
              <w:bottom w:val="single" w:color="auto" w:sz="4" w:space="0"/>
              <w:right w:val="single" w:color="auto" w:sz="4" w:space="0"/>
            </w:tcBorders>
            <w:noWrap w:val="0"/>
            <w:vAlign w:val="center"/>
          </w:tcPr>
          <w:p w14:paraId="0BC5456B">
            <w:pPr>
              <w:widowControl/>
              <w:jc w:val="left"/>
              <w:rPr>
                <w:rFonts w:ascii="宋体" w:hAnsi="宋体" w:cs="宋体"/>
                <w:color w:val="000000"/>
                <w:kern w:val="0"/>
                <w:sz w:val="20"/>
                <w:szCs w:val="20"/>
              </w:rPr>
            </w:pPr>
            <w:r>
              <w:rPr>
                <w:rFonts w:hint="eastAsia" w:ascii="宋体" w:hAnsi="宋体" w:cs="宋体"/>
                <w:color w:val="000000"/>
                <w:kern w:val="0"/>
                <w:sz w:val="20"/>
                <w:szCs w:val="20"/>
              </w:rPr>
              <w:t>发现不符合要求的扣除1分。</w:t>
            </w:r>
          </w:p>
        </w:tc>
        <w:tc>
          <w:tcPr>
            <w:tcW w:w="1040" w:type="dxa"/>
            <w:tcBorders>
              <w:top w:val="single" w:color="auto" w:sz="4" w:space="0"/>
              <w:left w:val="nil"/>
              <w:bottom w:val="single" w:color="auto" w:sz="4" w:space="0"/>
              <w:right w:val="single" w:color="auto" w:sz="4" w:space="0"/>
            </w:tcBorders>
            <w:noWrap w:val="0"/>
            <w:vAlign w:val="center"/>
          </w:tcPr>
          <w:p w14:paraId="1A21D07E">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363C35F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3A6B1C8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1F13DBB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2808939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28ED6FB">
        <w:tblPrEx>
          <w:tblCellMar>
            <w:top w:w="0" w:type="dxa"/>
            <w:left w:w="108" w:type="dxa"/>
            <w:bottom w:w="0" w:type="dxa"/>
            <w:right w:w="108" w:type="dxa"/>
          </w:tblCellMar>
        </w:tblPrEx>
        <w:trPr>
          <w:trHeight w:val="67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9AA1A23">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329B2E0D">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421" w:type="dxa"/>
            <w:tcBorders>
              <w:top w:val="single" w:color="auto" w:sz="4" w:space="0"/>
              <w:left w:val="nil"/>
              <w:bottom w:val="single" w:color="auto" w:sz="4" w:space="0"/>
              <w:right w:val="single" w:color="auto" w:sz="4" w:space="0"/>
            </w:tcBorders>
            <w:noWrap w:val="0"/>
            <w:vAlign w:val="center"/>
          </w:tcPr>
          <w:p w14:paraId="55F643E3">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项目负责人、办公室人员、宿管员、保洁员等岗位职责明确并上墙公布。</w:t>
            </w:r>
          </w:p>
        </w:tc>
        <w:tc>
          <w:tcPr>
            <w:tcW w:w="600" w:type="dxa"/>
            <w:tcBorders>
              <w:top w:val="single" w:color="auto" w:sz="4" w:space="0"/>
              <w:left w:val="nil"/>
              <w:bottom w:val="single" w:color="auto" w:sz="4" w:space="0"/>
              <w:right w:val="single" w:color="auto" w:sz="4" w:space="0"/>
            </w:tcBorders>
            <w:noWrap w:val="0"/>
            <w:vAlign w:val="center"/>
          </w:tcPr>
          <w:p w14:paraId="16C12EFF">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7E5C6E2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查收资料               </w:t>
            </w:r>
          </w:p>
        </w:tc>
        <w:tc>
          <w:tcPr>
            <w:tcW w:w="3351" w:type="dxa"/>
            <w:vMerge w:val="continue"/>
            <w:tcBorders>
              <w:top w:val="single" w:color="auto" w:sz="4" w:space="0"/>
              <w:left w:val="single" w:color="auto" w:sz="4" w:space="0"/>
              <w:bottom w:val="single" w:color="auto" w:sz="4" w:space="0"/>
              <w:right w:val="single" w:color="auto" w:sz="4" w:space="0"/>
            </w:tcBorders>
            <w:noWrap w:val="0"/>
            <w:vAlign w:val="center"/>
          </w:tcPr>
          <w:p w14:paraId="0BFDE55E">
            <w:pPr>
              <w:widowControl/>
              <w:jc w:val="left"/>
              <w:rPr>
                <w:rFonts w:ascii="宋体" w:hAns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noWrap w:val="0"/>
            <w:vAlign w:val="center"/>
          </w:tcPr>
          <w:p w14:paraId="6676CCA3">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34C060E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1C93E7B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4A8F26F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33D0D90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A90045A">
        <w:tblPrEx>
          <w:tblCellMar>
            <w:top w:w="0" w:type="dxa"/>
            <w:left w:w="108" w:type="dxa"/>
            <w:bottom w:w="0" w:type="dxa"/>
            <w:right w:w="108" w:type="dxa"/>
          </w:tblCellMar>
        </w:tblPrEx>
        <w:trPr>
          <w:trHeight w:val="67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579C4276">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103E658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4421" w:type="dxa"/>
            <w:tcBorders>
              <w:top w:val="single" w:color="auto" w:sz="4" w:space="0"/>
              <w:left w:val="nil"/>
              <w:bottom w:val="single" w:color="auto" w:sz="4" w:space="0"/>
              <w:right w:val="single" w:color="auto" w:sz="4" w:space="0"/>
            </w:tcBorders>
            <w:noWrap w:val="0"/>
            <w:vAlign w:val="center"/>
          </w:tcPr>
          <w:p w14:paraId="44E9EFCB">
            <w:pPr>
              <w:widowControl/>
              <w:jc w:val="left"/>
              <w:rPr>
                <w:rFonts w:ascii="宋体" w:hAnsi="宋体" w:cs="宋体"/>
                <w:color w:val="000000"/>
                <w:kern w:val="0"/>
                <w:sz w:val="20"/>
                <w:szCs w:val="20"/>
              </w:rPr>
            </w:pPr>
            <w:r>
              <w:rPr>
                <w:rFonts w:hint="eastAsia" w:ascii="宋体" w:hAnsi="宋体" w:cs="宋体"/>
                <w:color w:val="000000"/>
                <w:kern w:val="0"/>
                <w:sz w:val="20"/>
                <w:szCs w:val="20"/>
              </w:rPr>
              <w:t>办理入住和退宿手续流程、接待服务标准、保洁服务流程与标准、夜间巡查流程等有专门的操作流程文本。</w:t>
            </w:r>
          </w:p>
        </w:tc>
        <w:tc>
          <w:tcPr>
            <w:tcW w:w="600" w:type="dxa"/>
            <w:tcBorders>
              <w:top w:val="single" w:color="auto" w:sz="4" w:space="0"/>
              <w:left w:val="nil"/>
              <w:bottom w:val="single" w:color="auto" w:sz="4" w:space="0"/>
              <w:right w:val="single" w:color="auto" w:sz="4" w:space="0"/>
            </w:tcBorders>
            <w:noWrap w:val="0"/>
            <w:vAlign w:val="center"/>
          </w:tcPr>
          <w:p w14:paraId="4DECE3DC">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7220510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查看资料               </w:t>
            </w:r>
          </w:p>
        </w:tc>
        <w:tc>
          <w:tcPr>
            <w:tcW w:w="3351" w:type="dxa"/>
            <w:vMerge w:val="continue"/>
            <w:tcBorders>
              <w:top w:val="single" w:color="auto" w:sz="4" w:space="0"/>
              <w:left w:val="single" w:color="auto" w:sz="4" w:space="0"/>
              <w:bottom w:val="single" w:color="auto" w:sz="4" w:space="0"/>
              <w:right w:val="single" w:color="auto" w:sz="4" w:space="0"/>
            </w:tcBorders>
            <w:noWrap w:val="0"/>
            <w:vAlign w:val="center"/>
          </w:tcPr>
          <w:p w14:paraId="591D404D">
            <w:pPr>
              <w:widowControl/>
              <w:jc w:val="left"/>
              <w:rPr>
                <w:rFonts w:ascii="宋体" w:hAns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noWrap w:val="0"/>
            <w:vAlign w:val="center"/>
          </w:tcPr>
          <w:p w14:paraId="50FD7FC5">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55173FC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65362CC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3851EDD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3094282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0FA40C2C">
        <w:tblPrEx>
          <w:tblCellMar>
            <w:top w:w="0" w:type="dxa"/>
            <w:left w:w="108" w:type="dxa"/>
            <w:bottom w:w="0" w:type="dxa"/>
            <w:right w:w="108" w:type="dxa"/>
          </w:tblCellMar>
        </w:tblPrEx>
        <w:trPr>
          <w:trHeight w:val="67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BEF5EF2">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1232BA62">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4421" w:type="dxa"/>
            <w:tcBorders>
              <w:top w:val="single" w:color="auto" w:sz="4" w:space="0"/>
              <w:left w:val="nil"/>
              <w:bottom w:val="single" w:color="auto" w:sz="4" w:space="0"/>
              <w:right w:val="single" w:color="auto" w:sz="4" w:space="0"/>
            </w:tcBorders>
            <w:noWrap w:val="0"/>
            <w:vAlign w:val="center"/>
          </w:tcPr>
          <w:p w14:paraId="47CD52CF">
            <w:pPr>
              <w:widowControl/>
              <w:jc w:val="left"/>
              <w:rPr>
                <w:rFonts w:ascii="宋体" w:hAnsi="宋体" w:cs="宋体"/>
                <w:color w:val="000000"/>
                <w:kern w:val="0"/>
                <w:sz w:val="20"/>
                <w:szCs w:val="20"/>
              </w:rPr>
            </w:pPr>
            <w:r>
              <w:rPr>
                <w:rFonts w:hint="eastAsia" w:ascii="宋体" w:hAnsi="宋体" w:cs="宋体"/>
                <w:color w:val="000000"/>
                <w:kern w:val="0"/>
                <w:sz w:val="20"/>
                <w:szCs w:val="20"/>
              </w:rPr>
              <w:t>公寓管理条例、安全管理规定、日常管理与服务制度、安全责任考核奖惩制度、员工守则等齐全。</w:t>
            </w:r>
          </w:p>
        </w:tc>
        <w:tc>
          <w:tcPr>
            <w:tcW w:w="600" w:type="dxa"/>
            <w:tcBorders>
              <w:top w:val="single" w:color="auto" w:sz="4" w:space="0"/>
              <w:left w:val="nil"/>
              <w:bottom w:val="single" w:color="auto" w:sz="4" w:space="0"/>
              <w:right w:val="single" w:color="auto" w:sz="4" w:space="0"/>
            </w:tcBorders>
            <w:noWrap w:val="0"/>
            <w:vAlign w:val="center"/>
          </w:tcPr>
          <w:p w14:paraId="687171F1">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9" w:type="dxa"/>
            <w:tcBorders>
              <w:top w:val="single" w:color="auto" w:sz="4" w:space="0"/>
              <w:left w:val="nil"/>
              <w:bottom w:val="single" w:color="auto" w:sz="4" w:space="0"/>
              <w:right w:val="single" w:color="auto" w:sz="4" w:space="0"/>
            </w:tcBorders>
            <w:noWrap w:val="0"/>
            <w:vAlign w:val="center"/>
          </w:tcPr>
          <w:p w14:paraId="4A7D31B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vMerge w:val="continue"/>
            <w:tcBorders>
              <w:top w:val="single" w:color="auto" w:sz="4" w:space="0"/>
              <w:left w:val="single" w:color="auto" w:sz="4" w:space="0"/>
              <w:bottom w:val="single" w:color="auto" w:sz="4" w:space="0"/>
              <w:right w:val="single" w:color="auto" w:sz="4" w:space="0"/>
            </w:tcBorders>
            <w:noWrap w:val="0"/>
            <w:vAlign w:val="center"/>
          </w:tcPr>
          <w:p w14:paraId="6C615EB4">
            <w:pPr>
              <w:widowControl/>
              <w:jc w:val="left"/>
              <w:rPr>
                <w:rFonts w:ascii="宋体" w:hAns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noWrap w:val="0"/>
            <w:vAlign w:val="center"/>
          </w:tcPr>
          <w:p w14:paraId="250093A7">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48732F8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4E7D1C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3EBA65E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2F1943C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E8BDA60">
        <w:tblPrEx>
          <w:tblCellMar>
            <w:top w:w="0" w:type="dxa"/>
            <w:left w:w="108" w:type="dxa"/>
            <w:bottom w:w="0" w:type="dxa"/>
            <w:right w:w="108" w:type="dxa"/>
          </w:tblCellMar>
        </w:tblPrEx>
        <w:trPr>
          <w:trHeight w:val="690"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7665EB4C">
            <w:pPr>
              <w:widowControl/>
              <w:jc w:val="center"/>
              <w:rPr>
                <w:rFonts w:ascii="宋体" w:hAnsi="宋体" w:cs="宋体"/>
                <w:color w:val="000000"/>
                <w:kern w:val="0"/>
                <w:sz w:val="20"/>
                <w:szCs w:val="20"/>
              </w:rPr>
            </w:pPr>
            <w:r>
              <w:rPr>
                <w:rFonts w:hint="eastAsia" w:ascii="宋体" w:hAnsi="宋体" w:cs="宋体"/>
                <w:color w:val="000000"/>
                <w:kern w:val="0"/>
                <w:sz w:val="20"/>
                <w:szCs w:val="20"/>
              </w:rPr>
              <w:t>三、宿管人员履职情况（40分）</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7346BF07">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4421" w:type="dxa"/>
            <w:vMerge w:val="restart"/>
            <w:tcBorders>
              <w:top w:val="single" w:color="auto" w:sz="4" w:space="0"/>
              <w:left w:val="single" w:color="auto" w:sz="4" w:space="0"/>
              <w:bottom w:val="single" w:color="auto" w:sz="4" w:space="0"/>
              <w:right w:val="single" w:color="auto" w:sz="4" w:space="0"/>
            </w:tcBorders>
            <w:noWrap w:val="0"/>
            <w:vAlign w:val="center"/>
          </w:tcPr>
          <w:p w14:paraId="7BBC9731">
            <w:pPr>
              <w:widowControl/>
              <w:jc w:val="left"/>
              <w:rPr>
                <w:rFonts w:ascii="宋体" w:hAnsi="宋体" w:cs="宋体"/>
                <w:color w:val="000000"/>
                <w:kern w:val="0"/>
                <w:sz w:val="20"/>
                <w:szCs w:val="20"/>
              </w:rPr>
            </w:pPr>
            <w:r>
              <w:rPr>
                <w:rFonts w:hint="eastAsia" w:ascii="宋体" w:hAnsi="宋体" w:cs="宋体"/>
                <w:color w:val="000000"/>
                <w:kern w:val="0"/>
                <w:sz w:val="20"/>
                <w:szCs w:val="20"/>
              </w:rPr>
              <w:t>楼道畅通，楼内无违规用电或存放易燃、易爆物品。严查违规违禁物品、大功率电器等。巡查不及时，造成损失的、情节严重的宿管员按辞退处理。</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1AA31C1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9" w:type="dxa"/>
            <w:vMerge w:val="restart"/>
            <w:tcBorders>
              <w:top w:val="single" w:color="auto" w:sz="4" w:space="0"/>
              <w:left w:val="single" w:color="auto" w:sz="4" w:space="0"/>
              <w:bottom w:val="single" w:color="auto" w:sz="4" w:space="0"/>
              <w:right w:val="single" w:color="auto" w:sz="4" w:space="0"/>
            </w:tcBorders>
            <w:noWrap w:val="0"/>
            <w:vAlign w:val="center"/>
          </w:tcPr>
          <w:p w14:paraId="7C02178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7A89BD23">
            <w:pPr>
              <w:widowControl/>
              <w:jc w:val="left"/>
              <w:rPr>
                <w:rFonts w:ascii="宋体" w:hAnsi="宋体" w:cs="宋体"/>
                <w:color w:val="000000"/>
                <w:kern w:val="0"/>
                <w:sz w:val="20"/>
                <w:szCs w:val="20"/>
              </w:rPr>
            </w:pPr>
            <w:r>
              <w:rPr>
                <w:rFonts w:hint="eastAsia" w:ascii="宋体" w:hAnsi="宋体" w:cs="宋体"/>
                <w:color w:val="000000"/>
                <w:kern w:val="0"/>
                <w:sz w:val="20"/>
                <w:szCs w:val="20"/>
              </w:rPr>
              <w:t>（1）未及时发现违规违禁物品一次扣除1分。</w:t>
            </w: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6168A180">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06D78E9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vMerge w:val="restart"/>
            <w:tcBorders>
              <w:top w:val="single" w:color="auto" w:sz="4" w:space="0"/>
              <w:left w:val="single" w:color="auto" w:sz="4" w:space="0"/>
              <w:bottom w:val="single" w:color="auto" w:sz="4" w:space="0"/>
              <w:right w:val="single" w:color="auto" w:sz="4" w:space="0"/>
            </w:tcBorders>
            <w:noWrap w:val="0"/>
            <w:vAlign w:val="center"/>
          </w:tcPr>
          <w:p w14:paraId="11408C8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092D519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vMerge w:val="restart"/>
            <w:tcBorders>
              <w:top w:val="single" w:color="auto" w:sz="4" w:space="0"/>
              <w:left w:val="single" w:color="auto" w:sz="4" w:space="0"/>
              <w:bottom w:val="single" w:color="auto" w:sz="4" w:space="0"/>
              <w:right w:val="single" w:color="auto" w:sz="4" w:space="0"/>
            </w:tcBorders>
            <w:noWrap/>
            <w:vAlign w:val="center"/>
          </w:tcPr>
          <w:p w14:paraId="105B0B5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2E7E834C">
        <w:tblPrEx>
          <w:tblCellMar>
            <w:top w:w="0" w:type="dxa"/>
            <w:left w:w="108" w:type="dxa"/>
            <w:bottom w:w="0" w:type="dxa"/>
            <w:right w:w="108" w:type="dxa"/>
          </w:tblCellMar>
        </w:tblPrEx>
        <w:trPr>
          <w:trHeight w:val="60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44B63A58">
            <w:pPr>
              <w:widowControl/>
              <w:jc w:val="left"/>
              <w:rPr>
                <w:rFonts w:ascii="宋体" w:hAnsi="宋体" w:cs="宋体"/>
                <w:color w:val="000000"/>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18C4DF56">
            <w:pPr>
              <w:widowControl/>
              <w:jc w:val="left"/>
              <w:rPr>
                <w:rFonts w:ascii="宋体" w:hAnsi="宋体" w:cs="宋体"/>
                <w:color w:val="000000"/>
                <w:kern w:val="0"/>
                <w:sz w:val="20"/>
                <w:szCs w:val="20"/>
              </w:rPr>
            </w:pPr>
          </w:p>
        </w:tc>
        <w:tc>
          <w:tcPr>
            <w:tcW w:w="4421" w:type="dxa"/>
            <w:vMerge w:val="continue"/>
            <w:tcBorders>
              <w:top w:val="single" w:color="auto" w:sz="4" w:space="0"/>
              <w:left w:val="single" w:color="auto" w:sz="4" w:space="0"/>
              <w:bottom w:val="single" w:color="auto" w:sz="4" w:space="0"/>
              <w:right w:val="single" w:color="auto" w:sz="4" w:space="0"/>
            </w:tcBorders>
            <w:noWrap w:val="0"/>
            <w:vAlign w:val="center"/>
          </w:tcPr>
          <w:p w14:paraId="7C8F6A13">
            <w:pPr>
              <w:widowControl/>
              <w:jc w:val="left"/>
              <w:rPr>
                <w:rFonts w:ascii="宋体" w:hAnsi="宋体" w:cs="宋体"/>
                <w:color w:val="000000"/>
                <w:kern w:val="0"/>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347CE93C">
            <w:pPr>
              <w:widowControl/>
              <w:jc w:val="left"/>
              <w:rPr>
                <w:rFonts w:ascii="宋体" w:hAnsi="宋体" w:cs="宋体"/>
                <w:color w:val="000000"/>
                <w:kern w:val="0"/>
                <w:sz w:val="20"/>
                <w:szCs w:val="20"/>
              </w:rPr>
            </w:pPr>
          </w:p>
        </w:tc>
        <w:tc>
          <w:tcPr>
            <w:tcW w:w="1089" w:type="dxa"/>
            <w:vMerge w:val="continue"/>
            <w:tcBorders>
              <w:top w:val="single" w:color="auto" w:sz="4" w:space="0"/>
              <w:left w:val="single" w:color="auto" w:sz="4" w:space="0"/>
              <w:bottom w:val="single" w:color="auto" w:sz="4" w:space="0"/>
              <w:right w:val="single" w:color="auto" w:sz="4" w:space="0"/>
            </w:tcBorders>
            <w:noWrap w:val="0"/>
            <w:vAlign w:val="center"/>
          </w:tcPr>
          <w:p w14:paraId="5A3B3649">
            <w:pPr>
              <w:widowControl/>
              <w:jc w:val="left"/>
              <w:rPr>
                <w:rFonts w:ascii="宋体" w:hAnsi="宋体" w:cs="宋体"/>
                <w:color w:val="000000"/>
                <w:kern w:val="0"/>
                <w:sz w:val="20"/>
                <w:szCs w:val="20"/>
              </w:rPr>
            </w:pPr>
          </w:p>
        </w:tc>
        <w:tc>
          <w:tcPr>
            <w:tcW w:w="3351" w:type="dxa"/>
            <w:tcBorders>
              <w:top w:val="single" w:color="auto" w:sz="4" w:space="0"/>
              <w:left w:val="nil"/>
              <w:bottom w:val="single" w:color="auto" w:sz="4" w:space="0"/>
              <w:right w:val="single" w:color="auto" w:sz="4" w:space="0"/>
            </w:tcBorders>
            <w:noWrap w:val="0"/>
            <w:vAlign w:val="center"/>
          </w:tcPr>
          <w:p w14:paraId="0CF68273">
            <w:pPr>
              <w:widowControl/>
              <w:jc w:val="left"/>
              <w:rPr>
                <w:rFonts w:ascii="宋体" w:hAnsi="宋体" w:cs="宋体"/>
                <w:color w:val="000000"/>
                <w:kern w:val="0"/>
                <w:sz w:val="20"/>
                <w:szCs w:val="20"/>
              </w:rPr>
            </w:pPr>
            <w:r>
              <w:rPr>
                <w:rFonts w:hint="eastAsia" w:ascii="宋体" w:hAnsi="宋体" w:cs="宋体"/>
                <w:color w:val="000000"/>
                <w:kern w:val="0"/>
                <w:sz w:val="20"/>
                <w:szCs w:val="20"/>
              </w:rPr>
              <w:t>（2）对于巡查不及时，发现一次扣除1分。</w:t>
            </w: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115121BC">
            <w:pPr>
              <w:widowControl/>
              <w:jc w:val="left"/>
              <w:rPr>
                <w:rFonts w:ascii="宋体" w:hAnsi="宋体" w:cs="宋体"/>
                <w:color w:val="000000"/>
                <w:kern w:val="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819C7CD">
            <w:pPr>
              <w:widowControl/>
              <w:jc w:val="left"/>
              <w:rPr>
                <w:rFonts w:ascii="宋体" w:hAnsi="宋体" w:cs="宋体"/>
                <w:color w:val="000000"/>
                <w:kern w:val="0"/>
                <w:sz w:val="20"/>
                <w:szCs w:val="20"/>
              </w:rPr>
            </w:pPr>
          </w:p>
        </w:tc>
        <w:tc>
          <w:tcPr>
            <w:tcW w:w="580" w:type="dxa"/>
            <w:vMerge w:val="continue"/>
            <w:tcBorders>
              <w:top w:val="single" w:color="auto" w:sz="4" w:space="0"/>
              <w:left w:val="single" w:color="auto" w:sz="4" w:space="0"/>
              <w:bottom w:val="single" w:color="auto" w:sz="4" w:space="0"/>
              <w:right w:val="single" w:color="auto" w:sz="4" w:space="0"/>
            </w:tcBorders>
            <w:noWrap w:val="0"/>
            <w:vAlign w:val="center"/>
          </w:tcPr>
          <w:p w14:paraId="11DD1557">
            <w:pPr>
              <w:widowControl/>
              <w:jc w:val="left"/>
              <w:rPr>
                <w:rFonts w:ascii="宋体" w:hAnsi="宋体" w:cs="宋体"/>
                <w:color w:val="000000"/>
                <w:kern w:val="0"/>
                <w:sz w:val="20"/>
                <w:szCs w:val="20"/>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5E11B63">
            <w:pPr>
              <w:widowControl/>
              <w:jc w:val="left"/>
              <w:rPr>
                <w:rFonts w:ascii="宋体" w:hAnsi="宋体" w:cs="宋体"/>
                <w:color w:val="000000"/>
                <w:kern w:val="0"/>
                <w:sz w:val="20"/>
                <w:szCs w:val="20"/>
              </w:rPr>
            </w:pPr>
          </w:p>
        </w:tc>
        <w:tc>
          <w:tcPr>
            <w:tcW w:w="880" w:type="dxa"/>
            <w:vMerge w:val="continue"/>
            <w:tcBorders>
              <w:top w:val="single" w:color="auto" w:sz="4" w:space="0"/>
              <w:left w:val="single" w:color="auto" w:sz="4" w:space="0"/>
              <w:bottom w:val="single" w:color="auto" w:sz="4" w:space="0"/>
              <w:right w:val="single" w:color="auto" w:sz="4" w:space="0"/>
            </w:tcBorders>
            <w:noWrap w:val="0"/>
            <w:vAlign w:val="center"/>
          </w:tcPr>
          <w:p w14:paraId="58E5AEAF">
            <w:pPr>
              <w:widowControl/>
              <w:jc w:val="left"/>
              <w:rPr>
                <w:rFonts w:ascii="宋体" w:hAnsi="宋体" w:cs="宋体"/>
                <w:color w:val="000000"/>
                <w:kern w:val="0"/>
                <w:sz w:val="20"/>
                <w:szCs w:val="20"/>
              </w:rPr>
            </w:pPr>
          </w:p>
        </w:tc>
      </w:tr>
      <w:tr w14:paraId="1F1ED9F0">
        <w:tblPrEx>
          <w:tblCellMar>
            <w:top w:w="0" w:type="dxa"/>
            <w:left w:w="108" w:type="dxa"/>
            <w:bottom w:w="0" w:type="dxa"/>
            <w:right w:w="108" w:type="dxa"/>
          </w:tblCellMar>
        </w:tblPrEx>
        <w:trPr>
          <w:trHeight w:val="73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75FBA753">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6C090B52">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4421" w:type="dxa"/>
            <w:tcBorders>
              <w:top w:val="single" w:color="auto" w:sz="4" w:space="0"/>
              <w:left w:val="nil"/>
              <w:bottom w:val="single" w:color="auto" w:sz="4" w:space="0"/>
              <w:right w:val="single" w:color="auto" w:sz="4" w:space="0"/>
            </w:tcBorders>
            <w:noWrap w:val="0"/>
            <w:vAlign w:val="center"/>
          </w:tcPr>
          <w:p w14:paraId="1A95FEA8">
            <w:pPr>
              <w:widowControl/>
              <w:jc w:val="left"/>
              <w:rPr>
                <w:rFonts w:ascii="宋体" w:hAnsi="宋体" w:cs="宋体"/>
                <w:color w:val="000000"/>
                <w:kern w:val="0"/>
                <w:sz w:val="20"/>
                <w:szCs w:val="20"/>
              </w:rPr>
            </w:pPr>
            <w:r>
              <w:rPr>
                <w:rFonts w:hint="eastAsia" w:ascii="宋体" w:hAnsi="宋体" w:cs="宋体"/>
                <w:color w:val="000000"/>
                <w:kern w:val="0"/>
                <w:sz w:val="20"/>
                <w:szCs w:val="20"/>
              </w:rPr>
              <w:t>按要求做好控烟工作。公寓楼内、寝室内无吸烟现象，无烟蒂、无烟味。</w:t>
            </w:r>
          </w:p>
        </w:tc>
        <w:tc>
          <w:tcPr>
            <w:tcW w:w="600" w:type="dxa"/>
            <w:tcBorders>
              <w:top w:val="single" w:color="auto" w:sz="4" w:space="0"/>
              <w:left w:val="nil"/>
              <w:bottom w:val="single" w:color="auto" w:sz="4" w:space="0"/>
              <w:right w:val="single" w:color="auto" w:sz="4" w:space="0"/>
            </w:tcBorders>
            <w:noWrap w:val="0"/>
            <w:vAlign w:val="center"/>
          </w:tcPr>
          <w:p w14:paraId="5D218008">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2164658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644AF8C7">
            <w:pPr>
              <w:widowControl/>
              <w:jc w:val="left"/>
              <w:rPr>
                <w:rFonts w:ascii="宋体" w:hAnsi="宋体" w:cs="宋体"/>
                <w:color w:val="000000"/>
                <w:kern w:val="0"/>
                <w:sz w:val="20"/>
                <w:szCs w:val="20"/>
              </w:rPr>
            </w:pPr>
            <w:r>
              <w:rPr>
                <w:rFonts w:hint="eastAsia" w:ascii="宋体" w:hAnsi="宋体" w:cs="宋体"/>
                <w:color w:val="000000"/>
                <w:kern w:val="0"/>
                <w:sz w:val="20"/>
                <w:szCs w:val="20"/>
              </w:rPr>
              <w:t>未按要求做好控烟检查工作一次扣除1分。</w:t>
            </w:r>
          </w:p>
        </w:tc>
        <w:tc>
          <w:tcPr>
            <w:tcW w:w="1040" w:type="dxa"/>
            <w:tcBorders>
              <w:top w:val="single" w:color="auto" w:sz="4" w:space="0"/>
              <w:left w:val="nil"/>
              <w:bottom w:val="single" w:color="auto" w:sz="4" w:space="0"/>
              <w:right w:val="single" w:color="auto" w:sz="4" w:space="0"/>
            </w:tcBorders>
            <w:noWrap w:val="0"/>
            <w:vAlign w:val="center"/>
          </w:tcPr>
          <w:p w14:paraId="0713EFAC">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412E64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72E1983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6CD310E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069B2FC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A8D0C0F">
        <w:tblPrEx>
          <w:tblCellMar>
            <w:top w:w="0" w:type="dxa"/>
            <w:left w:w="108" w:type="dxa"/>
            <w:bottom w:w="0" w:type="dxa"/>
            <w:right w:w="108" w:type="dxa"/>
          </w:tblCellMar>
        </w:tblPrEx>
        <w:trPr>
          <w:trHeight w:val="73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EC4AFD0">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11048AB2">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4421" w:type="dxa"/>
            <w:tcBorders>
              <w:top w:val="single" w:color="auto" w:sz="4" w:space="0"/>
              <w:left w:val="nil"/>
              <w:bottom w:val="single" w:color="auto" w:sz="4" w:space="0"/>
              <w:right w:val="single" w:color="auto" w:sz="4" w:space="0"/>
            </w:tcBorders>
            <w:noWrap w:val="0"/>
            <w:vAlign w:val="center"/>
          </w:tcPr>
          <w:p w14:paraId="393BA6ED">
            <w:pPr>
              <w:widowControl/>
              <w:jc w:val="left"/>
              <w:rPr>
                <w:rFonts w:ascii="宋体" w:hAnsi="宋体" w:cs="宋体"/>
                <w:color w:val="000000"/>
                <w:kern w:val="0"/>
                <w:sz w:val="20"/>
                <w:szCs w:val="20"/>
              </w:rPr>
            </w:pPr>
            <w:r>
              <w:rPr>
                <w:rFonts w:hint="eastAsia" w:ascii="宋体" w:hAnsi="宋体" w:cs="宋体"/>
                <w:color w:val="000000"/>
                <w:kern w:val="0"/>
                <w:sz w:val="20"/>
                <w:szCs w:val="20"/>
              </w:rPr>
              <w:t>每晚查宿，对夜不归宿的学生及异常情况及时上报相关二级学院和学工部。</w:t>
            </w:r>
          </w:p>
        </w:tc>
        <w:tc>
          <w:tcPr>
            <w:tcW w:w="600" w:type="dxa"/>
            <w:tcBorders>
              <w:top w:val="single" w:color="auto" w:sz="4" w:space="0"/>
              <w:left w:val="nil"/>
              <w:bottom w:val="single" w:color="auto" w:sz="4" w:space="0"/>
              <w:right w:val="single" w:color="auto" w:sz="4" w:space="0"/>
            </w:tcBorders>
            <w:noWrap w:val="0"/>
            <w:vAlign w:val="center"/>
          </w:tcPr>
          <w:p w14:paraId="7F12A120">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15C7CA03">
            <w:pPr>
              <w:widowControl/>
              <w:jc w:val="center"/>
              <w:rPr>
                <w:rFonts w:ascii="宋体" w:hAnsi="宋体" w:cs="宋体"/>
                <w:color w:val="000000"/>
                <w:kern w:val="0"/>
                <w:sz w:val="20"/>
                <w:szCs w:val="20"/>
              </w:rPr>
            </w:pPr>
            <w:r>
              <w:rPr>
                <w:rFonts w:hint="eastAsia" w:ascii="宋体" w:hAnsi="宋体" w:cs="宋体"/>
                <w:color w:val="000000"/>
                <w:kern w:val="0"/>
                <w:sz w:val="20"/>
                <w:szCs w:val="20"/>
              </w:rPr>
              <w:t>查看群信息</w:t>
            </w:r>
          </w:p>
        </w:tc>
        <w:tc>
          <w:tcPr>
            <w:tcW w:w="3351" w:type="dxa"/>
            <w:tcBorders>
              <w:top w:val="single" w:color="auto" w:sz="4" w:space="0"/>
              <w:left w:val="nil"/>
              <w:bottom w:val="single" w:color="auto" w:sz="4" w:space="0"/>
              <w:right w:val="single" w:color="auto" w:sz="4" w:space="0"/>
            </w:tcBorders>
            <w:noWrap w:val="0"/>
            <w:vAlign w:val="center"/>
          </w:tcPr>
          <w:p w14:paraId="41F27E7A">
            <w:pPr>
              <w:widowControl/>
              <w:jc w:val="left"/>
              <w:rPr>
                <w:rFonts w:ascii="宋体" w:hAnsi="宋体" w:cs="宋体"/>
                <w:color w:val="000000"/>
                <w:kern w:val="0"/>
                <w:sz w:val="20"/>
                <w:szCs w:val="20"/>
              </w:rPr>
            </w:pPr>
            <w:r>
              <w:rPr>
                <w:rFonts w:hint="eastAsia" w:ascii="宋体" w:hAnsi="宋体" w:cs="宋体"/>
                <w:color w:val="000000"/>
                <w:kern w:val="0"/>
                <w:sz w:val="20"/>
                <w:szCs w:val="20"/>
              </w:rPr>
              <w:t>上报不及时，发生一次扣除1分</w:t>
            </w:r>
          </w:p>
        </w:tc>
        <w:tc>
          <w:tcPr>
            <w:tcW w:w="1040" w:type="dxa"/>
            <w:tcBorders>
              <w:top w:val="single" w:color="auto" w:sz="4" w:space="0"/>
              <w:left w:val="nil"/>
              <w:bottom w:val="single" w:color="auto" w:sz="4" w:space="0"/>
              <w:right w:val="single" w:color="auto" w:sz="4" w:space="0"/>
            </w:tcBorders>
            <w:noWrap w:val="0"/>
            <w:vAlign w:val="center"/>
          </w:tcPr>
          <w:p w14:paraId="42D3C604">
            <w:pPr>
              <w:widowControl/>
              <w:jc w:val="center"/>
              <w:rPr>
                <w:rFonts w:ascii="宋体" w:hAnsi="宋体" w:cs="宋体"/>
                <w:color w:val="000000"/>
                <w:kern w:val="0"/>
                <w:sz w:val="20"/>
                <w:szCs w:val="20"/>
              </w:rPr>
            </w:pPr>
            <w:r>
              <w:rPr>
                <w:rFonts w:hint="eastAsia" w:ascii="宋体" w:hAnsi="宋体" w:cs="宋体"/>
                <w:color w:val="000000"/>
                <w:kern w:val="0"/>
                <w:sz w:val="20"/>
                <w:szCs w:val="20"/>
              </w:rPr>
              <w:t>每天抽查</w:t>
            </w:r>
          </w:p>
        </w:tc>
        <w:tc>
          <w:tcPr>
            <w:tcW w:w="1100" w:type="dxa"/>
            <w:tcBorders>
              <w:top w:val="single" w:color="auto" w:sz="4" w:space="0"/>
              <w:left w:val="nil"/>
              <w:bottom w:val="single" w:color="auto" w:sz="4" w:space="0"/>
              <w:right w:val="single" w:color="auto" w:sz="4" w:space="0"/>
            </w:tcBorders>
            <w:noWrap w:val="0"/>
            <w:vAlign w:val="center"/>
          </w:tcPr>
          <w:p w14:paraId="4535B8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645DADD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1ACAE36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1FAFD74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3479933">
        <w:tblPrEx>
          <w:tblCellMar>
            <w:top w:w="0" w:type="dxa"/>
            <w:left w:w="108" w:type="dxa"/>
            <w:bottom w:w="0" w:type="dxa"/>
            <w:right w:w="108" w:type="dxa"/>
          </w:tblCellMar>
        </w:tblPrEx>
        <w:trPr>
          <w:trHeight w:val="150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01DB4D0D">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6D077EAB">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4421" w:type="dxa"/>
            <w:tcBorders>
              <w:top w:val="single" w:color="auto" w:sz="4" w:space="0"/>
              <w:left w:val="nil"/>
              <w:bottom w:val="single" w:color="auto" w:sz="4" w:space="0"/>
              <w:right w:val="single" w:color="auto" w:sz="4" w:space="0"/>
            </w:tcBorders>
            <w:noWrap w:val="0"/>
            <w:vAlign w:val="center"/>
          </w:tcPr>
          <w:p w14:paraId="2910C291">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严格执行学生公寓外来人员登记制度，严禁小商小贩、身份不明人员和异性同学进入他人宿舍。</w:t>
            </w:r>
          </w:p>
        </w:tc>
        <w:tc>
          <w:tcPr>
            <w:tcW w:w="600" w:type="dxa"/>
            <w:tcBorders>
              <w:top w:val="single" w:color="auto" w:sz="4" w:space="0"/>
              <w:left w:val="nil"/>
              <w:bottom w:val="single" w:color="auto" w:sz="4" w:space="0"/>
              <w:right w:val="single" w:color="auto" w:sz="4" w:space="0"/>
            </w:tcBorders>
            <w:noWrap w:val="0"/>
            <w:vAlign w:val="center"/>
          </w:tcPr>
          <w:p w14:paraId="3C429243">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391A044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3179BBCB">
            <w:pPr>
              <w:widowControl/>
              <w:jc w:val="left"/>
              <w:rPr>
                <w:rFonts w:ascii="宋体" w:hAnsi="宋体" w:cs="宋体"/>
                <w:color w:val="000000"/>
                <w:kern w:val="0"/>
                <w:sz w:val="20"/>
                <w:szCs w:val="20"/>
              </w:rPr>
            </w:pPr>
            <w:r>
              <w:rPr>
                <w:rFonts w:hint="eastAsia" w:ascii="宋体" w:hAnsi="宋体" w:cs="宋体"/>
                <w:color w:val="000000"/>
                <w:kern w:val="0"/>
                <w:sz w:val="20"/>
                <w:szCs w:val="20"/>
              </w:rPr>
              <w:t>对不遵守学校相关规定私自将非公寓住宿生或非公寓工作人员不履行任何手续进入公寓，涉事宿管员开除处理，造成严重后果的，与第三方公司解除合同，并追偿一切损失。</w:t>
            </w:r>
          </w:p>
        </w:tc>
        <w:tc>
          <w:tcPr>
            <w:tcW w:w="1040" w:type="dxa"/>
            <w:tcBorders>
              <w:top w:val="single" w:color="auto" w:sz="4" w:space="0"/>
              <w:left w:val="nil"/>
              <w:bottom w:val="single" w:color="auto" w:sz="4" w:space="0"/>
              <w:right w:val="single" w:color="auto" w:sz="4" w:space="0"/>
            </w:tcBorders>
            <w:noWrap w:val="0"/>
            <w:vAlign w:val="center"/>
          </w:tcPr>
          <w:p w14:paraId="30E84725">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3122E17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334C4D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6969D04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0DCA22C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675B14F2">
        <w:tblPrEx>
          <w:tblCellMar>
            <w:top w:w="0" w:type="dxa"/>
            <w:left w:w="108" w:type="dxa"/>
            <w:bottom w:w="0" w:type="dxa"/>
            <w:right w:w="108" w:type="dxa"/>
          </w:tblCellMar>
        </w:tblPrEx>
        <w:trPr>
          <w:trHeight w:val="919"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0DAF619A">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5E4A93A4">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4421" w:type="dxa"/>
            <w:tcBorders>
              <w:top w:val="single" w:color="auto" w:sz="4" w:space="0"/>
              <w:left w:val="nil"/>
              <w:bottom w:val="single" w:color="auto" w:sz="4" w:space="0"/>
              <w:right w:val="single" w:color="auto" w:sz="4" w:space="0"/>
            </w:tcBorders>
            <w:noWrap w:val="0"/>
            <w:vAlign w:val="center"/>
          </w:tcPr>
          <w:p w14:paraId="35BBCA2D">
            <w:pPr>
              <w:widowControl/>
              <w:jc w:val="left"/>
              <w:rPr>
                <w:rFonts w:ascii="宋体" w:hAnsi="宋体" w:cs="宋体"/>
                <w:color w:val="000000"/>
                <w:kern w:val="0"/>
                <w:sz w:val="20"/>
                <w:szCs w:val="20"/>
              </w:rPr>
            </w:pPr>
            <w:r>
              <w:rPr>
                <w:rFonts w:hint="eastAsia" w:ascii="宋体" w:hAnsi="宋体" w:cs="宋体"/>
                <w:color w:val="000000"/>
                <w:kern w:val="0"/>
                <w:sz w:val="20"/>
                <w:szCs w:val="20"/>
              </w:rPr>
              <w:t>各责任区内公共设备损坏及时报修。寒、暑假期间，配合后勤管理处对宿舍的设施做好集中检修工作；配合学工部、二级学院做好宿舍调配及维修报送工作。</w:t>
            </w:r>
          </w:p>
        </w:tc>
        <w:tc>
          <w:tcPr>
            <w:tcW w:w="600" w:type="dxa"/>
            <w:tcBorders>
              <w:top w:val="single" w:color="auto" w:sz="4" w:space="0"/>
              <w:left w:val="nil"/>
              <w:bottom w:val="single" w:color="auto" w:sz="4" w:space="0"/>
              <w:right w:val="single" w:color="auto" w:sz="4" w:space="0"/>
            </w:tcBorders>
            <w:noWrap w:val="0"/>
            <w:vAlign w:val="center"/>
          </w:tcPr>
          <w:p w14:paraId="2EE8EB1D">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4EA09714">
            <w:pPr>
              <w:widowControl/>
              <w:jc w:val="center"/>
              <w:rPr>
                <w:rFonts w:ascii="宋体" w:hAnsi="宋体" w:cs="宋体"/>
                <w:color w:val="000000"/>
                <w:kern w:val="0"/>
                <w:sz w:val="20"/>
                <w:szCs w:val="20"/>
              </w:rPr>
            </w:pPr>
            <w:r>
              <w:rPr>
                <w:rFonts w:hint="eastAsia" w:ascii="宋体" w:hAnsi="宋体" w:cs="宋体"/>
                <w:color w:val="000000"/>
                <w:kern w:val="0"/>
                <w:sz w:val="20"/>
                <w:szCs w:val="20"/>
              </w:rPr>
              <w:t>查看资料</w:t>
            </w:r>
          </w:p>
        </w:tc>
        <w:tc>
          <w:tcPr>
            <w:tcW w:w="3351" w:type="dxa"/>
            <w:tcBorders>
              <w:top w:val="single" w:color="auto" w:sz="4" w:space="0"/>
              <w:left w:val="nil"/>
              <w:bottom w:val="single" w:color="auto" w:sz="4" w:space="0"/>
              <w:right w:val="single" w:color="auto" w:sz="4" w:space="0"/>
            </w:tcBorders>
            <w:noWrap w:val="0"/>
            <w:vAlign w:val="center"/>
          </w:tcPr>
          <w:p w14:paraId="6AB039D0">
            <w:pPr>
              <w:widowControl/>
              <w:jc w:val="left"/>
              <w:rPr>
                <w:rFonts w:ascii="宋体" w:hAnsi="宋体" w:cs="宋体"/>
                <w:color w:val="000000"/>
                <w:kern w:val="0"/>
                <w:sz w:val="20"/>
                <w:szCs w:val="20"/>
              </w:rPr>
            </w:pPr>
            <w:r>
              <w:rPr>
                <w:rFonts w:hint="eastAsia" w:ascii="宋体" w:hAnsi="宋体" w:cs="宋体"/>
                <w:color w:val="000000"/>
                <w:kern w:val="0"/>
                <w:sz w:val="20"/>
                <w:szCs w:val="20"/>
              </w:rPr>
              <w:t>上报维修不及时，住宿或调宿没有审批单，发生一次扣1分。</w:t>
            </w:r>
          </w:p>
        </w:tc>
        <w:tc>
          <w:tcPr>
            <w:tcW w:w="1040" w:type="dxa"/>
            <w:tcBorders>
              <w:top w:val="single" w:color="auto" w:sz="4" w:space="0"/>
              <w:left w:val="nil"/>
              <w:bottom w:val="single" w:color="auto" w:sz="4" w:space="0"/>
              <w:right w:val="single" w:color="auto" w:sz="4" w:space="0"/>
            </w:tcBorders>
            <w:noWrap w:val="0"/>
            <w:vAlign w:val="center"/>
          </w:tcPr>
          <w:p w14:paraId="2B449FDB">
            <w:pPr>
              <w:widowControl/>
              <w:jc w:val="center"/>
              <w:rPr>
                <w:rFonts w:ascii="宋体" w:hAnsi="宋体" w:cs="宋体"/>
                <w:color w:val="000000"/>
                <w:kern w:val="0"/>
                <w:sz w:val="20"/>
                <w:szCs w:val="20"/>
              </w:rPr>
            </w:pPr>
            <w:r>
              <w:rPr>
                <w:rFonts w:hint="eastAsia" w:ascii="宋体" w:hAnsi="宋体" w:cs="宋体"/>
                <w:color w:val="000000"/>
                <w:kern w:val="0"/>
                <w:sz w:val="20"/>
                <w:szCs w:val="20"/>
              </w:rPr>
              <w:t>每天抽查</w:t>
            </w:r>
          </w:p>
        </w:tc>
        <w:tc>
          <w:tcPr>
            <w:tcW w:w="1100" w:type="dxa"/>
            <w:tcBorders>
              <w:top w:val="single" w:color="auto" w:sz="4" w:space="0"/>
              <w:left w:val="nil"/>
              <w:bottom w:val="single" w:color="auto" w:sz="4" w:space="0"/>
              <w:right w:val="single" w:color="auto" w:sz="4" w:space="0"/>
            </w:tcBorders>
            <w:noWrap w:val="0"/>
            <w:vAlign w:val="center"/>
          </w:tcPr>
          <w:p w14:paraId="5C595AC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2A24081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2A23D4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748805A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C6BEEE5">
        <w:tblPrEx>
          <w:tblCellMar>
            <w:top w:w="0" w:type="dxa"/>
            <w:left w:w="108" w:type="dxa"/>
            <w:bottom w:w="0" w:type="dxa"/>
            <w:right w:w="108" w:type="dxa"/>
          </w:tblCellMar>
        </w:tblPrEx>
        <w:trPr>
          <w:trHeight w:val="144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12D372EB">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26C1C00F">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4421" w:type="dxa"/>
            <w:tcBorders>
              <w:top w:val="single" w:color="auto" w:sz="4" w:space="0"/>
              <w:left w:val="nil"/>
              <w:bottom w:val="single" w:color="auto" w:sz="4" w:space="0"/>
              <w:right w:val="single" w:color="auto" w:sz="4" w:space="0"/>
            </w:tcBorders>
            <w:noWrap w:val="0"/>
            <w:vAlign w:val="center"/>
          </w:tcPr>
          <w:p w14:paraId="37996693">
            <w:pPr>
              <w:widowControl/>
              <w:jc w:val="left"/>
              <w:rPr>
                <w:rFonts w:ascii="宋体" w:hAnsi="宋体" w:cs="宋体"/>
                <w:color w:val="000000"/>
                <w:kern w:val="0"/>
                <w:sz w:val="20"/>
                <w:szCs w:val="20"/>
              </w:rPr>
            </w:pPr>
            <w:r>
              <w:rPr>
                <w:rFonts w:hint="eastAsia" w:ascii="宋体" w:hAnsi="宋体" w:cs="宋体"/>
                <w:color w:val="000000"/>
                <w:kern w:val="0"/>
                <w:sz w:val="20"/>
                <w:szCs w:val="20"/>
              </w:rPr>
              <w:t>责任区由专人负责，各责任区内卫生保持整洁。</w:t>
            </w:r>
          </w:p>
        </w:tc>
        <w:tc>
          <w:tcPr>
            <w:tcW w:w="600" w:type="dxa"/>
            <w:tcBorders>
              <w:top w:val="single" w:color="auto" w:sz="4" w:space="0"/>
              <w:left w:val="nil"/>
              <w:bottom w:val="single" w:color="auto" w:sz="4" w:space="0"/>
              <w:right w:val="single" w:color="auto" w:sz="4" w:space="0"/>
            </w:tcBorders>
            <w:noWrap w:val="0"/>
            <w:vAlign w:val="center"/>
          </w:tcPr>
          <w:p w14:paraId="0F324C97">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14B77E4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2743A1CA">
            <w:pPr>
              <w:widowControl/>
              <w:jc w:val="left"/>
              <w:rPr>
                <w:rFonts w:ascii="宋体" w:hAnsi="宋体" w:cs="宋体"/>
                <w:color w:val="000000"/>
                <w:kern w:val="0"/>
                <w:sz w:val="20"/>
                <w:szCs w:val="20"/>
              </w:rPr>
            </w:pPr>
            <w:r>
              <w:rPr>
                <w:rFonts w:hint="eastAsia" w:ascii="宋体" w:hAnsi="宋体" w:cs="宋体"/>
                <w:color w:val="000000"/>
                <w:kern w:val="0"/>
                <w:sz w:val="20"/>
                <w:szCs w:val="20"/>
              </w:rPr>
              <w:t>（1）责任区卫生不整洁，发现一次扣除1分。（2）责任区内设备设施损坏报修不及时，发现一次扣除1分。（3）发现有长流水、长明灯、跑漏现象，一次扣除1分。</w:t>
            </w:r>
          </w:p>
        </w:tc>
        <w:tc>
          <w:tcPr>
            <w:tcW w:w="1040" w:type="dxa"/>
            <w:tcBorders>
              <w:top w:val="single" w:color="auto" w:sz="4" w:space="0"/>
              <w:left w:val="nil"/>
              <w:bottom w:val="single" w:color="auto" w:sz="4" w:space="0"/>
              <w:right w:val="single" w:color="auto" w:sz="4" w:space="0"/>
            </w:tcBorders>
            <w:noWrap w:val="0"/>
            <w:vAlign w:val="center"/>
          </w:tcPr>
          <w:p w14:paraId="7BAA6AAE">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4847FA4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782B398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6C4607A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290EE5E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C2C6A82">
        <w:tblPrEx>
          <w:tblCellMar>
            <w:top w:w="0" w:type="dxa"/>
            <w:left w:w="108" w:type="dxa"/>
            <w:bottom w:w="0" w:type="dxa"/>
            <w:right w:w="108" w:type="dxa"/>
          </w:tblCellMar>
        </w:tblPrEx>
        <w:trPr>
          <w:trHeight w:val="69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A7F8C94">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05BEFCEF">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4421" w:type="dxa"/>
            <w:tcBorders>
              <w:top w:val="single" w:color="auto" w:sz="4" w:space="0"/>
              <w:left w:val="nil"/>
              <w:bottom w:val="single" w:color="auto" w:sz="4" w:space="0"/>
              <w:right w:val="single" w:color="auto" w:sz="4" w:space="0"/>
            </w:tcBorders>
            <w:noWrap w:val="0"/>
            <w:vAlign w:val="center"/>
          </w:tcPr>
          <w:p w14:paraId="5FE5233B">
            <w:pPr>
              <w:widowControl/>
              <w:jc w:val="left"/>
              <w:rPr>
                <w:rFonts w:ascii="宋体" w:hAnsi="宋体" w:cs="宋体"/>
                <w:color w:val="000000"/>
                <w:kern w:val="0"/>
                <w:sz w:val="20"/>
                <w:szCs w:val="20"/>
              </w:rPr>
            </w:pPr>
            <w:r>
              <w:rPr>
                <w:rFonts w:hint="eastAsia" w:ascii="宋体" w:hAnsi="宋体" w:cs="宋体"/>
                <w:color w:val="000000"/>
                <w:kern w:val="0"/>
                <w:sz w:val="20"/>
                <w:szCs w:val="20"/>
              </w:rPr>
              <w:t>完成学生公寓入住和离校工作，每月对学生入住情况进行汇总，对空寝室、空床位加强管理。</w:t>
            </w:r>
          </w:p>
        </w:tc>
        <w:tc>
          <w:tcPr>
            <w:tcW w:w="600" w:type="dxa"/>
            <w:tcBorders>
              <w:top w:val="single" w:color="auto" w:sz="4" w:space="0"/>
              <w:left w:val="nil"/>
              <w:bottom w:val="single" w:color="auto" w:sz="4" w:space="0"/>
              <w:right w:val="single" w:color="auto" w:sz="4" w:space="0"/>
            </w:tcBorders>
            <w:noWrap w:val="0"/>
            <w:vAlign w:val="center"/>
          </w:tcPr>
          <w:p w14:paraId="50F9BB8D">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2725075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32660833">
            <w:pPr>
              <w:widowControl/>
              <w:jc w:val="left"/>
              <w:rPr>
                <w:rFonts w:ascii="宋体" w:hAnsi="宋体" w:cs="宋体"/>
                <w:color w:val="000000"/>
                <w:kern w:val="0"/>
                <w:sz w:val="20"/>
                <w:szCs w:val="20"/>
              </w:rPr>
            </w:pPr>
            <w:r>
              <w:rPr>
                <w:rFonts w:hint="eastAsia" w:ascii="宋体" w:hAnsi="宋体" w:cs="宋体"/>
                <w:color w:val="000000"/>
                <w:kern w:val="0"/>
                <w:sz w:val="20"/>
                <w:szCs w:val="20"/>
              </w:rPr>
              <w:t>未按照合同约定开展工作的，每次扣1分。</w:t>
            </w:r>
          </w:p>
        </w:tc>
        <w:tc>
          <w:tcPr>
            <w:tcW w:w="1040" w:type="dxa"/>
            <w:tcBorders>
              <w:top w:val="single" w:color="auto" w:sz="4" w:space="0"/>
              <w:left w:val="nil"/>
              <w:bottom w:val="single" w:color="auto" w:sz="4" w:space="0"/>
              <w:right w:val="single" w:color="auto" w:sz="4" w:space="0"/>
            </w:tcBorders>
            <w:noWrap w:val="0"/>
            <w:vAlign w:val="center"/>
          </w:tcPr>
          <w:p w14:paraId="516FCF1D">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4899B27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7129ED3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2EF5A60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21B382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F4EFB9A">
        <w:tblPrEx>
          <w:tblCellMar>
            <w:top w:w="0" w:type="dxa"/>
            <w:left w:w="108" w:type="dxa"/>
            <w:bottom w:w="0" w:type="dxa"/>
            <w:right w:w="108" w:type="dxa"/>
          </w:tblCellMar>
        </w:tblPrEx>
        <w:trPr>
          <w:trHeight w:val="72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75BFC567">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49EE3EA8">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4421" w:type="dxa"/>
            <w:tcBorders>
              <w:top w:val="single" w:color="auto" w:sz="4" w:space="0"/>
              <w:left w:val="nil"/>
              <w:bottom w:val="single" w:color="auto" w:sz="4" w:space="0"/>
              <w:right w:val="single" w:color="auto" w:sz="4" w:space="0"/>
            </w:tcBorders>
            <w:noWrap w:val="0"/>
            <w:vAlign w:val="center"/>
          </w:tcPr>
          <w:p w14:paraId="4301B4B8">
            <w:pPr>
              <w:widowControl/>
              <w:jc w:val="left"/>
              <w:rPr>
                <w:rFonts w:ascii="宋体" w:hAnsi="宋体" w:cs="宋体"/>
                <w:color w:val="000000"/>
                <w:kern w:val="0"/>
                <w:sz w:val="20"/>
                <w:szCs w:val="20"/>
              </w:rPr>
            </w:pPr>
            <w:r>
              <w:rPr>
                <w:rFonts w:hint="eastAsia" w:ascii="宋体" w:hAnsi="宋体" w:cs="宋体"/>
                <w:color w:val="000000"/>
                <w:kern w:val="0"/>
                <w:sz w:val="20"/>
                <w:szCs w:val="20"/>
              </w:rPr>
              <w:t>实施网格化管理，宿管员对责任区学生基本情况在规定时间内熟知，关注特殊群体，发现、解决、上报学生群体的矛盾隐患工作，建立台账。</w:t>
            </w:r>
          </w:p>
        </w:tc>
        <w:tc>
          <w:tcPr>
            <w:tcW w:w="600" w:type="dxa"/>
            <w:tcBorders>
              <w:top w:val="single" w:color="auto" w:sz="4" w:space="0"/>
              <w:left w:val="nil"/>
              <w:bottom w:val="single" w:color="auto" w:sz="4" w:space="0"/>
              <w:right w:val="single" w:color="auto" w:sz="4" w:space="0"/>
            </w:tcBorders>
            <w:noWrap w:val="0"/>
            <w:vAlign w:val="center"/>
          </w:tcPr>
          <w:p w14:paraId="047CBD12">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4E9F216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074EA2A1">
            <w:pPr>
              <w:widowControl/>
              <w:jc w:val="left"/>
              <w:rPr>
                <w:rFonts w:ascii="宋体" w:hAnsi="宋体" w:cs="宋体"/>
                <w:color w:val="000000"/>
                <w:kern w:val="0"/>
                <w:sz w:val="20"/>
                <w:szCs w:val="20"/>
              </w:rPr>
            </w:pPr>
            <w:r>
              <w:rPr>
                <w:rFonts w:hint="eastAsia" w:ascii="宋体" w:hAnsi="宋体" w:cs="宋体"/>
                <w:color w:val="000000"/>
                <w:kern w:val="0"/>
                <w:sz w:val="20"/>
                <w:szCs w:val="20"/>
              </w:rPr>
              <w:t>对学生情况不及时解决上报，发现一次扣除1分。</w:t>
            </w:r>
          </w:p>
        </w:tc>
        <w:tc>
          <w:tcPr>
            <w:tcW w:w="1040" w:type="dxa"/>
            <w:tcBorders>
              <w:top w:val="single" w:color="auto" w:sz="4" w:space="0"/>
              <w:left w:val="nil"/>
              <w:bottom w:val="single" w:color="auto" w:sz="4" w:space="0"/>
              <w:right w:val="single" w:color="auto" w:sz="4" w:space="0"/>
            </w:tcBorders>
            <w:noWrap w:val="0"/>
            <w:vAlign w:val="center"/>
          </w:tcPr>
          <w:p w14:paraId="1E5510ED">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10A0A2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3AFFDBA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0E6520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6007F98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268780D1">
        <w:tblPrEx>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7D3EFF9">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3965FA27">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4421" w:type="dxa"/>
            <w:tcBorders>
              <w:top w:val="single" w:color="auto" w:sz="4" w:space="0"/>
              <w:left w:val="nil"/>
              <w:bottom w:val="single" w:color="auto" w:sz="4" w:space="0"/>
              <w:right w:val="single" w:color="auto" w:sz="4" w:space="0"/>
            </w:tcBorders>
            <w:noWrap w:val="0"/>
            <w:vAlign w:val="center"/>
          </w:tcPr>
          <w:p w14:paraId="75F52545">
            <w:pPr>
              <w:widowControl/>
              <w:jc w:val="left"/>
              <w:rPr>
                <w:rFonts w:ascii="宋体" w:hAnsi="宋体" w:cs="宋体"/>
                <w:color w:val="000000"/>
                <w:kern w:val="0"/>
                <w:sz w:val="20"/>
                <w:szCs w:val="20"/>
              </w:rPr>
            </w:pPr>
            <w:r>
              <w:rPr>
                <w:rFonts w:hint="eastAsia" w:ascii="宋体" w:hAnsi="宋体" w:cs="宋体"/>
                <w:color w:val="000000"/>
                <w:kern w:val="0"/>
                <w:sz w:val="20"/>
                <w:szCs w:val="20"/>
              </w:rPr>
              <w:t>各楼层规范管理。每日开展公寓安全卫生检查，每周四、周末及节假日落实学生宿舍内务、安全检查制度。</w:t>
            </w:r>
          </w:p>
        </w:tc>
        <w:tc>
          <w:tcPr>
            <w:tcW w:w="600" w:type="dxa"/>
            <w:tcBorders>
              <w:top w:val="single" w:color="auto" w:sz="4" w:space="0"/>
              <w:left w:val="nil"/>
              <w:bottom w:val="single" w:color="auto" w:sz="4" w:space="0"/>
              <w:right w:val="single" w:color="auto" w:sz="4" w:space="0"/>
            </w:tcBorders>
            <w:noWrap w:val="0"/>
            <w:vAlign w:val="center"/>
          </w:tcPr>
          <w:p w14:paraId="3A99646D">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9" w:type="dxa"/>
            <w:tcBorders>
              <w:top w:val="single" w:color="auto" w:sz="4" w:space="0"/>
              <w:left w:val="nil"/>
              <w:bottom w:val="single" w:color="auto" w:sz="4" w:space="0"/>
              <w:right w:val="single" w:color="auto" w:sz="4" w:space="0"/>
            </w:tcBorders>
            <w:noWrap w:val="0"/>
            <w:vAlign w:val="center"/>
          </w:tcPr>
          <w:p w14:paraId="128EACE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7AA89AA0">
            <w:pPr>
              <w:widowControl/>
              <w:jc w:val="left"/>
              <w:rPr>
                <w:rFonts w:ascii="宋体" w:hAnsi="宋体" w:cs="宋体"/>
                <w:color w:val="000000"/>
                <w:kern w:val="0"/>
                <w:sz w:val="20"/>
                <w:szCs w:val="20"/>
              </w:rPr>
            </w:pPr>
            <w:r>
              <w:rPr>
                <w:rFonts w:hint="eastAsia" w:ascii="宋体" w:hAnsi="宋体" w:cs="宋体"/>
                <w:color w:val="000000"/>
                <w:kern w:val="0"/>
                <w:sz w:val="20"/>
                <w:szCs w:val="20"/>
              </w:rPr>
              <w:t>对学生情况不及时解决上报，发现一次扣除1分。</w:t>
            </w:r>
          </w:p>
        </w:tc>
        <w:tc>
          <w:tcPr>
            <w:tcW w:w="1040" w:type="dxa"/>
            <w:tcBorders>
              <w:top w:val="single" w:color="auto" w:sz="4" w:space="0"/>
              <w:left w:val="nil"/>
              <w:bottom w:val="single" w:color="auto" w:sz="4" w:space="0"/>
              <w:right w:val="single" w:color="auto" w:sz="4" w:space="0"/>
            </w:tcBorders>
            <w:noWrap w:val="0"/>
            <w:vAlign w:val="center"/>
          </w:tcPr>
          <w:p w14:paraId="448112B5">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2C001F2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20B1DA2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08B13F7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2C81557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263B8408">
        <w:tblPrEx>
          <w:tblCellMar>
            <w:top w:w="0" w:type="dxa"/>
            <w:left w:w="108" w:type="dxa"/>
            <w:bottom w:w="0" w:type="dxa"/>
            <w:right w:w="108" w:type="dxa"/>
          </w:tblCellMar>
        </w:tblPrEx>
        <w:trPr>
          <w:trHeight w:val="66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DA26DE3">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4680CDE0">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4421" w:type="dxa"/>
            <w:tcBorders>
              <w:top w:val="single" w:color="auto" w:sz="4" w:space="0"/>
              <w:left w:val="nil"/>
              <w:bottom w:val="single" w:color="auto" w:sz="4" w:space="0"/>
              <w:right w:val="single" w:color="auto" w:sz="4" w:space="0"/>
            </w:tcBorders>
            <w:noWrap w:val="0"/>
            <w:vAlign w:val="center"/>
          </w:tcPr>
          <w:p w14:paraId="765E44CC">
            <w:pPr>
              <w:widowControl/>
              <w:jc w:val="left"/>
              <w:rPr>
                <w:rFonts w:ascii="宋体" w:hAnsi="宋体" w:cs="宋体"/>
                <w:color w:val="000000"/>
                <w:kern w:val="0"/>
                <w:sz w:val="20"/>
                <w:szCs w:val="20"/>
              </w:rPr>
            </w:pPr>
            <w:r>
              <w:rPr>
                <w:rFonts w:hint="eastAsia" w:ascii="宋体" w:hAnsi="宋体" w:cs="宋体"/>
                <w:color w:val="000000"/>
                <w:kern w:val="0"/>
                <w:sz w:val="20"/>
                <w:szCs w:val="20"/>
              </w:rPr>
              <w:t>制定学生公寓文化建设方案，每月在公寓内开展公寓文化活动，每月组织文明宿舍评比。</w:t>
            </w:r>
          </w:p>
        </w:tc>
        <w:tc>
          <w:tcPr>
            <w:tcW w:w="600" w:type="dxa"/>
            <w:tcBorders>
              <w:top w:val="single" w:color="auto" w:sz="4" w:space="0"/>
              <w:left w:val="nil"/>
              <w:bottom w:val="single" w:color="auto" w:sz="4" w:space="0"/>
              <w:right w:val="single" w:color="auto" w:sz="4" w:space="0"/>
            </w:tcBorders>
            <w:noWrap w:val="0"/>
            <w:vAlign w:val="center"/>
          </w:tcPr>
          <w:p w14:paraId="0FA58192">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4CC596A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4C4A5493">
            <w:pPr>
              <w:widowControl/>
              <w:jc w:val="left"/>
              <w:rPr>
                <w:rFonts w:ascii="宋体" w:hAnsi="宋体" w:cs="宋体"/>
                <w:color w:val="000000"/>
                <w:kern w:val="0"/>
                <w:sz w:val="20"/>
                <w:szCs w:val="20"/>
              </w:rPr>
            </w:pPr>
            <w:r>
              <w:rPr>
                <w:rFonts w:hint="eastAsia" w:ascii="宋体" w:hAnsi="宋体" w:cs="宋体"/>
                <w:color w:val="000000"/>
                <w:kern w:val="0"/>
                <w:sz w:val="20"/>
                <w:szCs w:val="20"/>
              </w:rPr>
              <w:t>不配合完成工作的员工发现一次扣除5分，并开除处理。</w:t>
            </w:r>
          </w:p>
        </w:tc>
        <w:tc>
          <w:tcPr>
            <w:tcW w:w="1040" w:type="dxa"/>
            <w:tcBorders>
              <w:top w:val="single" w:color="auto" w:sz="4" w:space="0"/>
              <w:left w:val="nil"/>
              <w:bottom w:val="single" w:color="auto" w:sz="4" w:space="0"/>
              <w:right w:val="single" w:color="auto" w:sz="4" w:space="0"/>
            </w:tcBorders>
            <w:noWrap w:val="0"/>
            <w:vAlign w:val="center"/>
          </w:tcPr>
          <w:p w14:paraId="48FB1DE3">
            <w:pPr>
              <w:widowControl/>
              <w:jc w:val="center"/>
              <w:rPr>
                <w:rFonts w:ascii="宋体" w:hAnsi="宋体" w:cs="宋体"/>
                <w:color w:val="000000"/>
                <w:kern w:val="0"/>
                <w:sz w:val="20"/>
                <w:szCs w:val="20"/>
              </w:rPr>
            </w:pPr>
            <w:r>
              <w:rPr>
                <w:rFonts w:hint="eastAsia" w:ascii="宋体" w:hAnsi="宋体" w:cs="宋体"/>
                <w:color w:val="000000"/>
                <w:kern w:val="0"/>
                <w:sz w:val="20"/>
                <w:szCs w:val="20"/>
              </w:rPr>
              <w:t>每月检查</w:t>
            </w:r>
          </w:p>
        </w:tc>
        <w:tc>
          <w:tcPr>
            <w:tcW w:w="1100" w:type="dxa"/>
            <w:tcBorders>
              <w:top w:val="single" w:color="auto" w:sz="4" w:space="0"/>
              <w:left w:val="nil"/>
              <w:bottom w:val="single" w:color="auto" w:sz="4" w:space="0"/>
              <w:right w:val="single" w:color="auto" w:sz="4" w:space="0"/>
            </w:tcBorders>
            <w:noWrap w:val="0"/>
            <w:vAlign w:val="center"/>
          </w:tcPr>
          <w:p w14:paraId="473E965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4C34932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06DB25D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5C0BBE4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5E7AD5CD">
        <w:tblPrEx>
          <w:tblCellMar>
            <w:top w:w="0" w:type="dxa"/>
            <w:left w:w="108" w:type="dxa"/>
            <w:bottom w:w="0" w:type="dxa"/>
            <w:right w:w="108" w:type="dxa"/>
          </w:tblCellMar>
        </w:tblPrEx>
        <w:trPr>
          <w:trHeight w:val="66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43B145BF">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7F599900">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4421" w:type="dxa"/>
            <w:tcBorders>
              <w:top w:val="single" w:color="auto" w:sz="4" w:space="0"/>
              <w:left w:val="nil"/>
              <w:bottom w:val="single" w:color="auto" w:sz="4" w:space="0"/>
              <w:right w:val="single" w:color="auto" w:sz="4" w:space="0"/>
            </w:tcBorders>
            <w:noWrap w:val="0"/>
            <w:vAlign w:val="center"/>
          </w:tcPr>
          <w:p w14:paraId="09E2F388">
            <w:pPr>
              <w:widowControl/>
              <w:rPr>
                <w:rFonts w:ascii="宋体" w:hAnsi="宋体" w:cs="宋体"/>
                <w:color w:val="000000"/>
                <w:kern w:val="0"/>
                <w:sz w:val="20"/>
                <w:szCs w:val="20"/>
              </w:rPr>
            </w:pPr>
            <w:r>
              <w:rPr>
                <w:rFonts w:hint="eastAsia" w:ascii="宋体" w:hAnsi="宋体" w:cs="宋体"/>
                <w:color w:val="000000"/>
                <w:kern w:val="0"/>
                <w:sz w:val="20"/>
                <w:szCs w:val="20"/>
              </w:rPr>
              <w:t>加强学生公寓卫生内务检查。督促学生宿舍卫生干净、整洁，无明显异味,生活用品、床上用品、衣服、鞋子以及书籍摆放整齐。</w:t>
            </w:r>
          </w:p>
        </w:tc>
        <w:tc>
          <w:tcPr>
            <w:tcW w:w="600" w:type="dxa"/>
            <w:tcBorders>
              <w:top w:val="single" w:color="auto" w:sz="4" w:space="0"/>
              <w:left w:val="nil"/>
              <w:bottom w:val="single" w:color="auto" w:sz="4" w:space="0"/>
              <w:right w:val="single" w:color="auto" w:sz="4" w:space="0"/>
            </w:tcBorders>
            <w:noWrap w:val="0"/>
            <w:vAlign w:val="center"/>
          </w:tcPr>
          <w:p w14:paraId="7A8F3FD7">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58C7C37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772D4968">
            <w:pPr>
              <w:widowControl/>
              <w:jc w:val="left"/>
              <w:rPr>
                <w:rFonts w:ascii="宋体" w:hAnsi="宋体" w:cs="宋体"/>
                <w:color w:val="000000"/>
                <w:kern w:val="0"/>
                <w:sz w:val="20"/>
                <w:szCs w:val="20"/>
              </w:rPr>
            </w:pPr>
            <w:r>
              <w:rPr>
                <w:rFonts w:hint="eastAsia" w:ascii="宋体" w:hAnsi="宋体" w:cs="宋体"/>
                <w:color w:val="000000"/>
                <w:kern w:val="0"/>
                <w:sz w:val="20"/>
                <w:szCs w:val="20"/>
              </w:rPr>
              <w:t>未及时督促宿舍卫生，发现一次扣除1分。</w:t>
            </w:r>
          </w:p>
        </w:tc>
        <w:tc>
          <w:tcPr>
            <w:tcW w:w="1040" w:type="dxa"/>
            <w:tcBorders>
              <w:top w:val="single" w:color="auto" w:sz="4" w:space="0"/>
              <w:left w:val="nil"/>
              <w:bottom w:val="single" w:color="auto" w:sz="4" w:space="0"/>
              <w:right w:val="single" w:color="auto" w:sz="4" w:space="0"/>
            </w:tcBorders>
            <w:noWrap w:val="0"/>
            <w:vAlign w:val="center"/>
          </w:tcPr>
          <w:p w14:paraId="6C4988D5">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2F2F9BC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64CFF2E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596820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5C1324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E742C91">
        <w:tblPrEx>
          <w:tblCellMar>
            <w:top w:w="0" w:type="dxa"/>
            <w:left w:w="108" w:type="dxa"/>
            <w:bottom w:w="0" w:type="dxa"/>
            <w:right w:w="108" w:type="dxa"/>
          </w:tblCellMar>
        </w:tblPrEx>
        <w:trPr>
          <w:trHeight w:val="660"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5D431C4B">
            <w:pPr>
              <w:widowControl/>
              <w:jc w:val="left"/>
              <w:rPr>
                <w:rFonts w:ascii="宋体" w:hAnsi="宋体" w:cs="宋体"/>
                <w:color w:val="000000"/>
                <w:kern w:val="0"/>
                <w:sz w:val="20"/>
                <w:szCs w:val="20"/>
              </w:rPr>
            </w:pPr>
            <w:r>
              <w:rPr>
                <w:rFonts w:hint="eastAsia" w:ascii="宋体" w:hAnsi="宋体" w:cs="宋体"/>
                <w:color w:val="000000"/>
                <w:kern w:val="0"/>
                <w:sz w:val="20"/>
                <w:szCs w:val="20"/>
              </w:rPr>
              <w:t>四、保洁人员履职情况（15分）</w:t>
            </w:r>
          </w:p>
        </w:tc>
        <w:tc>
          <w:tcPr>
            <w:tcW w:w="850" w:type="dxa"/>
            <w:tcBorders>
              <w:top w:val="single" w:color="auto" w:sz="4" w:space="0"/>
              <w:left w:val="nil"/>
              <w:bottom w:val="single" w:color="auto" w:sz="4" w:space="0"/>
              <w:right w:val="single" w:color="auto" w:sz="4" w:space="0"/>
            </w:tcBorders>
            <w:noWrap w:val="0"/>
            <w:vAlign w:val="center"/>
          </w:tcPr>
          <w:p w14:paraId="44005AC5">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4421" w:type="dxa"/>
            <w:tcBorders>
              <w:top w:val="single" w:color="auto" w:sz="4" w:space="0"/>
              <w:left w:val="nil"/>
              <w:bottom w:val="single" w:color="auto" w:sz="4" w:space="0"/>
              <w:right w:val="single" w:color="auto" w:sz="4" w:space="0"/>
            </w:tcBorders>
            <w:noWrap w:val="0"/>
            <w:vAlign w:val="center"/>
          </w:tcPr>
          <w:p w14:paraId="6052FB33">
            <w:pPr>
              <w:widowControl/>
              <w:rPr>
                <w:rFonts w:ascii="宋体" w:hAnsi="宋体" w:cs="宋体"/>
                <w:color w:val="000000"/>
                <w:kern w:val="0"/>
                <w:sz w:val="20"/>
                <w:szCs w:val="20"/>
              </w:rPr>
            </w:pPr>
            <w:r>
              <w:rPr>
                <w:rFonts w:hint="eastAsia" w:ascii="宋体" w:hAnsi="宋体" w:cs="宋体"/>
                <w:color w:val="000000"/>
                <w:kern w:val="0"/>
                <w:sz w:val="20"/>
                <w:szCs w:val="20"/>
              </w:rPr>
              <w:t>公共区域、公共卫生间、浴室、爱心室等功能用房管理有序，管理责任落实到人、照片名单上墙。</w:t>
            </w:r>
          </w:p>
        </w:tc>
        <w:tc>
          <w:tcPr>
            <w:tcW w:w="600" w:type="dxa"/>
            <w:tcBorders>
              <w:top w:val="single" w:color="auto" w:sz="4" w:space="0"/>
              <w:left w:val="nil"/>
              <w:bottom w:val="single" w:color="auto" w:sz="4" w:space="0"/>
              <w:right w:val="single" w:color="auto" w:sz="4" w:space="0"/>
            </w:tcBorders>
            <w:noWrap w:val="0"/>
            <w:vAlign w:val="center"/>
          </w:tcPr>
          <w:p w14:paraId="7C9BDF02">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11BC80A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0ECBF488">
            <w:pPr>
              <w:widowControl/>
              <w:jc w:val="left"/>
              <w:rPr>
                <w:rFonts w:ascii="宋体" w:hAnsi="宋体" w:cs="宋体"/>
                <w:color w:val="000000"/>
                <w:kern w:val="0"/>
                <w:sz w:val="20"/>
                <w:szCs w:val="20"/>
              </w:rPr>
            </w:pPr>
            <w:r>
              <w:rPr>
                <w:rFonts w:hint="eastAsia" w:ascii="宋体" w:hAnsi="宋体" w:cs="宋体"/>
                <w:color w:val="000000"/>
                <w:kern w:val="0"/>
                <w:sz w:val="20"/>
                <w:szCs w:val="20"/>
              </w:rPr>
              <w:t>发现一处没落实扣除1分</w:t>
            </w:r>
          </w:p>
        </w:tc>
        <w:tc>
          <w:tcPr>
            <w:tcW w:w="1040" w:type="dxa"/>
            <w:tcBorders>
              <w:top w:val="single" w:color="auto" w:sz="4" w:space="0"/>
              <w:left w:val="nil"/>
              <w:bottom w:val="single" w:color="auto" w:sz="4" w:space="0"/>
              <w:right w:val="single" w:color="auto" w:sz="4" w:space="0"/>
            </w:tcBorders>
            <w:noWrap w:val="0"/>
            <w:vAlign w:val="center"/>
          </w:tcPr>
          <w:p w14:paraId="24132698">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0684FB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7E26F11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10D6F1E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03C7105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6ECD3791">
        <w:tblPrEx>
          <w:tblCellMar>
            <w:top w:w="0" w:type="dxa"/>
            <w:left w:w="108" w:type="dxa"/>
            <w:bottom w:w="0" w:type="dxa"/>
            <w:right w:w="108" w:type="dxa"/>
          </w:tblCellMar>
        </w:tblPrEx>
        <w:trPr>
          <w:trHeight w:val="60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8EA48E1">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59B8693A">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4421" w:type="dxa"/>
            <w:tcBorders>
              <w:top w:val="single" w:color="auto" w:sz="4" w:space="0"/>
              <w:left w:val="nil"/>
              <w:bottom w:val="single" w:color="auto" w:sz="4" w:space="0"/>
              <w:right w:val="single" w:color="auto" w:sz="4" w:space="0"/>
            </w:tcBorders>
            <w:noWrap w:val="0"/>
            <w:vAlign w:val="center"/>
          </w:tcPr>
          <w:p w14:paraId="573A5A9F">
            <w:pPr>
              <w:widowControl/>
              <w:rPr>
                <w:rFonts w:ascii="宋体" w:hAnsi="宋体" w:cs="宋体"/>
                <w:color w:val="000000"/>
                <w:kern w:val="0"/>
                <w:sz w:val="20"/>
                <w:szCs w:val="20"/>
              </w:rPr>
            </w:pPr>
            <w:r>
              <w:rPr>
                <w:rFonts w:hint="eastAsia" w:ascii="宋体" w:hAnsi="宋体" w:cs="宋体"/>
                <w:color w:val="000000"/>
                <w:kern w:val="0"/>
                <w:sz w:val="20"/>
                <w:szCs w:val="20"/>
              </w:rPr>
              <w:t>公共区域物品摆放到位，定时整理打扫，整洁美观，保洁工具区分用途，明确标识，摆放规范。</w:t>
            </w:r>
          </w:p>
        </w:tc>
        <w:tc>
          <w:tcPr>
            <w:tcW w:w="600" w:type="dxa"/>
            <w:tcBorders>
              <w:top w:val="single" w:color="auto" w:sz="4" w:space="0"/>
              <w:left w:val="nil"/>
              <w:bottom w:val="single" w:color="auto" w:sz="4" w:space="0"/>
              <w:right w:val="single" w:color="auto" w:sz="4" w:space="0"/>
            </w:tcBorders>
            <w:noWrap w:val="0"/>
            <w:vAlign w:val="center"/>
          </w:tcPr>
          <w:p w14:paraId="2F2C4429">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9" w:type="dxa"/>
            <w:tcBorders>
              <w:top w:val="single" w:color="auto" w:sz="4" w:space="0"/>
              <w:left w:val="nil"/>
              <w:bottom w:val="single" w:color="auto" w:sz="4" w:space="0"/>
              <w:right w:val="single" w:color="auto" w:sz="4" w:space="0"/>
            </w:tcBorders>
            <w:noWrap w:val="0"/>
            <w:vAlign w:val="center"/>
          </w:tcPr>
          <w:p w14:paraId="1479FFF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25500C34">
            <w:pPr>
              <w:widowControl/>
              <w:jc w:val="left"/>
              <w:rPr>
                <w:rFonts w:ascii="宋体" w:hAnsi="宋体" w:cs="宋体"/>
                <w:color w:val="000000"/>
                <w:kern w:val="0"/>
                <w:sz w:val="20"/>
                <w:szCs w:val="20"/>
              </w:rPr>
            </w:pPr>
            <w:r>
              <w:rPr>
                <w:rFonts w:hint="eastAsia" w:ascii="宋体" w:hAnsi="宋体" w:cs="宋体"/>
                <w:color w:val="000000"/>
                <w:kern w:val="0"/>
                <w:sz w:val="20"/>
                <w:szCs w:val="20"/>
              </w:rPr>
              <w:t>发现一处没落实扣除1分</w:t>
            </w:r>
          </w:p>
        </w:tc>
        <w:tc>
          <w:tcPr>
            <w:tcW w:w="1040" w:type="dxa"/>
            <w:tcBorders>
              <w:top w:val="single" w:color="auto" w:sz="4" w:space="0"/>
              <w:left w:val="nil"/>
              <w:bottom w:val="single" w:color="auto" w:sz="4" w:space="0"/>
              <w:right w:val="single" w:color="auto" w:sz="4" w:space="0"/>
            </w:tcBorders>
            <w:noWrap w:val="0"/>
            <w:vAlign w:val="center"/>
          </w:tcPr>
          <w:p w14:paraId="6405FCFB">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3F1BCA2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3D91529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5137E8E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4D6764A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37DBFD27">
        <w:tblPrEx>
          <w:tblCellMar>
            <w:top w:w="0" w:type="dxa"/>
            <w:left w:w="108" w:type="dxa"/>
            <w:bottom w:w="0" w:type="dxa"/>
            <w:right w:w="108" w:type="dxa"/>
          </w:tblCellMar>
        </w:tblPrEx>
        <w:trPr>
          <w:trHeight w:val="402"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6A9FF108">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60FE765E">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4421" w:type="dxa"/>
            <w:tcBorders>
              <w:top w:val="single" w:color="auto" w:sz="4" w:space="0"/>
              <w:left w:val="nil"/>
              <w:bottom w:val="single" w:color="auto" w:sz="4" w:space="0"/>
              <w:right w:val="single" w:color="auto" w:sz="4" w:space="0"/>
            </w:tcBorders>
            <w:noWrap w:val="0"/>
            <w:vAlign w:val="center"/>
          </w:tcPr>
          <w:p w14:paraId="1791B16C">
            <w:pPr>
              <w:widowControl/>
              <w:rPr>
                <w:rFonts w:ascii="宋体" w:hAnsi="宋体" w:cs="宋体"/>
                <w:color w:val="000000"/>
                <w:kern w:val="0"/>
                <w:sz w:val="20"/>
                <w:szCs w:val="20"/>
              </w:rPr>
            </w:pPr>
            <w:r>
              <w:rPr>
                <w:rFonts w:hint="eastAsia" w:ascii="宋体" w:hAnsi="宋体" w:cs="宋体"/>
                <w:color w:val="000000"/>
                <w:kern w:val="0"/>
                <w:sz w:val="20"/>
                <w:szCs w:val="20"/>
              </w:rPr>
              <w:t>公共区域进出通道畅通，引导标识清晰，无乱张贴。</w:t>
            </w:r>
          </w:p>
        </w:tc>
        <w:tc>
          <w:tcPr>
            <w:tcW w:w="600" w:type="dxa"/>
            <w:tcBorders>
              <w:top w:val="single" w:color="auto" w:sz="4" w:space="0"/>
              <w:left w:val="nil"/>
              <w:bottom w:val="single" w:color="auto" w:sz="4" w:space="0"/>
              <w:right w:val="single" w:color="auto" w:sz="4" w:space="0"/>
            </w:tcBorders>
            <w:noWrap w:val="0"/>
            <w:vAlign w:val="center"/>
          </w:tcPr>
          <w:p w14:paraId="488F06B7">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9" w:type="dxa"/>
            <w:tcBorders>
              <w:top w:val="single" w:color="auto" w:sz="4" w:space="0"/>
              <w:left w:val="nil"/>
              <w:bottom w:val="single" w:color="auto" w:sz="4" w:space="0"/>
              <w:right w:val="single" w:color="auto" w:sz="4" w:space="0"/>
            </w:tcBorders>
            <w:noWrap w:val="0"/>
            <w:vAlign w:val="center"/>
          </w:tcPr>
          <w:p w14:paraId="68AABE7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61B14918">
            <w:pPr>
              <w:widowControl/>
              <w:jc w:val="left"/>
              <w:rPr>
                <w:rFonts w:ascii="宋体" w:hAnsi="宋体" w:cs="宋体"/>
                <w:color w:val="000000"/>
                <w:kern w:val="0"/>
                <w:sz w:val="20"/>
                <w:szCs w:val="20"/>
              </w:rPr>
            </w:pPr>
            <w:r>
              <w:rPr>
                <w:rFonts w:hint="eastAsia" w:ascii="宋体" w:hAnsi="宋体" w:cs="宋体"/>
                <w:color w:val="000000"/>
                <w:kern w:val="0"/>
                <w:sz w:val="20"/>
                <w:szCs w:val="20"/>
              </w:rPr>
              <w:t>发现一处没落实扣除1分</w:t>
            </w:r>
          </w:p>
        </w:tc>
        <w:tc>
          <w:tcPr>
            <w:tcW w:w="1040" w:type="dxa"/>
            <w:tcBorders>
              <w:top w:val="single" w:color="auto" w:sz="4" w:space="0"/>
              <w:left w:val="nil"/>
              <w:bottom w:val="single" w:color="auto" w:sz="4" w:space="0"/>
              <w:right w:val="single" w:color="auto" w:sz="4" w:space="0"/>
            </w:tcBorders>
            <w:noWrap w:val="0"/>
            <w:vAlign w:val="center"/>
          </w:tcPr>
          <w:p w14:paraId="05E3FB97">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4820CA4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62048A2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5EA6A22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16E675E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D45A51E">
        <w:tblPrEx>
          <w:tblCellMar>
            <w:top w:w="0" w:type="dxa"/>
            <w:left w:w="108" w:type="dxa"/>
            <w:bottom w:w="0" w:type="dxa"/>
            <w:right w:w="108" w:type="dxa"/>
          </w:tblCellMar>
        </w:tblPrEx>
        <w:trPr>
          <w:trHeight w:val="109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EC21688">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082C3F5B">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4421" w:type="dxa"/>
            <w:tcBorders>
              <w:top w:val="single" w:color="auto" w:sz="4" w:space="0"/>
              <w:left w:val="nil"/>
              <w:bottom w:val="single" w:color="auto" w:sz="4" w:space="0"/>
              <w:right w:val="single" w:color="auto" w:sz="4" w:space="0"/>
            </w:tcBorders>
            <w:noWrap w:val="0"/>
            <w:vAlign w:val="center"/>
          </w:tcPr>
          <w:p w14:paraId="407207A9">
            <w:pPr>
              <w:widowControl/>
              <w:rPr>
                <w:rFonts w:ascii="宋体" w:hAnsi="宋体" w:cs="宋体"/>
                <w:color w:val="000000"/>
                <w:kern w:val="0"/>
                <w:sz w:val="20"/>
                <w:szCs w:val="20"/>
              </w:rPr>
            </w:pPr>
            <w:r>
              <w:rPr>
                <w:rFonts w:hint="eastAsia" w:ascii="宋体" w:hAnsi="宋体" w:cs="宋体"/>
                <w:color w:val="000000"/>
                <w:kern w:val="0"/>
                <w:sz w:val="20"/>
                <w:szCs w:val="20"/>
              </w:rPr>
              <w:t>学生公寓内门厅、走廊、楼梯及外围责任区域及门前清洁卫生、干净整齐，保持卫生间、浴室等公共卫生间等公共场所地面、门窗整洁明亮，定时清运生活垃圾，生活垃圾做到日产日清。严查有长明灯、长流水、跑冒滴漏现象。</w:t>
            </w:r>
          </w:p>
        </w:tc>
        <w:tc>
          <w:tcPr>
            <w:tcW w:w="600" w:type="dxa"/>
            <w:tcBorders>
              <w:top w:val="single" w:color="auto" w:sz="4" w:space="0"/>
              <w:left w:val="nil"/>
              <w:bottom w:val="single" w:color="auto" w:sz="4" w:space="0"/>
              <w:right w:val="single" w:color="auto" w:sz="4" w:space="0"/>
            </w:tcBorders>
            <w:noWrap w:val="0"/>
            <w:vAlign w:val="center"/>
          </w:tcPr>
          <w:p w14:paraId="66D51727">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15821CB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36564C33">
            <w:pPr>
              <w:widowControl/>
              <w:jc w:val="left"/>
              <w:rPr>
                <w:rFonts w:ascii="宋体" w:hAnsi="宋体" w:cs="宋体"/>
                <w:color w:val="000000"/>
                <w:kern w:val="0"/>
                <w:sz w:val="20"/>
                <w:szCs w:val="20"/>
              </w:rPr>
            </w:pPr>
            <w:r>
              <w:rPr>
                <w:rFonts w:hint="eastAsia" w:ascii="宋体" w:hAnsi="宋体" w:cs="宋体"/>
                <w:color w:val="000000"/>
                <w:kern w:val="0"/>
                <w:sz w:val="20"/>
                <w:szCs w:val="20"/>
              </w:rPr>
              <w:t>发现一处没落实扣除1分</w:t>
            </w:r>
          </w:p>
        </w:tc>
        <w:tc>
          <w:tcPr>
            <w:tcW w:w="1040" w:type="dxa"/>
            <w:tcBorders>
              <w:top w:val="single" w:color="auto" w:sz="4" w:space="0"/>
              <w:left w:val="nil"/>
              <w:bottom w:val="single" w:color="auto" w:sz="4" w:space="0"/>
              <w:right w:val="single" w:color="auto" w:sz="4" w:space="0"/>
            </w:tcBorders>
            <w:noWrap w:val="0"/>
            <w:vAlign w:val="center"/>
          </w:tcPr>
          <w:p w14:paraId="2046B14F">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0"/>
            <w:vAlign w:val="center"/>
          </w:tcPr>
          <w:p w14:paraId="525466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35980E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787CC8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1F39BC9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0A2EED54">
        <w:tblPrEx>
          <w:tblCellMar>
            <w:top w:w="0" w:type="dxa"/>
            <w:left w:w="108" w:type="dxa"/>
            <w:bottom w:w="0" w:type="dxa"/>
            <w:right w:w="108" w:type="dxa"/>
          </w:tblCellMar>
        </w:tblPrEx>
        <w:trPr>
          <w:trHeight w:val="975"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5D5804AA">
            <w:pPr>
              <w:widowControl/>
              <w:jc w:val="center"/>
              <w:rPr>
                <w:rFonts w:ascii="宋体" w:hAnsi="宋体" w:cs="宋体"/>
                <w:color w:val="000000"/>
                <w:kern w:val="0"/>
                <w:sz w:val="20"/>
                <w:szCs w:val="20"/>
              </w:rPr>
            </w:pPr>
            <w:r>
              <w:rPr>
                <w:rFonts w:hint="eastAsia" w:ascii="宋体" w:hAnsi="宋体" w:cs="宋体"/>
                <w:color w:val="000000"/>
                <w:kern w:val="0"/>
                <w:sz w:val="20"/>
                <w:szCs w:val="20"/>
              </w:rPr>
              <w:t>五、组织学习培训  （10分）</w:t>
            </w:r>
          </w:p>
        </w:tc>
        <w:tc>
          <w:tcPr>
            <w:tcW w:w="850" w:type="dxa"/>
            <w:tcBorders>
              <w:top w:val="single" w:color="auto" w:sz="4" w:space="0"/>
              <w:left w:val="nil"/>
              <w:bottom w:val="single" w:color="auto" w:sz="4" w:space="0"/>
              <w:right w:val="single" w:color="auto" w:sz="4" w:space="0"/>
            </w:tcBorders>
            <w:noWrap w:val="0"/>
            <w:vAlign w:val="center"/>
          </w:tcPr>
          <w:p w14:paraId="06FC0015">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4421" w:type="dxa"/>
            <w:tcBorders>
              <w:top w:val="single" w:color="auto" w:sz="4" w:space="0"/>
              <w:left w:val="nil"/>
              <w:bottom w:val="single" w:color="auto" w:sz="4" w:space="0"/>
              <w:right w:val="single" w:color="auto" w:sz="4" w:space="0"/>
            </w:tcBorders>
            <w:noWrap w:val="0"/>
            <w:vAlign w:val="center"/>
          </w:tcPr>
          <w:p w14:paraId="26522343">
            <w:pPr>
              <w:widowControl/>
              <w:jc w:val="left"/>
              <w:rPr>
                <w:rFonts w:ascii="宋体" w:hAnsi="宋体" w:cs="宋体"/>
                <w:color w:val="000000"/>
                <w:kern w:val="0"/>
                <w:sz w:val="20"/>
                <w:szCs w:val="20"/>
              </w:rPr>
            </w:pPr>
            <w:r>
              <w:rPr>
                <w:rFonts w:hint="eastAsia" w:ascii="宋体" w:hAnsi="宋体" w:cs="宋体"/>
                <w:color w:val="000000"/>
                <w:kern w:val="0"/>
                <w:sz w:val="20"/>
                <w:szCs w:val="20"/>
              </w:rPr>
              <w:t>每周召开宿管工作例会，做好新员工上岗培训和老员工岗位轮训，要求熟记各项规章制度、岗位职责、操作流程和应急预案，牢记工作重点，掌握工作方法和技巧。</w:t>
            </w:r>
          </w:p>
        </w:tc>
        <w:tc>
          <w:tcPr>
            <w:tcW w:w="600" w:type="dxa"/>
            <w:tcBorders>
              <w:top w:val="single" w:color="auto" w:sz="4" w:space="0"/>
              <w:left w:val="nil"/>
              <w:bottom w:val="single" w:color="auto" w:sz="4" w:space="0"/>
              <w:right w:val="single" w:color="auto" w:sz="4" w:space="0"/>
            </w:tcBorders>
            <w:noWrap w:val="0"/>
            <w:vAlign w:val="center"/>
          </w:tcPr>
          <w:p w14:paraId="13CE3F0E">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6B0AB95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72557402">
            <w:pPr>
              <w:widowControl/>
              <w:jc w:val="left"/>
              <w:rPr>
                <w:rFonts w:ascii="宋体" w:hAnsi="宋体" w:cs="宋体"/>
                <w:color w:val="000000"/>
                <w:kern w:val="0"/>
                <w:sz w:val="20"/>
                <w:szCs w:val="20"/>
              </w:rPr>
            </w:pPr>
            <w:r>
              <w:rPr>
                <w:rFonts w:hint="eastAsia" w:ascii="宋体" w:hAnsi="宋体" w:cs="宋体"/>
                <w:color w:val="000000"/>
                <w:kern w:val="0"/>
                <w:sz w:val="20"/>
                <w:szCs w:val="20"/>
              </w:rPr>
              <w:t>未按时开展培训的一次扣除1分。</w:t>
            </w:r>
          </w:p>
        </w:tc>
        <w:tc>
          <w:tcPr>
            <w:tcW w:w="1040" w:type="dxa"/>
            <w:tcBorders>
              <w:top w:val="single" w:color="auto" w:sz="4" w:space="0"/>
              <w:left w:val="nil"/>
              <w:bottom w:val="single" w:color="auto" w:sz="4" w:space="0"/>
              <w:right w:val="single" w:color="auto" w:sz="4" w:space="0"/>
            </w:tcBorders>
            <w:noWrap w:val="0"/>
            <w:vAlign w:val="center"/>
          </w:tcPr>
          <w:p w14:paraId="743E9B5F">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ign w:val="center"/>
          </w:tcPr>
          <w:p w14:paraId="54D4B59E">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20AFDD5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6799AD9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1C90CD5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79CE5DC1">
        <w:tblPrEx>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194EA0B5">
            <w:pPr>
              <w:widowControl/>
              <w:jc w:val="left"/>
              <w:rPr>
                <w:rFonts w:ascii="宋体" w:hAnsi="宋体" w:cs="宋体"/>
                <w:color w:val="000000"/>
                <w:kern w:val="0"/>
                <w:sz w:val="20"/>
                <w:szCs w:val="20"/>
              </w:rPr>
            </w:pPr>
          </w:p>
        </w:tc>
        <w:tc>
          <w:tcPr>
            <w:tcW w:w="850" w:type="dxa"/>
            <w:tcBorders>
              <w:top w:val="single" w:color="auto" w:sz="4" w:space="0"/>
              <w:left w:val="nil"/>
              <w:bottom w:val="single" w:color="auto" w:sz="4" w:space="0"/>
              <w:right w:val="single" w:color="auto" w:sz="4" w:space="0"/>
            </w:tcBorders>
            <w:noWrap w:val="0"/>
            <w:vAlign w:val="center"/>
          </w:tcPr>
          <w:p w14:paraId="0A1EB176">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4421" w:type="dxa"/>
            <w:tcBorders>
              <w:top w:val="single" w:color="auto" w:sz="4" w:space="0"/>
              <w:left w:val="nil"/>
              <w:bottom w:val="single" w:color="auto" w:sz="4" w:space="0"/>
              <w:right w:val="single" w:color="auto" w:sz="4" w:space="0"/>
            </w:tcBorders>
            <w:noWrap/>
            <w:vAlign w:val="center"/>
          </w:tcPr>
          <w:p w14:paraId="78357FCA">
            <w:pPr>
              <w:widowControl/>
              <w:rPr>
                <w:rFonts w:ascii="宋体" w:hAnsi="宋体" w:cs="宋体"/>
                <w:color w:val="000000"/>
                <w:kern w:val="0"/>
                <w:sz w:val="20"/>
                <w:szCs w:val="20"/>
              </w:rPr>
            </w:pPr>
            <w:r>
              <w:rPr>
                <w:rFonts w:hint="eastAsia" w:ascii="宋体" w:hAnsi="宋体" w:cs="宋体"/>
                <w:color w:val="000000"/>
                <w:kern w:val="0"/>
                <w:sz w:val="20"/>
                <w:szCs w:val="20"/>
              </w:rPr>
              <w:t>每年度制定培训计划，每月至少对员工进行一次培训。</w:t>
            </w:r>
          </w:p>
        </w:tc>
        <w:tc>
          <w:tcPr>
            <w:tcW w:w="600" w:type="dxa"/>
            <w:tcBorders>
              <w:top w:val="single" w:color="auto" w:sz="4" w:space="0"/>
              <w:left w:val="nil"/>
              <w:bottom w:val="single" w:color="auto" w:sz="4" w:space="0"/>
              <w:right w:val="single" w:color="auto" w:sz="4" w:space="0"/>
            </w:tcBorders>
            <w:noWrap w:val="0"/>
            <w:vAlign w:val="center"/>
          </w:tcPr>
          <w:p w14:paraId="60AB94A6">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7125E43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现场查看</w:t>
            </w:r>
          </w:p>
        </w:tc>
        <w:tc>
          <w:tcPr>
            <w:tcW w:w="3351" w:type="dxa"/>
            <w:tcBorders>
              <w:top w:val="single" w:color="auto" w:sz="4" w:space="0"/>
              <w:left w:val="nil"/>
              <w:bottom w:val="single" w:color="auto" w:sz="4" w:space="0"/>
              <w:right w:val="single" w:color="auto" w:sz="4" w:space="0"/>
            </w:tcBorders>
            <w:noWrap w:val="0"/>
            <w:vAlign w:val="center"/>
          </w:tcPr>
          <w:p w14:paraId="56CD763E">
            <w:pPr>
              <w:widowControl/>
              <w:jc w:val="left"/>
              <w:rPr>
                <w:rFonts w:ascii="宋体" w:hAnsi="宋体" w:cs="宋体"/>
                <w:color w:val="000000"/>
                <w:kern w:val="0"/>
                <w:sz w:val="20"/>
                <w:szCs w:val="20"/>
              </w:rPr>
            </w:pPr>
            <w:r>
              <w:rPr>
                <w:rFonts w:hint="eastAsia" w:ascii="宋体" w:hAnsi="宋体" w:cs="宋体"/>
                <w:color w:val="000000"/>
                <w:kern w:val="0"/>
                <w:sz w:val="20"/>
                <w:szCs w:val="20"/>
              </w:rPr>
              <w:t>未按时开展业务学习的一次扣除1分。</w:t>
            </w:r>
          </w:p>
        </w:tc>
        <w:tc>
          <w:tcPr>
            <w:tcW w:w="1040" w:type="dxa"/>
            <w:tcBorders>
              <w:top w:val="single" w:color="auto" w:sz="4" w:space="0"/>
              <w:left w:val="nil"/>
              <w:bottom w:val="single" w:color="auto" w:sz="4" w:space="0"/>
              <w:right w:val="single" w:color="auto" w:sz="4" w:space="0"/>
            </w:tcBorders>
            <w:noWrap w:val="0"/>
            <w:vAlign w:val="center"/>
          </w:tcPr>
          <w:p w14:paraId="2780C7ED">
            <w:pPr>
              <w:widowControl/>
              <w:jc w:val="center"/>
              <w:rPr>
                <w:rFonts w:ascii="宋体" w:hAnsi="宋体" w:cs="宋体"/>
                <w:color w:val="000000"/>
                <w:kern w:val="0"/>
                <w:sz w:val="20"/>
                <w:szCs w:val="20"/>
              </w:rPr>
            </w:pPr>
            <w:r>
              <w:rPr>
                <w:rFonts w:hint="eastAsia" w:ascii="宋体" w:hAnsi="宋体" w:cs="宋体"/>
                <w:color w:val="000000"/>
                <w:kern w:val="0"/>
                <w:sz w:val="20"/>
                <w:szCs w:val="20"/>
              </w:rPr>
              <w:t>每月检查</w:t>
            </w:r>
          </w:p>
        </w:tc>
        <w:tc>
          <w:tcPr>
            <w:tcW w:w="1100" w:type="dxa"/>
            <w:tcBorders>
              <w:top w:val="single" w:color="auto" w:sz="4" w:space="0"/>
              <w:left w:val="nil"/>
              <w:bottom w:val="single" w:color="auto" w:sz="4" w:space="0"/>
              <w:right w:val="single" w:color="auto" w:sz="4" w:space="0"/>
            </w:tcBorders>
            <w:noWrap/>
            <w:vAlign w:val="center"/>
          </w:tcPr>
          <w:p w14:paraId="71ADE096">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14FB868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66E0BE0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015B38F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07023730">
        <w:tblPrEx>
          <w:tblCellMar>
            <w:top w:w="0" w:type="dxa"/>
            <w:left w:w="108" w:type="dxa"/>
            <w:bottom w:w="0" w:type="dxa"/>
            <w:right w:w="108" w:type="dxa"/>
          </w:tblCellMar>
        </w:tblPrEx>
        <w:trPr>
          <w:trHeight w:val="84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C5667D0">
            <w:pPr>
              <w:widowControl/>
              <w:jc w:val="center"/>
              <w:rPr>
                <w:rFonts w:ascii="宋体" w:hAnsi="宋体" w:cs="宋体"/>
                <w:color w:val="000000"/>
                <w:kern w:val="0"/>
                <w:sz w:val="20"/>
                <w:szCs w:val="20"/>
              </w:rPr>
            </w:pPr>
            <w:r>
              <w:rPr>
                <w:rFonts w:hint="eastAsia" w:ascii="宋体" w:hAnsi="宋体" w:cs="宋体"/>
                <w:color w:val="000000"/>
                <w:kern w:val="0"/>
                <w:sz w:val="20"/>
                <w:szCs w:val="20"/>
              </w:rPr>
              <w:t>六、客户投诉（5分）</w:t>
            </w:r>
          </w:p>
        </w:tc>
        <w:tc>
          <w:tcPr>
            <w:tcW w:w="850" w:type="dxa"/>
            <w:tcBorders>
              <w:top w:val="single" w:color="auto" w:sz="4" w:space="0"/>
              <w:left w:val="nil"/>
              <w:bottom w:val="single" w:color="auto" w:sz="4" w:space="0"/>
              <w:right w:val="single" w:color="auto" w:sz="4" w:space="0"/>
            </w:tcBorders>
            <w:noWrap w:val="0"/>
            <w:vAlign w:val="center"/>
          </w:tcPr>
          <w:p w14:paraId="0C38CDCA">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4421" w:type="dxa"/>
            <w:tcBorders>
              <w:top w:val="single" w:color="auto" w:sz="4" w:space="0"/>
              <w:left w:val="nil"/>
              <w:bottom w:val="single" w:color="auto" w:sz="4" w:space="0"/>
              <w:right w:val="single" w:color="auto" w:sz="4" w:space="0"/>
            </w:tcBorders>
            <w:noWrap/>
            <w:vAlign w:val="center"/>
          </w:tcPr>
          <w:p w14:paraId="385BF64F">
            <w:pPr>
              <w:widowControl/>
              <w:rPr>
                <w:rFonts w:ascii="宋体" w:hAnsi="宋体" w:cs="宋体"/>
                <w:color w:val="000000"/>
                <w:kern w:val="0"/>
                <w:sz w:val="20"/>
                <w:szCs w:val="20"/>
              </w:rPr>
            </w:pPr>
            <w:r>
              <w:rPr>
                <w:rFonts w:hint="eastAsia" w:ascii="宋体" w:hAnsi="宋体" w:cs="宋体"/>
                <w:color w:val="000000"/>
                <w:kern w:val="0"/>
                <w:sz w:val="20"/>
                <w:szCs w:val="20"/>
              </w:rPr>
              <w:t>接到二级学院或学生投诉，及时处置，及时上报。</w:t>
            </w:r>
          </w:p>
        </w:tc>
        <w:tc>
          <w:tcPr>
            <w:tcW w:w="600" w:type="dxa"/>
            <w:tcBorders>
              <w:top w:val="single" w:color="auto" w:sz="4" w:space="0"/>
              <w:left w:val="nil"/>
              <w:bottom w:val="single" w:color="auto" w:sz="4" w:space="0"/>
              <w:right w:val="single" w:color="auto" w:sz="4" w:space="0"/>
            </w:tcBorders>
            <w:noWrap w:val="0"/>
            <w:vAlign w:val="center"/>
          </w:tcPr>
          <w:p w14:paraId="25680933">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tcBorders>
              <w:top w:val="single" w:color="auto" w:sz="4" w:space="0"/>
              <w:left w:val="nil"/>
              <w:bottom w:val="single" w:color="auto" w:sz="4" w:space="0"/>
              <w:right w:val="single" w:color="auto" w:sz="4" w:space="0"/>
            </w:tcBorders>
            <w:noWrap w:val="0"/>
            <w:vAlign w:val="center"/>
          </w:tcPr>
          <w:p w14:paraId="04BF6A18">
            <w:pPr>
              <w:widowControl/>
              <w:jc w:val="center"/>
              <w:rPr>
                <w:rFonts w:ascii="宋体" w:hAnsi="宋体" w:cs="宋体"/>
                <w:color w:val="000000"/>
                <w:kern w:val="0"/>
                <w:sz w:val="20"/>
                <w:szCs w:val="20"/>
              </w:rPr>
            </w:pPr>
            <w:r>
              <w:rPr>
                <w:rFonts w:hint="eastAsia" w:ascii="宋体" w:hAnsi="宋体" w:cs="宋体"/>
                <w:color w:val="000000"/>
                <w:kern w:val="0"/>
                <w:sz w:val="20"/>
                <w:szCs w:val="20"/>
              </w:rPr>
              <w:t>听取汇报              查收资料                现场查看</w:t>
            </w:r>
          </w:p>
        </w:tc>
        <w:tc>
          <w:tcPr>
            <w:tcW w:w="3351" w:type="dxa"/>
            <w:tcBorders>
              <w:top w:val="single" w:color="auto" w:sz="4" w:space="0"/>
              <w:left w:val="nil"/>
              <w:bottom w:val="single" w:color="auto" w:sz="4" w:space="0"/>
              <w:right w:val="single" w:color="auto" w:sz="4" w:space="0"/>
            </w:tcBorders>
            <w:noWrap w:val="0"/>
            <w:vAlign w:val="center"/>
          </w:tcPr>
          <w:p w14:paraId="2C7E211A">
            <w:pPr>
              <w:widowControl/>
              <w:jc w:val="left"/>
              <w:rPr>
                <w:rFonts w:ascii="宋体" w:hAnsi="宋体" w:cs="宋体"/>
                <w:color w:val="000000"/>
                <w:kern w:val="0"/>
                <w:sz w:val="20"/>
                <w:szCs w:val="20"/>
              </w:rPr>
            </w:pPr>
            <w:r>
              <w:rPr>
                <w:rFonts w:hint="eastAsia" w:ascii="宋体" w:hAnsi="宋体" w:cs="宋体"/>
                <w:color w:val="000000"/>
                <w:kern w:val="0"/>
                <w:sz w:val="20"/>
                <w:szCs w:val="20"/>
              </w:rPr>
              <w:t>经调查属实，一次学生有理由投诉扣除5分，发生二次以上者按辞退处理，并保留追责权力。</w:t>
            </w:r>
          </w:p>
        </w:tc>
        <w:tc>
          <w:tcPr>
            <w:tcW w:w="1040" w:type="dxa"/>
            <w:tcBorders>
              <w:top w:val="single" w:color="auto" w:sz="4" w:space="0"/>
              <w:left w:val="nil"/>
              <w:bottom w:val="single" w:color="auto" w:sz="4" w:space="0"/>
              <w:right w:val="single" w:color="auto" w:sz="4" w:space="0"/>
            </w:tcBorders>
            <w:noWrap w:val="0"/>
            <w:vAlign w:val="center"/>
          </w:tcPr>
          <w:p w14:paraId="677BAF92">
            <w:pPr>
              <w:widowControl/>
              <w:jc w:val="center"/>
              <w:rPr>
                <w:rFonts w:ascii="宋体" w:hAnsi="宋体" w:cs="宋体"/>
                <w:color w:val="000000"/>
                <w:kern w:val="0"/>
                <w:sz w:val="20"/>
                <w:szCs w:val="20"/>
              </w:rPr>
            </w:pPr>
            <w:r>
              <w:rPr>
                <w:rFonts w:hint="eastAsia" w:ascii="宋体" w:hAnsi="宋体" w:cs="宋体"/>
                <w:color w:val="000000"/>
                <w:kern w:val="0"/>
                <w:sz w:val="20"/>
                <w:szCs w:val="20"/>
              </w:rPr>
              <w:t>每周抽查</w:t>
            </w:r>
          </w:p>
        </w:tc>
        <w:tc>
          <w:tcPr>
            <w:tcW w:w="1100" w:type="dxa"/>
            <w:tcBorders>
              <w:top w:val="single" w:color="auto" w:sz="4" w:space="0"/>
              <w:left w:val="nil"/>
              <w:bottom w:val="single" w:color="auto" w:sz="4" w:space="0"/>
              <w:right w:val="single" w:color="auto" w:sz="4" w:space="0"/>
            </w:tcBorders>
            <w:noWrap/>
            <w:vAlign w:val="center"/>
          </w:tcPr>
          <w:p w14:paraId="3B911D9E">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noWrap w:val="0"/>
            <w:vAlign w:val="center"/>
          </w:tcPr>
          <w:p w14:paraId="1788180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single" w:color="auto" w:sz="4" w:space="0"/>
              <w:left w:val="nil"/>
              <w:bottom w:val="single" w:color="auto" w:sz="4" w:space="0"/>
              <w:right w:val="single" w:color="auto" w:sz="4" w:space="0"/>
            </w:tcBorders>
            <w:noWrap w:val="0"/>
            <w:vAlign w:val="center"/>
          </w:tcPr>
          <w:p w14:paraId="1D08F37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single" w:color="auto" w:sz="4" w:space="0"/>
              <w:left w:val="nil"/>
              <w:bottom w:val="single" w:color="auto" w:sz="4" w:space="0"/>
              <w:right w:val="single" w:color="auto" w:sz="4" w:space="0"/>
            </w:tcBorders>
            <w:noWrap/>
            <w:vAlign w:val="center"/>
          </w:tcPr>
          <w:p w14:paraId="017348E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412F09F6">
        <w:tblPrEx>
          <w:tblCellMar>
            <w:top w:w="0" w:type="dxa"/>
            <w:left w:w="108" w:type="dxa"/>
            <w:bottom w:w="0" w:type="dxa"/>
            <w:right w:w="108" w:type="dxa"/>
          </w:tblCellMar>
        </w:tblPrEx>
        <w:trPr>
          <w:trHeight w:val="126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3452CD0">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c>
          <w:tcPr>
            <w:tcW w:w="14471" w:type="dxa"/>
            <w:gridSpan w:val="10"/>
            <w:tcBorders>
              <w:top w:val="single" w:color="auto" w:sz="4" w:space="0"/>
              <w:left w:val="nil"/>
              <w:bottom w:val="single" w:color="auto" w:sz="4" w:space="0"/>
              <w:right w:val="single" w:color="auto" w:sz="4" w:space="0"/>
            </w:tcBorders>
            <w:noWrap w:val="0"/>
            <w:vAlign w:val="center"/>
          </w:tcPr>
          <w:p w14:paraId="0856CCCE">
            <w:pPr>
              <w:widowControl/>
              <w:jc w:val="left"/>
              <w:rPr>
                <w:rFonts w:ascii="宋体" w:hAnsi="宋体" w:cs="宋体"/>
                <w:color w:val="000000"/>
                <w:kern w:val="0"/>
                <w:sz w:val="20"/>
                <w:szCs w:val="20"/>
              </w:rPr>
            </w:pPr>
            <w:r>
              <w:rPr>
                <w:rFonts w:hint="eastAsia" w:ascii="宋体" w:hAnsi="宋体" w:cs="宋体"/>
                <w:color w:val="000000"/>
                <w:kern w:val="0"/>
                <w:sz w:val="20"/>
                <w:szCs w:val="20"/>
              </w:rPr>
              <w:t>1、扣除分数不超过单项分值上限。</w:t>
            </w:r>
          </w:p>
          <w:p w14:paraId="607C0E5C">
            <w:pPr>
              <w:widowControl/>
              <w:jc w:val="left"/>
              <w:rPr>
                <w:rFonts w:ascii="宋体" w:hAnsi="宋体" w:cs="宋体"/>
                <w:color w:val="000000"/>
                <w:kern w:val="0"/>
                <w:sz w:val="20"/>
                <w:szCs w:val="20"/>
              </w:rPr>
            </w:pPr>
            <w:r>
              <w:rPr>
                <w:rFonts w:hint="eastAsia" w:ascii="宋体" w:hAnsi="宋体" w:cs="宋体"/>
                <w:color w:val="000000"/>
                <w:kern w:val="0"/>
                <w:sz w:val="20"/>
                <w:szCs w:val="20"/>
              </w:rPr>
              <w:t>2、按照考核周期，由服务公司和学工部工作人员共同开展；每次考核不合格给予整改通知单；连续2次考核不合格，视情节轻重，按照约定进行扣除，累计考核不合格达到5次及以上，学校有权终止合同。</w:t>
            </w:r>
          </w:p>
        </w:tc>
      </w:tr>
    </w:tbl>
    <w:p w14:paraId="73AF321C">
      <w:pPr>
        <w:pStyle w:val="260"/>
        <w:rPr>
          <w:rFonts w:eastAsia="宋体"/>
        </w:rPr>
      </w:pPr>
    </w:p>
    <w:p w14:paraId="1D050741"/>
    <w:p w14:paraId="2C58560B">
      <w:pPr>
        <w:pStyle w:val="17"/>
        <w:sectPr>
          <w:pgSz w:w="16838" w:h="11906" w:orient="landscape"/>
          <w:pgMar w:top="1800" w:right="1440" w:bottom="1800" w:left="1440" w:header="851" w:footer="992" w:gutter="0"/>
          <w:cols w:space="720" w:num="1"/>
          <w:docGrid w:type="lines" w:linePitch="312" w:charSpace="0"/>
        </w:sectPr>
      </w:pPr>
    </w:p>
    <w:p w14:paraId="3C8958EC">
      <w:pPr>
        <w:spacing w:line="520" w:lineRule="exact"/>
        <w:rPr>
          <w:rFonts w:cs="仿宋"/>
          <w:b/>
          <w:sz w:val="28"/>
          <w:szCs w:val="28"/>
        </w:rPr>
      </w:pPr>
      <w:r>
        <w:rPr>
          <w:rFonts w:hint="eastAsia" w:cs="仿宋"/>
          <w:b/>
          <w:sz w:val="28"/>
          <w:szCs w:val="28"/>
        </w:rPr>
        <w:t>附件3</w:t>
      </w:r>
    </w:p>
    <w:p w14:paraId="4F790354">
      <w:pPr>
        <w:spacing w:line="520" w:lineRule="exact"/>
        <w:jc w:val="center"/>
        <w:rPr>
          <w:rFonts w:cs="仿宋"/>
          <w:b/>
          <w:sz w:val="28"/>
          <w:szCs w:val="28"/>
        </w:rPr>
      </w:pPr>
      <w:r>
        <w:rPr>
          <w:rFonts w:hint="eastAsia" w:cs="仿宋"/>
          <w:b/>
          <w:sz w:val="28"/>
          <w:szCs w:val="28"/>
        </w:rPr>
        <w:t>学生公寓标准化管理项目安全生产协议</w:t>
      </w:r>
    </w:p>
    <w:p w14:paraId="786FE315">
      <w:pPr>
        <w:spacing w:line="520" w:lineRule="exact"/>
        <w:rPr>
          <w:rFonts w:cs="仿宋"/>
          <w:b/>
          <w:sz w:val="32"/>
          <w:szCs w:val="32"/>
        </w:rPr>
      </w:pPr>
    </w:p>
    <w:p w14:paraId="4F067EAC">
      <w:pPr>
        <w:spacing w:line="520" w:lineRule="exact"/>
        <w:rPr>
          <w:rFonts w:ascii="宋体" w:hAnsi="宋体" w:cs="宋体"/>
          <w:b/>
          <w:bCs/>
          <w:sz w:val="24"/>
        </w:rPr>
      </w:pPr>
      <w:r>
        <w:rPr>
          <w:rFonts w:hint="eastAsia" w:ascii="宋体" w:hAnsi="宋体" w:cs="宋体"/>
          <w:b/>
          <w:bCs/>
          <w:sz w:val="24"/>
        </w:rPr>
        <w:t>甲方：北京劳动保障职业学院</w:t>
      </w:r>
    </w:p>
    <w:p w14:paraId="4692B8A9">
      <w:pPr>
        <w:spacing w:line="520" w:lineRule="exact"/>
        <w:rPr>
          <w:rFonts w:hint="eastAsia" w:ascii="宋体" w:hAnsi="宋体" w:cs="宋体"/>
          <w:b/>
          <w:sz w:val="24"/>
        </w:rPr>
      </w:pPr>
      <w:r>
        <w:rPr>
          <w:rFonts w:hint="eastAsia" w:ascii="宋体" w:hAnsi="宋体" w:cs="宋体"/>
          <w:b/>
          <w:bCs/>
          <w:sz w:val="24"/>
        </w:rPr>
        <w:t>乙方：</w:t>
      </w:r>
    </w:p>
    <w:p w14:paraId="3FA762E1">
      <w:pPr>
        <w:spacing w:line="520" w:lineRule="exact"/>
        <w:ind w:firstLine="600"/>
        <w:rPr>
          <w:rFonts w:ascii="宋体" w:hAnsi="宋体" w:cs="宋体"/>
          <w:sz w:val="24"/>
        </w:rPr>
      </w:pPr>
      <w:r>
        <w:rPr>
          <w:rFonts w:hint="eastAsia" w:ascii="宋体" w:hAnsi="宋体" w:cs="宋体"/>
          <w:sz w:val="24"/>
        </w:rPr>
        <w:t>为了确保学生公寓标准化管理过程安全，强化安全生产责任，依据《中华人民共和国安全生产法》《中华人民共和国民法典》及相关法律法规和甲方的规章制度要求，本着平等自愿的原则，经双方协商一致达成以下安全协议：</w:t>
      </w:r>
    </w:p>
    <w:p w14:paraId="6FE81174">
      <w:pPr>
        <w:pStyle w:val="76"/>
        <w:spacing w:line="520" w:lineRule="exact"/>
        <w:ind w:firstLine="482"/>
        <w:rPr>
          <w:rFonts w:ascii="宋体" w:hAnsi="宋体" w:cs="宋体"/>
          <w:b/>
          <w:sz w:val="24"/>
        </w:rPr>
      </w:pPr>
      <w:r>
        <w:rPr>
          <w:rFonts w:hint="eastAsia" w:ascii="宋体" w:hAnsi="宋体" w:cs="宋体"/>
          <w:b/>
          <w:sz w:val="24"/>
        </w:rPr>
        <w:t>一、工作内容</w:t>
      </w:r>
    </w:p>
    <w:p w14:paraId="1F66B7F1">
      <w:pPr>
        <w:spacing w:line="52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甲方与乙方存在学生公寓标准化管理项目的合同关系，乙方的派驻的宿管人员与甲方无雇佣关系。</w:t>
      </w:r>
    </w:p>
    <w:p w14:paraId="68C78337">
      <w:pPr>
        <w:spacing w:line="52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乙方派驻的宿管人员在甲方指定的范围内从事学生公寓标准化管理工作。</w:t>
      </w:r>
    </w:p>
    <w:p w14:paraId="56D1D8D0">
      <w:pPr>
        <w:spacing w:line="52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乙方确保工作、生活环境干净整洁，无残留垃圾。</w:t>
      </w:r>
    </w:p>
    <w:p w14:paraId="535C0723">
      <w:pPr>
        <w:pStyle w:val="76"/>
        <w:spacing w:line="520" w:lineRule="exact"/>
        <w:ind w:firstLine="480"/>
        <w:rPr>
          <w:rFonts w:ascii="宋体" w:hAnsi="宋体" w:cs="宋体"/>
          <w:b/>
          <w:sz w:val="24"/>
        </w:rPr>
      </w:pPr>
      <w:r>
        <w:rPr>
          <w:rFonts w:hint="eastAsia" w:ascii="宋体" w:hAnsi="宋体" w:cs="宋体"/>
          <w:sz w:val="24"/>
        </w:rPr>
        <w:t>4</w:t>
      </w:r>
      <w:r>
        <w:rPr>
          <w:rFonts w:ascii="宋体" w:hAnsi="宋体" w:cs="宋体"/>
          <w:sz w:val="24"/>
        </w:rPr>
        <w:t>.</w:t>
      </w:r>
      <w:r>
        <w:rPr>
          <w:rFonts w:hint="eastAsia" w:ascii="宋体" w:hAnsi="宋体" w:cs="宋体"/>
          <w:sz w:val="24"/>
        </w:rPr>
        <w:t>乙方与其派驻的宿管人员签订合法的劳动合同，并负责宿管人员的劳动防护，乙方的宿管人员应遵守操作规程、生产劳动纪律和职业道德。</w:t>
      </w:r>
    </w:p>
    <w:p w14:paraId="5756D594">
      <w:pPr>
        <w:pStyle w:val="76"/>
        <w:spacing w:line="520" w:lineRule="exact"/>
        <w:ind w:firstLine="482"/>
        <w:rPr>
          <w:rFonts w:ascii="宋体" w:hAnsi="宋体" w:cs="宋体"/>
          <w:b/>
          <w:sz w:val="24"/>
        </w:rPr>
      </w:pPr>
      <w:r>
        <w:rPr>
          <w:rFonts w:hint="eastAsia" w:ascii="宋体" w:hAnsi="宋体" w:cs="宋体"/>
          <w:b/>
          <w:sz w:val="24"/>
        </w:rPr>
        <w:t>二、甲方的权利和义务</w:t>
      </w:r>
    </w:p>
    <w:p w14:paraId="10CDA1DB">
      <w:pPr>
        <w:spacing w:line="52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甲方有权监督乙方对宿管人员进行安全教育。</w:t>
      </w:r>
    </w:p>
    <w:p w14:paraId="1CA65854">
      <w:pPr>
        <w:spacing w:line="52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甲方有权了解乙方宿管人员的身体健康状况，对带病作业的宿管人员甲方有权予以制止并要求乙方及时更换。</w:t>
      </w:r>
    </w:p>
    <w:p w14:paraId="3916C605">
      <w:pPr>
        <w:spacing w:line="52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甲方有权对乙方宿管人员劳保穿戴及工作、行为举止情况进行检查，对不符合规范要求的行为进行相应提示和劝诫。对不听劝诫的，甲方有权拒绝进入校园并要求乙方及时更换人员。</w:t>
      </w:r>
    </w:p>
    <w:p w14:paraId="7D21D08D">
      <w:pPr>
        <w:spacing w:line="52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甲方有权检查乙方宿管人员的身份信息，有效健康证。</w:t>
      </w:r>
    </w:p>
    <w:p w14:paraId="6E421230">
      <w:pPr>
        <w:pStyle w:val="76"/>
        <w:spacing w:line="520" w:lineRule="exact"/>
        <w:ind w:firstLine="482"/>
        <w:rPr>
          <w:rFonts w:ascii="宋体" w:hAnsi="宋体" w:cs="宋体"/>
          <w:b/>
          <w:sz w:val="24"/>
        </w:rPr>
      </w:pPr>
      <w:r>
        <w:rPr>
          <w:rFonts w:hint="eastAsia" w:ascii="宋体" w:hAnsi="宋体" w:cs="宋体"/>
          <w:b/>
          <w:sz w:val="24"/>
        </w:rPr>
        <w:t>三、乙方的权利和义务</w:t>
      </w:r>
    </w:p>
    <w:p w14:paraId="76D4FE6B">
      <w:pPr>
        <w:spacing w:line="52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乙方应对宿管人员进行安全操作规程和安全生产教育，对因违规违章等原因造成经济损失人员伤亡的安全生产事故，由乙方承担。甲方无责，造成甲方损失的，乙方要按价赔偿。</w:t>
      </w:r>
    </w:p>
    <w:p w14:paraId="68C55AE9">
      <w:pPr>
        <w:spacing w:line="52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乙方应监督宿管人员严格遵守甲方的各项规章制度和有关要求。</w:t>
      </w:r>
    </w:p>
    <w:p w14:paraId="61780A07">
      <w:pPr>
        <w:spacing w:line="52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乙方有权拒绝甲方人员安排的冒险作业和违章指挥作业。</w:t>
      </w:r>
    </w:p>
    <w:p w14:paraId="38BCEBF9">
      <w:pPr>
        <w:spacing w:line="52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乙方有权了解甲方工作场所现场的危险、危害因素，乙方有权要求甲方提供工作上合理的便利及必要的帮助和提示，征得甲方同意后甲方应予配合。</w:t>
      </w:r>
    </w:p>
    <w:p w14:paraId="344535D7">
      <w:pPr>
        <w:spacing w:line="520" w:lineRule="exact"/>
        <w:ind w:firstLine="480" w:firstLineChars="2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乙方严格控制进入作业区域的宿管人员的数量，无关人员严禁进入，有关人员必须办理出入证，方可进入。乙方宿管人员不得在甲方内做与工作无关的事，不得从事违法犯罪活动。</w:t>
      </w:r>
    </w:p>
    <w:p w14:paraId="212ED606">
      <w:pPr>
        <w:spacing w:line="52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涉及各类需要执证上岗相关作业的，乙方必须安排有资质的特种作业人员持证上岗作业。</w:t>
      </w:r>
    </w:p>
    <w:p w14:paraId="6D98E612">
      <w:pPr>
        <w:spacing w:line="520" w:lineRule="exact"/>
        <w:rPr>
          <w:rFonts w:ascii="宋体" w:hAnsi="宋体" w:cs="宋体"/>
          <w:b/>
          <w:bCs/>
          <w:sz w:val="24"/>
        </w:rPr>
      </w:pPr>
      <w:r>
        <w:rPr>
          <w:rFonts w:hint="eastAsia" w:ascii="宋体" w:hAnsi="宋体" w:cs="宋体"/>
          <w:b/>
          <w:bCs/>
          <w:sz w:val="24"/>
        </w:rPr>
        <w:t>四、有效期限</w:t>
      </w:r>
    </w:p>
    <w:p w14:paraId="388E681A">
      <w:pPr>
        <w:spacing w:line="520" w:lineRule="exact"/>
        <w:ind w:firstLine="480" w:firstLineChars="200"/>
        <w:rPr>
          <w:rFonts w:ascii="宋体" w:hAnsi="宋体" w:cs="宋体"/>
          <w:b/>
          <w:bCs/>
          <w:sz w:val="24"/>
        </w:rPr>
      </w:pPr>
      <w:r>
        <w:rPr>
          <w:rFonts w:hint="eastAsia" w:ascii="宋体" w:hAnsi="宋体" w:cs="宋体"/>
          <w:sz w:val="24"/>
        </w:rPr>
        <w:t>本安全生产协议的有效期为202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8</w:t>
      </w:r>
      <w:r>
        <w:rPr>
          <w:rFonts w:hint="eastAsia" w:ascii="宋体" w:hAnsi="宋体" w:cs="宋体"/>
          <w:sz w:val="24"/>
        </w:rPr>
        <w:t>月1日起至 202</w:t>
      </w:r>
      <w:r>
        <w:rPr>
          <w:rFonts w:hint="eastAsia" w:ascii="宋体" w:hAnsi="宋体" w:cs="宋体"/>
          <w:sz w:val="24"/>
          <w:lang w:val="en-US" w:eastAsia="zh-CN"/>
        </w:rPr>
        <w:t>6</w:t>
      </w:r>
      <w:r>
        <w:rPr>
          <w:rFonts w:hint="eastAsia" w:ascii="宋体" w:hAnsi="宋体" w:cs="宋体"/>
          <w:sz w:val="24"/>
        </w:rPr>
        <w:t>年7月31日止。</w:t>
      </w:r>
    </w:p>
    <w:p w14:paraId="0405D987">
      <w:pPr>
        <w:spacing w:line="520" w:lineRule="exact"/>
        <w:ind w:firstLine="480" w:firstLineChars="200"/>
        <w:rPr>
          <w:rFonts w:ascii="宋体" w:hAnsi="宋体" w:cs="宋体"/>
          <w:sz w:val="24"/>
        </w:rPr>
      </w:pPr>
      <w:r>
        <w:rPr>
          <w:rFonts w:hint="eastAsia" w:ascii="宋体" w:hAnsi="宋体" w:cs="宋体"/>
          <w:sz w:val="24"/>
        </w:rPr>
        <w:t xml:space="preserve">本协议一式两份，由甲乙双方各执一份，具有同等法律效力，自甲乙双方加盖公章且法定代表人签字之日起生效。 </w:t>
      </w:r>
    </w:p>
    <w:p w14:paraId="49A81379">
      <w:pPr>
        <w:pStyle w:val="76"/>
        <w:spacing w:line="520" w:lineRule="exact"/>
        <w:ind w:firstLine="482"/>
        <w:rPr>
          <w:rFonts w:ascii="宋体" w:hAnsi="宋体" w:cs="宋体"/>
          <w:b/>
          <w:sz w:val="24"/>
        </w:rPr>
      </w:pPr>
      <w:r>
        <w:rPr>
          <w:rFonts w:hint="eastAsia" w:ascii="宋体" w:hAnsi="宋体" w:cs="宋体"/>
          <w:b/>
          <w:sz w:val="24"/>
        </w:rPr>
        <w:t>未尽事宜，双方根据现场情况协商解决。</w:t>
      </w:r>
    </w:p>
    <w:p w14:paraId="76E7227E">
      <w:pPr>
        <w:pStyle w:val="76"/>
        <w:spacing w:line="520" w:lineRule="exact"/>
        <w:ind w:firstLine="482"/>
        <w:rPr>
          <w:rFonts w:ascii="宋体" w:hAnsi="宋体" w:cs="宋体"/>
          <w:b/>
          <w:sz w:val="24"/>
        </w:rPr>
      </w:pPr>
      <w:r>
        <w:rPr>
          <w:rFonts w:hint="eastAsia" w:ascii="宋体" w:hAnsi="宋体" w:cs="宋体"/>
          <w:b/>
          <w:sz w:val="24"/>
        </w:rPr>
        <w:t>（以下无正文）</w:t>
      </w:r>
    </w:p>
    <w:p w14:paraId="6DF6D2BE">
      <w:pPr>
        <w:spacing w:line="520" w:lineRule="exact"/>
        <w:ind w:left="5831" w:leftChars="228" w:hanging="5352" w:hangingChars="2230"/>
        <w:rPr>
          <w:rFonts w:ascii="宋体" w:hAnsi="宋体" w:cs="宋体"/>
          <w:sz w:val="24"/>
        </w:rPr>
      </w:pPr>
      <w:r>
        <w:rPr>
          <w:rFonts w:hint="eastAsia" w:ascii="宋体" w:hAnsi="宋体" w:cs="宋体"/>
          <w:sz w:val="24"/>
        </w:rPr>
        <w:t xml:space="preserve">甲方单位：（盖章）北京劳动保障职业学院 </w:t>
      </w:r>
      <w:r>
        <w:rPr>
          <w:rFonts w:ascii="宋体" w:hAnsi="宋体" w:cs="宋体"/>
          <w:sz w:val="24"/>
        </w:rPr>
        <w:t xml:space="preserve"> </w:t>
      </w:r>
      <w:r>
        <w:rPr>
          <w:rFonts w:hint="eastAsia" w:ascii="宋体" w:hAnsi="宋体" w:cs="宋体"/>
          <w:sz w:val="24"/>
        </w:rPr>
        <w:t xml:space="preserve">  乙方单位：（盖章）</w:t>
      </w:r>
      <w:r>
        <w:rPr>
          <w:rFonts w:ascii="宋体" w:hAnsi="宋体" w:cs="宋体"/>
          <w:sz w:val="24"/>
        </w:rPr>
        <w:t xml:space="preserve">                       </w:t>
      </w:r>
    </w:p>
    <w:p w14:paraId="7DAE683D">
      <w:pPr>
        <w:spacing w:line="520" w:lineRule="exact"/>
        <w:ind w:firstLine="480" w:firstLineChars="200"/>
        <w:rPr>
          <w:rFonts w:ascii="宋体" w:hAnsi="宋体" w:cs="宋体"/>
          <w:sz w:val="24"/>
        </w:rPr>
      </w:pPr>
      <w:r>
        <w:rPr>
          <w:rFonts w:hint="eastAsia" w:ascii="宋体" w:hAnsi="宋体" w:cs="宋体"/>
          <w:sz w:val="24"/>
        </w:rPr>
        <w:t xml:space="preserve">法定代表人：                  </w:t>
      </w:r>
      <w:r>
        <w:rPr>
          <w:rFonts w:ascii="宋体" w:hAnsi="宋体" w:cs="宋体"/>
          <w:sz w:val="24"/>
        </w:rPr>
        <w:t xml:space="preserve">  </w:t>
      </w:r>
      <w:r>
        <w:rPr>
          <w:rFonts w:hint="eastAsia" w:ascii="宋体" w:hAnsi="宋体" w:cs="宋体"/>
          <w:sz w:val="24"/>
        </w:rPr>
        <w:t xml:space="preserve">        法定代表人：</w:t>
      </w:r>
    </w:p>
    <w:p w14:paraId="1DF6EED7">
      <w:pPr>
        <w:spacing w:line="520" w:lineRule="exact"/>
        <w:ind w:firstLine="480" w:firstLineChars="200"/>
        <w:rPr>
          <w:rFonts w:ascii="宋体" w:hAnsi="宋体" w:cs="宋体"/>
          <w:sz w:val="24"/>
        </w:rPr>
      </w:pPr>
      <w:r>
        <w:rPr>
          <w:rFonts w:hint="eastAsia" w:ascii="宋体" w:hAnsi="宋体" w:cs="宋体"/>
          <w:sz w:val="24"/>
        </w:rPr>
        <w:t xml:space="preserve">委托人：　　　　　　　　　    </w:t>
      </w:r>
      <w:r>
        <w:rPr>
          <w:rFonts w:ascii="宋体" w:hAnsi="宋体" w:cs="宋体"/>
          <w:sz w:val="24"/>
        </w:rPr>
        <w:t xml:space="preserve">  </w:t>
      </w:r>
      <w:r>
        <w:rPr>
          <w:rFonts w:hint="eastAsia" w:ascii="宋体" w:hAnsi="宋体" w:cs="宋体"/>
          <w:sz w:val="24"/>
        </w:rPr>
        <w:t xml:space="preserve">        委托人：</w:t>
      </w:r>
    </w:p>
    <w:p w14:paraId="79D58214">
      <w:pPr>
        <w:spacing w:line="520" w:lineRule="exact"/>
        <w:ind w:left="5279" w:leftChars="228" w:hanging="4800" w:hangingChars="2000"/>
        <w:rPr>
          <w:rFonts w:ascii="宋体" w:hAnsi="宋体" w:cs="宋体"/>
          <w:sz w:val="24"/>
        </w:rPr>
      </w:pPr>
      <w:r>
        <w:rPr>
          <w:rFonts w:hint="eastAsia" w:ascii="宋体" w:hAnsi="宋体" w:cs="宋体"/>
          <w:sz w:val="24"/>
        </w:rPr>
        <w:t>地址：北京市朝</w:t>
      </w:r>
      <w:r>
        <w:rPr>
          <w:rFonts w:ascii="宋体" w:hAnsi="宋体" w:cs="宋体"/>
          <w:sz w:val="24"/>
        </w:rPr>
        <w:t>阳</w:t>
      </w:r>
      <w:r>
        <w:rPr>
          <w:rFonts w:hint="eastAsia" w:ascii="宋体" w:hAnsi="宋体" w:cs="宋体"/>
          <w:sz w:val="24"/>
        </w:rPr>
        <w:t>区惠</w:t>
      </w:r>
      <w:r>
        <w:rPr>
          <w:rFonts w:ascii="宋体" w:hAnsi="宋体" w:cs="宋体"/>
          <w:sz w:val="24"/>
        </w:rPr>
        <w:t>新东</w:t>
      </w:r>
      <w:r>
        <w:rPr>
          <w:rFonts w:hint="eastAsia" w:ascii="宋体" w:hAnsi="宋体" w:cs="宋体"/>
          <w:sz w:val="24"/>
        </w:rPr>
        <w:t xml:space="preserve">街5号 </w:t>
      </w:r>
      <w:r>
        <w:rPr>
          <w:rFonts w:ascii="宋体" w:hAnsi="宋体" w:cs="宋体"/>
          <w:sz w:val="24"/>
        </w:rPr>
        <w:t xml:space="preserve">     </w:t>
      </w:r>
      <w:r>
        <w:rPr>
          <w:rFonts w:hint="eastAsia" w:ascii="宋体" w:hAnsi="宋体" w:cs="宋体"/>
          <w:sz w:val="24"/>
        </w:rPr>
        <w:t xml:space="preserve">    地址：</w:t>
      </w:r>
      <w:r>
        <w:rPr>
          <w:rFonts w:ascii="宋体" w:hAnsi="宋体" w:cs="宋体"/>
          <w:sz w:val="24"/>
        </w:rPr>
        <w:t xml:space="preserve">                       </w:t>
      </w:r>
    </w:p>
    <w:p w14:paraId="4613C002">
      <w:pPr>
        <w:spacing w:line="520" w:lineRule="exact"/>
        <w:ind w:firstLine="480" w:firstLineChars="200"/>
        <w:rPr>
          <w:rFonts w:ascii="宋体" w:hAnsi="宋体" w:cs="宋体"/>
          <w:sz w:val="24"/>
        </w:rPr>
      </w:pPr>
      <w:r>
        <w:rPr>
          <w:rFonts w:hint="eastAsia" w:ascii="宋体" w:hAnsi="宋体" w:cs="宋体"/>
          <w:sz w:val="24"/>
        </w:rPr>
        <w:t xml:space="preserve">电话：010-80114099      　　　        </w:t>
      </w:r>
      <w:r>
        <w:rPr>
          <w:rFonts w:ascii="宋体" w:hAnsi="宋体" w:cs="宋体"/>
          <w:sz w:val="24"/>
        </w:rPr>
        <w:t xml:space="preserve"> </w:t>
      </w:r>
      <w:r>
        <w:rPr>
          <w:rFonts w:hint="eastAsia" w:ascii="宋体" w:hAnsi="宋体" w:cs="宋体"/>
          <w:sz w:val="24"/>
        </w:rPr>
        <w:t xml:space="preserve"> 电话：</w:t>
      </w:r>
    </w:p>
    <w:p w14:paraId="2A29DE67">
      <w:pPr>
        <w:spacing w:line="520" w:lineRule="exact"/>
        <w:ind w:firstLine="480" w:firstLineChars="200"/>
        <w:rPr>
          <w:rFonts w:ascii="宋体" w:hAnsi="宋体" w:cs="宋体"/>
          <w:sz w:val="24"/>
        </w:rPr>
      </w:pPr>
      <w:r>
        <w:rPr>
          <w:rFonts w:hint="eastAsia" w:ascii="宋体" w:hAnsi="宋体" w:cs="宋体"/>
          <w:sz w:val="24"/>
        </w:rPr>
        <w:t xml:space="preserve">年　 月　 日　　　　　　　　　 </w:t>
      </w:r>
      <w:r>
        <w:rPr>
          <w:rFonts w:ascii="宋体" w:hAnsi="宋体" w:cs="宋体"/>
          <w:sz w:val="24"/>
        </w:rPr>
        <w:t xml:space="preserve">            </w:t>
      </w:r>
      <w:r>
        <w:rPr>
          <w:rFonts w:hint="eastAsia" w:ascii="宋体" w:hAnsi="宋体" w:cs="宋体"/>
          <w:sz w:val="24"/>
        </w:rPr>
        <w:t xml:space="preserve">年　 月 　日 </w:t>
      </w:r>
    </w:p>
    <w:p w14:paraId="5556F0D0">
      <w:pPr>
        <w:widowControl/>
        <w:jc w:val="left"/>
        <w:rPr>
          <w:rFonts w:cs="仿宋"/>
          <w:b/>
          <w:bCs/>
          <w:sz w:val="28"/>
          <w:szCs w:val="28"/>
        </w:rPr>
      </w:pPr>
      <w:r>
        <w:rPr>
          <w:rFonts w:cs="仿宋"/>
          <w:sz w:val="28"/>
          <w:szCs w:val="28"/>
        </w:rPr>
        <w:br w:type="page"/>
      </w:r>
      <w:r>
        <w:rPr>
          <w:rFonts w:hint="eastAsia" w:cs="仿宋"/>
          <w:b/>
          <w:bCs/>
          <w:sz w:val="28"/>
          <w:szCs w:val="28"/>
        </w:rPr>
        <w:t>附件4</w:t>
      </w:r>
    </w:p>
    <w:p w14:paraId="62ABDFC9">
      <w:pPr>
        <w:spacing w:line="520" w:lineRule="exact"/>
        <w:jc w:val="center"/>
        <w:rPr>
          <w:rFonts w:cs="仿宋"/>
          <w:b/>
          <w:bCs/>
          <w:sz w:val="32"/>
          <w:szCs w:val="32"/>
        </w:rPr>
      </w:pPr>
      <w:r>
        <w:rPr>
          <w:rFonts w:hint="eastAsia" w:cs="仿宋"/>
          <w:b/>
          <w:bCs/>
          <w:sz w:val="32"/>
          <w:szCs w:val="32"/>
        </w:rPr>
        <w:t>学生公寓标准化管理项目廉政责任书</w:t>
      </w:r>
    </w:p>
    <w:p w14:paraId="7FA3FA99">
      <w:pPr>
        <w:spacing w:line="520" w:lineRule="exact"/>
        <w:rPr>
          <w:rFonts w:ascii="宋体" w:hAnsi="宋体" w:cs="宋体"/>
          <w:b/>
          <w:bCs/>
          <w:sz w:val="24"/>
        </w:rPr>
      </w:pPr>
      <w:r>
        <w:rPr>
          <w:rFonts w:hint="eastAsia" w:ascii="宋体" w:hAnsi="宋体" w:cs="宋体"/>
          <w:b/>
          <w:bCs/>
          <w:sz w:val="24"/>
        </w:rPr>
        <w:t>甲方：北京劳动保障职业学院</w:t>
      </w:r>
    </w:p>
    <w:p w14:paraId="5F9246C0">
      <w:pPr>
        <w:spacing w:line="520" w:lineRule="exact"/>
        <w:rPr>
          <w:rFonts w:hint="eastAsia" w:ascii="宋体" w:hAnsi="宋体" w:cs="宋体"/>
          <w:b/>
          <w:sz w:val="24"/>
        </w:rPr>
      </w:pPr>
      <w:r>
        <w:rPr>
          <w:rFonts w:hint="eastAsia" w:ascii="宋体" w:hAnsi="宋体" w:cs="宋体"/>
          <w:b/>
          <w:bCs/>
          <w:sz w:val="24"/>
        </w:rPr>
        <w:t>乙方：</w:t>
      </w:r>
    </w:p>
    <w:p w14:paraId="66F58B6E">
      <w:pPr>
        <w:spacing w:line="520" w:lineRule="exact"/>
        <w:ind w:firstLine="480" w:firstLineChars="200"/>
        <w:rPr>
          <w:rFonts w:ascii="宋体" w:hAnsi="宋体" w:cs="宋体"/>
          <w:sz w:val="24"/>
        </w:rPr>
      </w:pPr>
      <w:r>
        <w:rPr>
          <w:rFonts w:hint="eastAsia" w:ascii="宋体" w:hAnsi="宋体" w:cs="宋体"/>
          <w:sz w:val="24"/>
        </w:rPr>
        <w:t>为加强南北校区学生公寓标准化管理项目的廉政建设，规范甲乙双方的各项活动，防止发生各种谋取不正当利益的违法违纪行为，保护国家、集体和当事人的合法权益，根据国家有关的法律法规和廉政建设责任制规定，订立本廉政责任书。</w:t>
      </w:r>
    </w:p>
    <w:p w14:paraId="4C24272E">
      <w:pPr>
        <w:spacing w:line="520" w:lineRule="exact"/>
        <w:ind w:firstLine="482" w:firstLineChars="200"/>
        <w:rPr>
          <w:rFonts w:ascii="宋体" w:hAnsi="宋体" w:cs="宋体"/>
          <w:b/>
          <w:bCs/>
          <w:sz w:val="24"/>
        </w:rPr>
      </w:pPr>
      <w:r>
        <w:rPr>
          <w:rFonts w:hint="eastAsia" w:ascii="宋体" w:hAnsi="宋体" w:cs="宋体"/>
          <w:b/>
          <w:bCs/>
          <w:sz w:val="24"/>
        </w:rPr>
        <w:t xml:space="preserve"> 第一条　双方责任</w:t>
      </w:r>
    </w:p>
    <w:p w14:paraId="3A69C658">
      <w:pPr>
        <w:spacing w:line="520" w:lineRule="exact"/>
        <w:ind w:firstLine="480" w:firstLineChars="200"/>
        <w:rPr>
          <w:rFonts w:ascii="宋体" w:hAnsi="宋体" w:cs="宋体"/>
          <w:sz w:val="24"/>
        </w:rPr>
      </w:pPr>
      <w:r>
        <w:rPr>
          <w:rFonts w:hint="eastAsia" w:ascii="宋体" w:hAnsi="宋体" w:cs="宋体"/>
          <w:sz w:val="24"/>
        </w:rPr>
        <w:t xml:space="preserve">（一）应严格遵守国家有关法律、法规，相关政策，以及廉政建设的各项规定。 </w:t>
      </w:r>
    </w:p>
    <w:p w14:paraId="7D165CCD">
      <w:pPr>
        <w:spacing w:line="520" w:lineRule="exact"/>
        <w:ind w:firstLine="480" w:firstLineChars="200"/>
        <w:rPr>
          <w:rFonts w:ascii="宋体" w:hAnsi="宋体" w:cs="宋体"/>
          <w:sz w:val="24"/>
        </w:rPr>
      </w:pPr>
      <w:r>
        <w:rPr>
          <w:rFonts w:hint="eastAsia" w:ascii="宋体" w:hAnsi="宋体" w:cs="宋体"/>
          <w:sz w:val="24"/>
        </w:rPr>
        <w:t xml:space="preserve">（二）严格执行学生公寓标准管理项目合同文件，自觉履行合同的约定。 </w:t>
      </w:r>
    </w:p>
    <w:p w14:paraId="3676AD02">
      <w:pPr>
        <w:spacing w:line="520" w:lineRule="exact"/>
        <w:ind w:firstLine="480" w:firstLineChars="200"/>
        <w:rPr>
          <w:rFonts w:ascii="宋体" w:hAnsi="宋体" w:cs="宋体"/>
          <w:sz w:val="24"/>
        </w:rPr>
      </w:pPr>
      <w:r>
        <w:rPr>
          <w:rFonts w:hint="eastAsia" w:ascii="宋体" w:hAnsi="宋体" w:cs="宋体"/>
          <w:sz w:val="24"/>
        </w:rPr>
        <w:t xml:space="preserve">（三）服务期间必须坚持公平、公正、公开、诚信、透明的原则（除法律法规另有规定者外），不得为获取不正当的利益而损害国家、集体和对方利益；不得违反国家的法律规章制度。 </w:t>
      </w:r>
    </w:p>
    <w:p w14:paraId="48433095">
      <w:pPr>
        <w:spacing w:line="520" w:lineRule="exact"/>
        <w:ind w:firstLine="480" w:firstLineChars="200"/>
        <w:rPr>
          <w:rFonts w:ascii="宋体" w:hAnsi="宋体" w:cs="宋体"/>
          <w:sz w:val="24"/>
        </w:rPr>
      </w:pPr>
      <w:r>
        <w:rPr>
          <w:rFonts w:hint="eastAsia" w:ascii="宋体" w:hAnsi="宋体" w:cs="宋体"/>
          <w:sz w:val="24"/>
        </w:rPr>
        <w:t xml:space="preserve">（四）发现对方在服务期间中有违规、违纪、违法行为的，应及时纠正对方，情节严重的，应向其上级主管部门或院校纪检监察、司法等有关机关举报。 </w:t>
      </w:r>
    </w:p>
    <w:p w14:paraId="767670CD">
      <w:pPr>
        <w:spacing w:line="520" w:lineRule="exact"/>
        <w:ind w:firstLine="482" w:firstLineChars="200"/>
        <w:rPr>
          <w:rFonts w:ascii="宋体" w:hAnsi="宋体" w:cs="宋体"/>
          <w:b/>
          <w:bCs/>
          <w:sz w:val="24"/>
        </w:rPr>
      </w:pPr>
      <w:r>
        <w:rPr>
          <w:rFonts w:hint="eastAsia" w:ascii="宋体" w:hAnsi="宋体" w:cs="宋体"/>
          <w:b/>
          <w:bCs/>
          <w:sz w:val="24"/>
        </w:rPr>
        <w:t xml:space="preserve">第二条　甲方责任 </w:t>
      </w:r>
    </w:p>
    <w:p w14:paraId="7023F4EA">
      <w:pPr>
        <w:spacing w:line="520" w:lineRule="exact"/>
        <w:ind w:firstLine="480" w:firstLineChars="200"/>
        <w:rPr>
          <w:rFonts w:ascii="宋体" w:hAnsi="宋体" w:cs="宋体"/>
          <w:sz w:val="24"/>
        </w:rPr>
      </w:pPr>
      <w:r>
        <w:rPr>
          <w:rFonts w:hint="eastAsia" w:ascii="宋体" w:hAnsi="宋体" w:cs="宋体"/>
          <w:sz w:val="24"/>
        </w:rPr>
        <w:t xml:space="preserve">甲方的领导和从事该项目的管理部门及工作人员，在服务期间的事前、事中、事后应遵守以下规定： </w:t>
      </w:r>
    </w:p>
    <w:p w14:paraId="15199818">
      <w:pPr>
        <w:spacing w:line="520" w:lineRule="exact"/>
        <w:ind w:firstLine="480" w:firstLineChars="200"/>
        <w:rPr>
          <w:rFonts w:ascii="宋体" w:hAnsi="宋体" w:cs="宋体"/>
          <w:sz w:val="24"/>
        </w:rPr>
      </w:pPr>
      <w:r>
        <w:rPr>
          <w:rFonts w:hint="eastAsia" w:ascii="宋体" w:hAnsi="宋体" w:cs="宋体"/>
          <w:sz w:val="24"/>
        </w:rPr>
        <w:t xml:space="preserve">（一）不准向乙方和相关单位索要或接受回扣、礼金、有价证券、贵重物品和好处费、感谢费等。 </w:t>
      </w:r>
    </w:p>
    <w:p w14:paraId="488AC2B3">
      <w:pPr>
        <w:spacing w:line="520" w:lineRule="exact"/>
        <w:ind w:firstLine="480" w:firstLineChars="200"/>
        <w:rPr>
          <w:rFonts w:ascii="宋体" w:hAnsi="宋体" w:cs="宋体"/>
          <w:sz w:val="24"/>
        </w:rPr>
      </w:pPr>
      <w:r>
        <w:rPr>
          <w:rFonts w:hint="eastAsia" w:ascii="宋体" w:hAnsi="宋体" w:cs="宋体"/>
          <w:sz w:val="24"/>
        </w:rPr>
        <w:t xml:space="preserve">（二）不准在乙方和相关单位报销任何应由甲方或个人支付的费用。 </w:t>
      </w:r>
    </w:p>
    <w:p w14:paraId="2EBC6986">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（三）不准要求、暗示和接受乙方和相关单位为个人装修、住房、婚丧嫁娶、配偶子女的工作安排以及出国（境）、旅游等提供方便。 </w:t>
      </w:r>
    </w:p>
    <w:p w14:paraId="49D09350">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（四）不准参加有可能影响公正执行公务的乙方和相关单位的宴请和健身、娱乐等活动。 </w:t>
      </w:r>
    </w:p>
    <w:p w14:paraId="103A452B">
      <w:pPr>
        <w:tabs>
          <w:tab w:val="left" w:pos="2880"/>
        </w:tabs>
        <w:spacing w:line="520" w:lineRule="exact"/>
        <w:ind w:firstLine="480" w:firstLineChars="200"/>
        <w:rPr>
          <w:rFonts w:ascii="宋体" w:hAnsi="宋体" w:cs="宋体"/>
          <w:sz w:val="24"/>
        </w:rPr>
      </w:pPr>
      <w:r>
        <w:rPr>
          <w:rFonts w:hint="eastAsia" w:ascii="宋体" w:hAnsi="宋体" w:cs="宋体"/>
          <w:sz w:val="24"/>
        </w:rPr>
        <w:t>（五）不准向乙方推介或为配偶、子女、亲属参与同甲方项目工程施工合同有关的设备、材料、分包、劳务等经济活动。不得以任何理由向乙方和相关单位推荐分包单位和要求乙方购买项目合同规定以外事项等。</w:t>
      </w:r>
    </w:p>
    <w:p w14:paraId="5437D6AB">
      <w:pPr>
        <w:tabs>
          <w:tab w:val="left" w:pos="2880"/>
        </w:tabs>
        <w:spacing w:line="520" w:lineRule="exact"/>
        <w:ind w:firstLine="482" w:firstLineChars="200"/>
        <w:rPr>
          <w:rFonts w:ascii="宋体" w:hAnsi="宋体" w:cs="宋体"/>
          <w:b/>
          <w:bCs/>
          <w:sz w:val="24"/>
        </w:rPr>
      </w:pPr>
      <w:r>
        <w:rPr>
          <w:rFonts w:hint="eastAsia" w:ascii="宋体" w:hAnsi="宋体" w:cs="宋体"/>
          <w:b/>
          <w:bCs/>
          <w:sz w:val="24"/>
        </w:rPr>
        <w:t xml:space="preserve"> 第三条　乙方责任</w:t>
      </w:r>
    </w:p>
    <w:p w14:paraId="229F5604">
      <w:pPr>
        <w:tabs>
          <w:tab w:val="left" w:pos="2880"/>
        </w:tabs>
        <w:spacing w:line="520" w:lineRule="exact"/>
        <w:ind w:firstLine="480" w:firstLineChars="200"/>
        <w:rPr>
          <w:rFonts w:ascii="宋体" w:hAnsi="宋体" w:cs="宋体"/>
          <w:sz w:val="24"/>
        </w:rPr>
      </w:pPr>
      <w:r>
        <w:rPr>
          <w:rFonts w:hint="eastAsia" w:ascii="宋体" w:hAnsi="宋体" w:cs="宋体"/>
          <w:sz w:val="24"/>
        </w:rPr>
        <w:t>乙方与甲方保持正常的业务交往，按照有关法律法规和程序开展业务工作，并遵守以下规定：</w:t>
      </w:r>
    </w:p>
    <w:p w14:paraId="59045ED3">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 （一）不准以任何理由向甲方、相关单位及其工作人员赠送礼金、有价证券、贵重物品和回扣、好处费、感谢费等。 </w:t>
      </w:r>
    </w:p>
    <w:p w14:paraId="381220A9">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（二）不准以任何理由为甲方和相关单位报销应由对方或个人支付的费用。 </w:t>
      </w:r>
    </w:p>
    <w:p w14:paraId="264DB8D6">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（三）不准接受或暗示为甲方、相关单位或个人装修住房、婚丧嫁娶、配偶子女的工作安排以及出国（境）、旅游等提供方便。 </w:t>
      </w:r>
    </w:p>
    <w:p w14:paraId="578BB71D">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（四）不准以任何理由为甲方、相关单位或个人组织有可能影响公正执行公务的宴请、健身、娱乐等活动。 </w:t>
      </w:r>
    </w:p>
    <w:p w14:paraId="7F571D52">
      <w:pPr>
        <w:tabs>
          <w:tab w:val="left" w:pos="2880"/>
        </w:tabs>
        <w:spacing w:line="520" w:lineRule="exact"/>
        <w:ind w:firstLine="482" w:firstLineChars="200"/>
        <w:rPr>
          <w:rFonts w:ascii="宋体" w:hAnsi="宋体" w:cs="宋体"/>
          <w:b/>
          <w:bCs/>
          <w:sz w:val="24"/>
        </w:rPr>
      </w:pPr>
      <w:r>
        <w:rPr>
          <w:rFonts w:hint="eastAsia" w:ascii="宋体" w:hAnsi="宋体" w:cs="宋体"/>
          <w:b/>
          <w:bCs/>
          <w:sz w:val="24"/>
        </w:rPr>
        <w:t xml:space="preserve">第四条　违约责任 </w:t>
      </w:r>
    </w:p>
    <w:p w14:paraId="353BE192">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（一）甲方及其工作人员有违反本责任书第一、二条责任行为的，按照管理权限，依据有关法律法规和规定，给予党纪、政纪处分或组织处理；涉嫌犯罪的，移交司法机关追究刑事责任。  </w:t>
      </w:r>
    </w:p>
    <w:p w14:paraId="4E0A70C2">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（二）乙方及其工作人员有违反本责任书第一、三条责任行为的，按照管理权限，依据有关法律法规和规定，给予党纪、政纪处分或组织处理；涉嫌犯罪的，移交司法机关追究刑事责任。 </w:t>
      </w:r>
    </w:p>
    <w:p w14:paraId="7F6AF735">
      <w:pPr>
        <w:tabs>
          <w:tab w:val="left" w:pos="2880"/>
        </w:tabs>
        <w:spacing w:line="520" w:lineRule="exact"/>
        <w:ind w:firstLine="480" w:firstLineChars="200"/>
        <w:rPr>
          <w:rFonts w:ascii="宋体" w:hAnsi="宋体" w:cs="宋体"/>
          <w:sz w:val="24"/>
        </w:rPr>
      </w:pPr>
      <w:r>
        <w:rPr>
          <w:rFonts w:hint="eastAsia" w:ascii="宋体" w:hAnsi="宋体" w:cs="宋体"/>
          <w:sz w:val="24"/>
        </w:rPr>
        <w:t>（三）本责任书作为《北京劳动保障职业学院学生公寓标准化管理项目》的组成部分，与《北京劳动保障职业学院学生公寓标准化管理项目》具有同等法律效力。经双方加盖公章且法定代表人签字后立即生效。</w:t>
      </w:r>
    </w:p>
    <w:p w14:paraId="69F9CB27">
      <w:pPr>
        <w:tabs>
          <w:tab w:val="left" w:pos="2880"/>
        </w:tabs>
        <w:spacing w:line="520" w:lineRule="exact"/>
        <w:ind w:firstLine="482" w:firstLineChars="200"/>
        <w:rPr>
          <w:rFonts w:ascii="宋体" w:hAnsi="宋体" w:cs="宋体"/>
          <w:b/>
          <w:bCs/>
          <w:sz w:val="24"/>
        </w:rPr>
      </w:pPr>
      <w:r>
        <w:rPr>
          <w:rFonts w:hint="eastAsia" w:ascii="宋体" w:hAnsi="宋体" w:cs="宋体"/>
          <w:b/>
          <w:bCs/>
          <w:sz w:val="24"/>
        </w:rPr>
        <w:t>第五条　有效期限</w:t>
      </w:r>
    </w:p>
    <w:p w14:paraId="34B81B0C">
      <w:pPr>
        <w:tabs>
          <w:tab w:val="left" w:pos="2880"/>
        </w:tabs>
        <w:spacing w:line="520" w:lineRule="exact"/>
        <w:ind w:firstLine="480" w:firstLineChars="200"/>
        <w:rPr>
          <w:rFonts w:ascii="宋体" w:hAnsi="宋体" w:cs="宋体"/>
          <w:b/>
          <w:bCs/>
          <w:sz w:val="24"/>
        </w:rPr>
      </w:pPr>
      <w:r>
        <w:rPr>
          <w:rFonts w:hint="eastAsia" w:ascii="宋体" w:hAnsi="宋体" w:cs="宋体"/>
          <w:sz w:val="24"/>
        </w:rPr>
        <w:t>本责任书的有效期为202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8</w:t>
      </w:r>
      <w:r>
        <w:rPr>
          <w:rFonts w:hint="eastAsia" w:ascii="宋体" w:hAnsi="宋体" w:cs="宋体"/>
          <w:sz w:val="24"/>
        </w:rPr>
        <w:t>月1日起至202</w:t>
      </w:r>
      <w:r>
        <w:rPr>
          <w:rFonts w:hint="eastAsia" w:ascii="宋体" w:hAnsi="宋体" w:cs="宋体"/>
          <w:sz w:val="24"/>
          <w:lang w:val="en-US" w:eastAsia="zh-CN"/>
        </w:rPr>
        <w:t>6</w:t>
      </w:r>
      <w:r>
        <w:rPr>
          <w:rFonts w:hint="eastAsia" w:ascii="宋体" w:hAnsi="宋体" w:cs="宋体"/>
          <w:sz w:val="24"/>
        </w:rPr>
        <w:t>年</w:t>
      </w:r>
      <w:r>
        <w:rPr>
          <w:rFonts w:ascii="宋体" w:hAnsi="宋体" w:cs="宋体"/>
          <w:sz w:val="24"/>
        </w:rPr>
        <w:t>7</w:t>
      </w:r>
      <w:r>
        <w:rPr>
          <w:rFonts w:hint="eastAsia" w:ascii="宋体" w:hAnsi="宋体" w:cs="宋体"/>
          <w:sz w:val="24"/>
        </w:rPr>
        <w:t>月31日止。</w:t>
      </w:r>
    </w:p>
    <w:p w14:paraId="6BE3D161">
      <w:pPr>
        <w:tabs>
          <w:tab w:val="left" w:pos="2880"/>
        </w:tabs>
        <w:spacing w:line="520" w:lineRule="exact"/>
        <w:ind w:firstLine="480" w:firstLineChars="200"/>
        <w:rPr>
          <w:rFonts w:ascii="宋体" w:hAnsi="宋体" w:cs="宋体"/>
          <w:sz w:val="24"/>
        </w:rPr>
      </w:pPr>
      <w:r>
        <w:rPr>
          <w:rFonts w:hint="eastAsia" w:ascii="宋体" w:hAnsi="宋体" w:cs="宋体"/>
          <w:sz w:val="24"/>
        </w:rPr>
        <w:t>本责任书一式两份，由甲乙双方各执一份，具有同等法律效力。</w:t>
      </w:r>
    </w:p>
    <w:p w14:paraId="0379E662">
      <w:pPr>
        <w:tabs>
          <w:tab w:val="left" w:pos="2880"/>
        </w:tabs>
        <w:spacing w:line="520" w:lineRule="exact"/>
        <w:ind w:firstLine="480" w:firstLineChars="200"/>
        <w:rPr>
          <w:rFonts w:ascii="宋体" w:hAnsi="宋体" w:cs="宋体"/>
          <w:sz w:val="24"/>
        </w:rPr>
      </w:pPr>
      <w:r>
        <w:rPr>
          <w:rFonts w:hint="eastAsia" w:ascii="宋体" w:hAnsi="宋体" w:cs="宋体"/>
          <w:sz w:val="24"/>
        </w:rPr>
        <w:t xml:space="preserve">（以下无正文） </w:t>
      </w:r>
    </w:p>
    <w:p w14:paraId="24535FE8">
      <w:pPr>
        <w:tabs>
          <w:tab w:val="left" w:pos="2880"/>
        </w:tabs>
        <w:spacing w:line="520" w:lineRule="exact"/>
        <w:rPr>
          <w:rFonts w:ascii="宋体" w:hAnsi="宋体" w:cs="宋体"/>
          <w:sz w:val="24"/>
        </w:rPr>
      </w:pPr>
    </w:p>
    <w:p w14:paraId="32F003C3">
      <w:pPr>
        <w:spacing w:line="520" w:lineRule="exact"/>
        <w:ind w:left="5732" w:leftChars="228" w:hanging="5253" w:hangingChars="2189"/>
        <w:rPr>
          <w:rFonts w:ascii="宋体" w:hAnsi="宋体" w:cs="宋体"/>
          <w:sz w:val="24"/>
        </w:rPr>
      </w:pPr>
      <w:r>
        <w:rPr>
          <w:rFonts w:hint="eastAsia" w:ascii="宋体" w:hAnsi="宋体" w:cs="宋体"/>
          <w:sz w:val="24"/>
        </w:rPr>
        <w:t xml:space="preserve">甲方单位：（盖章）北京劳动保障职业学院 </w:t>
      </w:r>
      <w:r>
        <w:rPr>
          <w:rFonts w:ascii="宋体" w:hAnsi="宋体" w:cs="宋体"/>
          <w:sz w:val="24"/>
        </w:rPr>
        <w:t xml:space="preserve">  </w:t>
      </w:r>
      <w:r>
        <w:rPr>
          <w:rFonts w:hint="eastAsia" w:ascii="宋体" w:hAnsi="宋体" w:cs="宋体"/>
          <w:sz w:val="24"/>
        </w:rPr>
        <w:t xml:space="preserve">乙方单位：（盖章） </w:t>
      </w:r>
      <w:r>
        <w:rPr>
          <w:rFonts w:ascii="宋体" w:hAnsi="宋体" w:cs="宋体"/>
          <w:sz w:val="24"/>
        </w:rPr>
        <w:t xml:space="preserve">                     </w:t>
      </w:r>
    </w:p>
    <w:p w14:paraId="7ADF3777">
      <w:pPr>
        <w:spacing w:line="520" w:lineRule="exact"/>
        <w:ind w:firstLine="480" w:firstLineChars="200"/>
        <w:rPr>
          <w:rFonts w:ascii="宋体" w:hAnsi="宋体" w:cs="宋体"/>
          <w:sz w:val="24"/>
        </w:rPr>
      </w:pPr>
      <w:r>
        <w:rPr>
          <w:rFonts w:hint="eastAsia" w:ascii="宋体" w:hAnsi="宋体" w:cs="宋体"/>
          <w:sz w:val="24"/>
        </w:rPr>
        <w:t xml:space="preserve">法定代表人：                  </w:t>
      </w:r>
      <w:r>
        <w:rPr>
          <w:rFonts w:ascii="宋体" w:hAnsi="宋体" w:cs="宋体"/>
          <w:sz w:val="24"/>
        </w:rPr>
        <w:t xml:space="preserve"> </w:t>
      </w:r>
      <w:r>
        <w:rPr>
          <w:rFonts w:hint="eastAsia" w:ascii="宋体" w:hAnsi="宋体" w:cs="宋体"/>
          <w:sz w:val="24"/>
        </w:rPr>
        <w:t xml:space="preserve">         法定代表人：</w:t>
      </w:r>
    </w:p>
    <w:p w14:paraId="55199843">
      <w:pPr>
        <w:spacing w:line="520" w:lineRule="exact"/>
        <w:ind w:firstLine="480" w:firstLineChars="200"/>
        <w:rPr>
          <w:rFonts w:ascii="宋体" w:hAnsi="宋体" w:cs="宋体"/>
          <w:sz w:val="24"/>
        </w:rPr>
      </w:pPr>
      <w:r>
        <w:rPr>
          <w:rFonts w:hint="eastAsia" w:ascii="宋体" w:hAnsi="宋体" w:cs="宋体"/>
          <w:sz w:val="24"/>
        </w:rPr>
        <w:t xml:space="preserve">委托人：　　　　　　　　　    </w:t>
      </w:r>
      <w:r>
        <w:rPr>
          <w:rFonts w:ascii="宋体" w:hAnsi="宋体" w:cs="宋体"/>
          <w:sz w:val="24"/>
        </w:rPr>
        <w:t xml:space="preserve"> </w:t>
      </w:r>
      <w:r>
        <w:rPr>
          <w:rFonts w:hint="eastAsia" w:ascii="宋体" w:hAnsi="宋体" w:cs="宋体"/>
          <w:sz w:val="24"/>
        </w:rPr>
        <w:t xml:space="preserve">         委托人：</w:t>
      </w:r>
    </w:p>
    <w:p w14:paraId="40D58C06">
      <w:pPr>
        <w:spacing w:line="520" w:lineRule="exact"/>
        <w:ind w:left="5257" w:leftChars="228" w:hanging="4778" w:hangingChars="1991"/>
        <w:rPr>
          <w:rFonts w:ascii="宋体" w:hAnsi="宋体" w:cs="宋体"/>
          <w:sz w:val="24"/>
        </w:rPr>
      </w:pPr>
      <w:r>
        <w:rPr>
          <w:rFonts w:hint="eastAsia" w:ascii="宋体" w:hAnsi="宋体" w:cs="宋体"/>
          <w:sz w:val="24"/>
        </w:rPr>
        <w:t>地址：北京市朝</w:t>
      </w:r>
      <w:r>
        <w:rPr>
          <w:rFonts w:ascii="宋体" w:hAnsi="宋体" w:cs="宋体"/>
          <w:sz w:val="24"/>
        </w:rPr>
        <w:t>阳</w:t>
      </w:r>
      <w:r>
        <w:rPr>
          <w:rFonts w:hint="eastAsia" w:ascii="宋体" w:hAnsi="宋体" w:cs="宋体"/>
          <w:sz w:val="24"/>
        </w:rPr>
        <w:t>区惠</w:t>
      </w:r>
      <w:r>
        <w:rPr>
          <w:rFonts w:ascii="宋体" w:hAnsi="宋体" w:cs="宋体"/>
          <w:sz w:val="24"/>
        </w:rPr>
        <w:t>新东</w:t>
      </w:r>
      <w:r>
        <w:rPr>
          <w:rFonts w:hint="eastAsia" w:ascii="宋体" w:hAnsi="宋体" w:cs="宋体"/>
          <w:sz w:val="24"/>
        </w:rPr>
        <w:t xml:space="preserve">街5号 </w:t>
      </w:r>
      <w:r>
        <w:rPr>
          <w:rFonts w:ascii="宋体" w:hAnsi="宋体" w:cs="宋体"/>
          <w:sz w:val="24"/>
        </w:rPr>
        <w:t xml:space="preserve">     </w:t>
      </w:r>
      <w:r>
        <w:rPr>
          <w:rFonts w:hint="eastAsia" w:ascii="宋体" w:hAnsi="宋体" w:cs="宋体"/>
          <w:sz w:val="24"/>
        </w:rPr>
        <w:t xml:space="preserve">    地址： </w:t>
      </w:r>
      <w:r>
        <w:rPr>
          <w:rFonts w:ascii="宋体" w:hAnsi="宋体" w:cs="宋体"/>
          <w:sz w:val="24"/>
        </w:rPr>
        <w:t xml:space="preserve">                        </w:t>
      </w:r>
    </w:p>
    <w:p w14:paraId="41952CC9">
      <w:pPr>
        <w:spacing w:line="520" w:lineRule="exact"/>
        <w:ind w:firstLine="480" w:firstLineChars="200"/>
        <w:rPr>
          <w:rFonts w:ascii="宋体" w:hAnsi="宋体" w:cs="宋体"/>
          <w:sz w:val="24"/>
        </w:rPr>
      </w:pPr>
      <w:r>
        <w:rPr>
          <w:rFonts w:hint="eastAsia" w:ascii="宋体" w:hAnsi="宋体" w:cs="宋体"/>
          <w:sz w:val="24"/>
        </w:rPr>
        <w:t>电话：010-80114099      　　　          电话：</w:t>
      </w:r>
    </w:p>
    <w:p w14:paraId="6B7CB263">
      <w:pPr>
        <w:spacing w:line="520" w:lineRule="exact"/>
        <w:ind w:firstLine="480" w:firstLineChars="200"/>
        <w:jc w:val="left"/>
        <w:rPr>
          <w:rFonts w:ascii="宋体" w:hAnsi="宋体" w:cs="宋体"/>
          <w:sz w:val="24"/>
        </w:rPr>
      </w:pPr>
      <w:r>
        <w:rPr>
          <w:rFonts w:ascii="宋体" w:hAnsi="宋体" w:cs="宋体"/>
          <w:sz w:val="24"/>
        </w:rPr>
        <w:t>年</w:t>
      </w:r>
      <w:r>
        <w:rPr>
          <w:rFonts w:hint="eastAsia" w:ascii="宋体" w:hAnsi="宋体" w:cs="宋体"/>
          <w:sz w:val="24"/>
        </w:rPr>
        <w:t xml:space="preserve">　 月　 日　　　　　　　　　 </w:t>
      </w:r>
      <w:r>
        <w:rPr>
          <w:rFonts w:ascii="宋体" w:hAnsi="宋体" w:cs="宋体"/>
          <w:sz w:val="24"/>
        </w:rPr>
        <w:t xml:space="preserve">            </w:t>
      </w:r>
      <w:r>
        <w:rPr>
          <w:rFonts w:hint="eastAsia" w:ascii="宋体" w:hAnsi="宋体" w:cs="宋体"/>
          <w:sz w:val="24"/>
        </w:rPr>
        <w:t>年　 月 　日</w:t>
      </w:r>
    </w:p>
    <w:p w14:paraId="25F607A2">
      <w:pPr>
        <w:pStyle w:val="12"/>
      </w:pPr>
    </w:p>
    <w:p w14:paraId="495C7277">
      <w:pPr>
        <w:pStyle w:val="12"/>
      </w:pPr>
    </w:p>
    <w:p w14:paraId="3C181017">
      <w:pPr>
        <w:pStyle w:val="12"/>
      </w:pPr>
    </w:p>
    <w:p w14:paraId="2A4638EA">
      <w:pPr>
        <w:pStyle w:val="12"/>
      </w:pPr>
    </w:p>
    <w:p w14:paraId="29507A89">
      <w:pPr>
        <w:pStyle w:val="12"/>
      </w:pPr>
    </w:p>
    <w:p w14:paraId="15EF888C">
      <w:pPr>
        <w:pStyle w:val="12"/>
      </w:pPr>
    </w:p>
    <w:p w14:paraId="1CD0C032">
      <w:pPr>
        <w:pStyle w:val="12"/>
      </w:pPr>
    </w:p>
    <w:p w14:paraId="383BFCFD">
      <w:pPr>
        <w:pStyle w:val="12"/>
      </w:pPr>
    </w:p>
    <w:p w14:paraId="3E7C5804">
      <w:pPr>
        <w:pStyle w:val="12"/>
      </w:pPr>
    </w:p>
    <w:p w14:paraId="10176293">
      <w:pPr>
        <w:pStyle w:val="12"/>
      </w:pPr>
    </w:p>
    <w:p w14:paraId="740B6837">
      <w:pPr>
        <w:pStyle w:val="12"/>
      </w:pPr>
    </w:p>
    <w:p w14:paraId="11D41F70">
      <w:pPr>
        <w:pStyle w:val="12"/>
      </w:pPr>
    </w:p>
    <w:p w14:paraId="369901D3">
      <w:pPr>
        <w:pStyle w:val="12"/>
      </w:pPr>
    </w:p>
    <w:p w14:paraId="4CE3DD4F">
      <w:pPr>
        <w:pStyle w:val="12"/>
      </w:pPr>
    </w:p>
    <w:p w14:paraId="32406FCB">
      <w:pPr>
        <w:pStyle w:val="12"/>
      </w:pPr>
    </w:p>
    <w:p w14:paraId="4581530C">
      <w:pPr>
        <w:pStyle w:val="12"/>
      </w:pPr>
    </w:p>
    <w:p w14:paraId="0A42F82E">
      <w:pPr>
        <w:pStyle w:val="12"/>
      </w:pPr>
    </w:p>
    <w:p w14:paraId="32EC0BA1">
      <w:pPr>
        <w:pStyle w:val="12"/>
      </w:pPr>
    </w:p>
    <w:p w14:paraId="7985E77E">
      <w:pPr>
        <w:pStyle w:val="12"/>
      </w:pPr>
    </w:p>
    <w:p w14:paraId="3DF01776">
      <w:pPr>
        <w:rPr>
          <w:rFonts w:cs="仿宋"/>
          <w:b/>
          <w:bCs/>
          <w:sz w:val="28"/>
          <w:szCs w:val="28"/>
        </w:rPr>
      </w:pPr>
      <w:r>
        <w:br w:type="page"/>
      </w:r>
      <w:r>
        <w:rPr>
          <w:rFonts w:hint="eastAsia" w:cs="仿宋"/>
          <w:b/>
          <w:bCs/>
          <w:sz w:val="28"/>
          <w:szCs w:val="28"/>
        </w:rPr>
        <w:t>附件5</w:t>
      </w:r>
    </w:p>
    <w:p w14:paraId="5E4A902C">
      <w:pPr>
        <w:pStyle w:val="12"/>
        <w:ind w:firstLine="0"/>
        <w:jc w:val="center"/>
      </w:pPr>
      <w:r>
        <w:t>中标通知书</w:t>
      </w:r>
    </w:p>
    <w:p w14:paraId="443E4538">
      <w:pPr>
        <w:pStyle w:val="12"/>
        <w:ind w:firstLine="0"/>
        <w:jc w:val="center"/>
      </w:pPr>
    </w:p>
    <w:p w14:paraId="28E0DFE4">
      <w:pPr>
        <w:pStyle w:val="12"/>
        <w:rPr>
          <w:rFonts w:cs="仿宋"/>
          <w:b/>
          <w:bCs/>
          <w:sz w:val="28"/>
          <w:szCs w:val="28"/>
        </w:rPr>
      </w:pPr>
      <w:r>
        <w:br w:type="page"/>
      </w:r>
      <w:r>
        <w:rPr>
          <w:rFonts w:hint="eastAsia" w:cs="仿宋"/>
          <w:b/>
          <w:bCs/>
          <w:sz w:val="28"/>
          <w:szCs w:val="28"/>
        </w:rPr>
        <w:t>附件6</w:t>
      </w:r>
    </w:p>
    <w:p w14:paraId="39F43DD5">
      <w:pPr>
        <w:pStyle w:val="12"/>
        <w:ind w:firstLine="0"/>
        <w:jc w:val="center"/>
        <w:rPr>
          <w:rFonts w:cs="仿宋"/>
          <w:bCs/>
          <w:szCs w:val="28"/>
        </w:rPr>
      </w:pPr>
      <w:r>
        <w:rPr>
          <w:rFonts w:hint="eastAsia" w:cs="仿宋"/>
          <w:bCs/>
          <w:szCs w:val="28"/>
        </w:rPr>
        <w:t>乙方营业执照复印件</w:t>
      </w:r>
    </w:p>
    <w:p w14:paraId="381351A3">
      <w:pPr>
        <w:pStyle w:val="12"/>
        <w:ind w:firstLine="0"/>
        <w:jc w:val="center"/>
      </w:pPr>
    </w:p>
    <w:p w14:paraId="0F5C1286">
      <w:pPr>
        <w:pStyle w:val="24"/>
        <w:rPr>
          <w:rFonts w:hint="default"/>
        </w:rPr>
      </w:pPr>
    </w:p>
    <w:p w14:paraId="2159ACE7">
      <w:pPr>
        <w:pStyle w:val="24"/>
      </w:pPr>
    </w:p>
    <w:p w14:paraId="4E69564F">
      <w:pPr>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bookmarkEnd w:id="770"/>
    <w:p w14:paraId="6569D659">
      <w:pPr>
        <w:spacing w:line="360" w:lineRule="auto"/>
        <w:jc w:val="center"/>
        <w:outlineLvl w:val="0"/>
        <w:rPr>
          <w:b/>
          <w:color w:val="auto"/>
          <w:sz w:val="36"/>
          <w:szCs w:val="36"/>
          <w:highlight w:val="none"/>
        </w:rPr>
      </w:pPr>
      <w:bookmarkStart w:id="779" w:name="_Toc99301426"/>
      <w:r>
        <w:rPr>
          <w:b/>
          <w:color w:val="auto"/>
          <w:sz w:val="36"/>
          <w:szCs w:val="36"/>
          <w:highlight w:val="none"/>
        </w:rPr>
        <w:t>第七章   投标文件格式</w:t>
      </w:r>
      <w:bookmarkEnd w:id="779"/>
    </w:p>
    <w:p w14:paraId="21917762">
      <w:pPr>
        <w:tabs>
          <w:tab w:val="left" w:pos="900"/>
          <w:tab w:val="left" w:pos="1980"/>
        </w:tabs>
        <w:snapToGrid w:val="0"/>
        <w:spacing w:line="360" w:lineRule="auto"/>
        <w:ind w:left="142"/>
        <w:rPr>
          <w:b/>
          <w:color w:val="auto"/>
          <w:sz w:val="24"/>
          <w:highlight w:val="none"/>
        </w:rPr>
      </w:pPr>
    </w:p>
    <w:p w14:paraId="20B6AD1B">
      <w:pPr>
        <w:tabs>
          <w:tab w:val="left" w:pos="900"/>
          <w:tab w:val="left" w:pos="1980"/>
        </w:tabs>
        <w:snapToGrid w:val="0"/>
        <w:spacing w:line="360" w:lineRule="auto"/>
        <w:ind w:left="142"/>
        <w:rPr>
          <w:b/>
          <w:color w:val="auto"/>
          <w:sz w:val="24"/>
          <w:highlight w:val="none"/>
        </w:rPr>
      </w:pPr>
    </w:p>
    <w:p w14:paraId="7A192506">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704731A3">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667507B0">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5058ACC0">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42B6287F">
      <w:pPr>
        <w:widowControl/>
        <w:jc w:val="left"/>
        <w:rPr>
          <w:color w:val="auto"/>
          <w:sz w:val="24"/>
          <w:highlight w:val="none"/>
        </w:rPr>
      </w:pPr>
      <w:r>
        <w:rPr>
          <w:color w:val="auto"/>
          <w:sz w:val="24"/>
          <w:highlight w:val="none"/>
        </w:rPr>
        <w:br w:type="page"/>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14:paraId="379FD563">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2576EDF7">
      <w:pPr>
        <w:rPr>
          <w:b/>
          <w:color w:val="auto"/>
          <w:spacing w:val="20"/>
          <w:szCs w:val="21"/>
          <w:highlight w:val="none"/>
        </w:rPr>
      </w:pPr>
    </w:p>
    <w:p w14:paraId="24EE9FC0">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7E00130F">
      <w:pPr>
        <w:jc w:val="center"/>
        <w:rPr>
          <w:color w:val="auto"/>
          <w:szCs w:val="21"/>
          <w:highlight w:val="none"/>
        </w:rPr>
      </w:pPr>
    </w:p>
    <w:p w14:paraId="6D04EE15">
      <w:pPr>
        <w:jc w:val="center"/>
        <w:rPr>
          <w:b/>
          <w:color w:val="auto"/>
          <w:spacing w:val="60"/>
          <w:sz w:val="84"/>
          <w:szCs w:val="84"/>
          <w:highlight w:val="none"/>
        </w:rPr>
      </w:pPr>
      <w:r>
        <w:rPr>
          <w:b/>
          <w:color w:val="auto"/>
          <w:spacing w:val="60"/>
          <w:sz w:val="84"/>
          <w:szCs w:val="84"/>
          <w:highlight w:val="none"/>
        </w:rPr>
        <w:t>投 标 文 件</w:t>
      </w:r>
    </w:p>
    <w:p w14:paraId="7BBC2DC7">
      <w:pPr>
        <w:jc w:val="center"/>
        <w:rPr>
          <w:b/>
          <w:color w:val="auto"/>
          <w:spacing w:val="60"/>
          <w:sz w:val="52"/>
          <w:szCs w:val="52"/>
          <w:highlight w:val="none"/>
        </w:rPr>
      </w:pPr>
      <w:r>
        <w:rPr>
          <w:b/>
          <w:color w:val="auto"/>
          <w:spacing w:val="60"/>
          <w:sz w:val="52"/>
          <w:szCs w:val="52"/>
          <w:highlight w:val="none"/>
        </w:rPr>
        <w:t>（资格证明文件）</w:t>
      </w:r>
    </w:p>
    <w:p w14:paraId="1C87A370">
      <w:pPr>
        <w:ind w:firstLine="542" w:firstLineChars="150"/>
        <w:rPr>
          <w:b/>
          <w:color w:val="auto"/>
          <w:spacing w:val="20"/>
          <w:sz w:val="32"/>
          <w:szCs w:val="32"/>
          <w:highlight w:val="none"/>
        </w:rPr>
      </w:pPr>
    </w:p>
    <w:p w14:paraId="598F2A3C">
      <w:pPr>
        <w:ind w:firstLine="542" w:firstLineChars="150"/>
        <w:rPr>
          <w:b/>
          <w:color w:val="auto"/>
          <w:spacing w:val="20"/>
          <w:sz w:val="32"/>
          <w:szCs w:val="32"/>
          <w:highlight w:val="none"/>
        </w:rPr>
      </w:pPr>
    </w:p>
    <w:p w14:paraId="7A3F6F50">
      <w:pPr>
        <w:ind w:firstLine="542" w:firstLineChars="150"/>
        <w:rPr>
          <w:b/>
          <w:color w:val="auto"/>
          <w:spacing w:val="20"/>
          <w:sz w:val="32"/>
          <w:szCs w:val="32"/>
          <w:highlight w:val="none"/>
        </w:rPr>
      </w:pPr>
      <w:r>
        <w:rPr>
          <w:b/>
          <w:color w:val="auto"/>
          <w:spacing w:val="20"/>
          <w:sz w:val="32"/>
          <w:szCs w:val="32"/>
          <w:highlight w:val="none"/>
        </w:rPr>
        <w:t>项目名称:</w:t>
      </w:r>
    </w:p>
    <w:p w14:paraId="06F5A2C2">
      <w:pPr>
        <w:ind w:firstLine="542" w:firstLineChars="150"/>
        <w:rPr>
          <w:b/>
          <w:color w:val="auto"/>
          <w:spacing w:val="20"/>
          <w:sz w:val="32"/>
          <w:szCs w:val="32"/>
          <w:highlight w:val="none"/>
        </w:rPr>
      </w:pPr>
      <w:r>
        <w:rPr>
          <w:b/>
          <w:color w:val="auto"/>
          <w:spacing w:val="20"/>
          <w:sz w:val="32"/>
          <w:szCs w:val="32"/>
          <w:highlight w:val="none"/>
        </w:rPr>
        <w:t>项目编号：</w:t>
      </w:r>
    </w:p>
    <w:p w14:paraId="3E6EEF65">
      <w:pPr>
        <w:ind w:firstLine="542" w:firstLineChars="150"/>
        <w:rPr>
          <w:rFonts w:ascii="Times New Roman" w:hAnsi="Times New Roman" w:eastAsia="宋体" w:cs="Times New Roman"/>
          <w:b/>
          <w:color w:val="auto"/>
          <w:spacing w:val="20"/>
          <w:sz w:val="32"/>
          <w:szCs w:val="32"/>
          <w:highlight w:val="none"/>
        </w:rPr>
      </w:pPr>
      <w:r>
        <w:rPr>
          <w:rFonts w:hint="eastAsia" w:ascii="Times New Roman" w:hAnsi="Times New Roman" w:eastAsia="宋体" w:cs="Times New Roman"/>
          <w:b/>
          <w:color w:val="auto"/>
          <w:spacing w:val="20"/>
          <w:sz w:val="32"/>
          <w:szCs w:val="32"/>
          <w:highlight w:val="none"/>
        </w:rPr>
        <w:t>项目代理编号：</w:t>
      </w:r>
    </w:p>
    <w:p w14:paraId="309739E4">
      <w:pPr>
        <w:ind w:firstLine="542" w:firstLineChars="150"/>
        <w:rPr>
          <w:b/>
          <w:color w:val="auto"/>
          <w:spacing w:val="20"/>
          <w:sz w:val="32"/>
          <w:szCs w:val="32"/>
          <w:highlight w:val="none"/>
        </w:rPr>
      </w:pPr>
    </w:p>
    <w:p w14:paraId="12E1DA81">
      <w:pPr>
        <w:jc w:val="center"/>
        <w:rPr>
          <w:b/>
          <w:color w:val="auto"/>
          <w:sz w:val="32"/>
          <w:szCs w:val="32"/>
          <w:highlight w:val="none"/>
        </w:rPr>
      </w:pPr>
    </w:p>
    <w:p w14:paraId="0760E08C">
      <w:pPr>
        <w:jc w:val="center"/>
        <w:rPr>
          <w:b/>
          <w:color w:val="auto"/>
          <w:sz w:val="32"/>
          <w:szCs w:val="32"/>
          <w:highlight w:val="none"/>
        </w:rPr>
      </w:pPr>
    </w:p>
    <w:p w14:paraId="08917E2C">
      <w:pPr>
        <w:jc w:val="center"/>
        <w:rPr>
          <w:b/>
          <w:color w:val="auto"/>
          <w:sz w:val="32"/>
          <w:szCs w:val="32"/>
          <w:highlight w:val="none"/>
        </w:rPr>
      </w:pPr>
    </w:p>
    <w:p w14:paraId="10F3A2AE">
      <w:pPr>
        <w:jc w:val="center"/>
        <w:rPr>
          <w:b/>
          <w:color w:val="auto"/>
          <w:spacing w:val="20"/>
          <w:sz w:val="32"/>
          <w:szCs w:val="32"/>
          <w:highlight w:val="none"/>
        </w:rPr>
      </w:pPr>
    </w:p>
    <w:p w14:paraId="6B0348FB">
      <w:pPr>
        <w:jc w:val="center"/>
        <w:rPr>
          <w:b/>
          <w:color w:val="auto"/>
          <w:spacing w:val="20"/>
          <w:sz w:val="32"/>
          <w:szCs w:val="32"/>
          <w:highlight w:val="none"/>
        </w:rPr>
      </w:pPr>
    </w:p>
    <w:p w14:paraId="6107545F">
      <w:pPr>
        <w:jc w:val="center"/>
        <w:rPr>
          <w:b/>
          <w:color w:val="auto"/>
          <w:spacing w:val="20"/>
          <w:sz w:val="32"/>
          <w:szCs w:val="32"/>
          <w:highlight w:val="none"/>
        </w:rPr>
      </w:pPr>
    </w:p>
    <w:p w14:paraId="009E911D">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583DC811">
      <w:pPr>
        <w:jc w:val="center"/>
        <w:rPr>
          <w:b/>
          <w:color w:val="auto"/>
          <w:sz w:val="32"/>
          <w:szCs w:val="32"/>
          <w:highlight w:val="none"/>
        </w:rPr>
      </w:pPr>
    </w:p>
    <w:p w14:paraId="0A03C0E4">
      <w:pPr>
        <w:rPr>
          <w:b/>
          <w:color w:val="auto"/>
          <w:highlight w:val="none"/>
        </w:rPr>
      </w:pPr>
      <w:r>
        <w:rPr>
          <w:b/>
          <w:color w:val="auto"/>
          <w:spacing w:val="20"/>
          <w:sz w:val="32"/>
          <w:szCs w:val="32"/>
          <w:highlight w:val="none"/>
        </w:rPr>
        <w:br w:type="page"/>
      </w:r>
    </w:p>
    <w:p w14:paraId="2A0F3A1B">
      <w:pPr>
        <w:numPr>
          <w:ilvl w:val="0"/>
          <w:numId w:val="15"/>
        </w:numPr>
        <w:tabs>
          <w:tab w:val="left" w:pos="360"/>
        </w:tabs>
        <w:snapToGrid w:val="0"/>
        <w:spacing w:line="360" w:lineRule="auto"/>
        <w:outlineLvl w:val="1"/>
        <w:rPr>
          <w:color w:val="auto"/>
          <w:sz w:val="24"/>
          <w:szCs w:val="20"/>
          <w:highlight w:val="none"/>
        </w:rPr>
      </w:pPr>
      <w:r>
        <w:rPr>
          <w:color w:val="auto"/>
          <w:sz w:val="24"/>
          <w:highlight w:val="none"/>
        </w:rPr>
        <w:t>满足《中华人民共和国政府采购法》第二十二条规定</w:t>
      </w:r>
    </w:p>
    <w:p w14:paraId="126B92A2">
      <w:pPr>
        <w:spacing w:line="360" w:lineRule="auto"/>
        <w:outlineLvl w:val="2"/>
        <w:rPr>
          <w:color w:val="auto"/>
          <w:sz w:val="24"/>
          <w:szCs w:val="20"/>
          <w:highlight w:val="none"/>
        </w:rPr>
      </w:pPr>
      <w:r>
        <w:rPr>
          <w:color w:val="auto"/>
          <w:sz w:val="24"/>
          <w:szCs w:val="20"/>
          <w:highlight w:val="none"/>
        </w:rPr>
        <w:t>1-1 营业执照等证明文件</w:t>
      </w:r>
    </w:p>
    <w:p w14:paraId="242A78C0">
      <w:pPr>
        <w:tabs>
          <w:tab w:val="left" w:pos="1080"/>
        </w:tabs>
        <w:snapToGrid w:val="0"/>
        <w:rPr>
          <w:color w:val="auto"/>
          <w:sz w:val="24"/>
          <w:highlight w:val="none"/>
        </w:rPr>
      </w:pPr>
    </w:p>
    <w:p w14:paraId="69CE8A08">
      <w:pPr>
        <w:widowControl/>
        <w:jc w:val="left"/>
        <w:rPr>
          <w:color w:val="auto"/>
          <w:sz w:val="24"/>
          <w:szCs w:val="20"/>
          <w:highlight w:val="none"/>
        </w:rPr>
      </w:pPr>
      <w:r>
        <w:rPr>
          <w:color w:val="auto"/>
          <w:sz w:val="24"/>
          <w:highlight w:val="none"/>
        </w:rPr>
        <w:br w:type="page"/>
      </w:r>
    </w:p>
    <w:p w14:paraId="69DFD815">
      <w:pPr>
        <w:pStyle w:val="4"/>
        <w:rPr>
          <w:rFonts w:ascii="Times New Roman"/>
          <w:b w:val="0"/>
          <w:bCs/>
          <w:color w:val="auto"/>
          <w:highlight w:val="none"/>
          <w:u w:val="none"/>
        </w:rPr>
      </w:pPr>
      <w:r>
        <w:rPr>
          <w:rFonts w:ascii="Times New Roman"/>
          <w:b w:val="0"/>
          <w:color w:val="auto"/>
          <w:highlight w:val="none"/>
          <w:u w:val="none"/>
        </w:rPr>
        <w:t>1-2 投标人资格声明书</w:t>
      </w:r>
    </w:p>
    <w:p w14:paraId="6B2E3AD4">
      <w:pPr>
        <w:jc w:val="center"/>
        <w:rPr>
          <w:b/>
          <w:color w:val="auto"/>
          <w:sz w:val="36"/>
          <w:szCs w:val="36"/>
          <w:highlight w:val="none"/>
        </w:rPr>
      </w:pPr>
      <w:r>
        <w:rPr>
          <w:b/>
          <w:color w:val="auto"/>
          <w:sz w:val="36"/>
          <w:szCs w:val="36"/>
          <w:highlight w:val="none"/>
        </w:rPr>
        <w:t>投标人资格声明书</w:t>
      </w:r>
    </w:p>
    <w:p w14:paraId="1F2FE0F5">
      <w:pPr>
        <w:tabs>
          <w:tab w:val="left" w:pos="5580"/>
        </w:tabs>
        <w:spacing w:line="360" w:lineRule="auto"/>
        <w:rPr>
          <w:color w:val="auto"/>
          <w:sz w:val="24"/>
          <w:highlight w:val="none"/>
        </w:rPr>
      </w:pPr>
    </w:p>
    <w:p w14:paraId="4C99B0AE">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58441A62">
      <w:pPr>
        <w:spacing w:line="360" w:lineRule="auto"/>
        <w:ind w:firstLine="480" w:firstLineChars="200"/>
        <w:rPr>
          <w:color w:val="auto"/>
          <w:sz w:val="24"/>
          <w:highlight w:val="none"/>
        </w:rPr>
      </w:pPr>
      <w:r>
        <w:rPr>
          <w:color w:val="auto"/>
          <w:sz w:val="24"/>
          <w:highlight w:val="none"/>
        </w:rPr>
        <w:t>在参与本次项目投标中，我单位承诺：</w:t>
      </w:r>
    </w:p>
    <w:p w14:paraId="16B41B9A">
      <w:pPr>
        <w:numPr>
          <w:ilvl w:val="0"/>
          <w:numId w:val="16"/>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2994FDBC">
      <w:pPr>
        <w:numPr>
          <w:ilvl w:val="0"/>
          <w:numId w:val="16"/>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564351BA">
      <w:pPr>
        <w:numPr>
          <w:ilvl w:val="0"/>
          <w:numId w:val="16"/>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7C081312">
      <w:pPr>
        <w:numPr>
          <w:ilvl w:val="0"/>
          <w:numId w:val="16"/>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DC9234">
      <w:pPr>
        <w:numPr>
          <w:ilvl w:val="0"/>
          <w:numId w:val="16"/>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6AC6FC2E">
      <w:pPr>
        <w:numPr>
          <w:ilvl w:val="0"/>
          <w:numId w:val="16"/>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4DEAB15C">
      <w:pPr>
        <w:numPr>
          <w:ilvl w:val="0"/>
          <w:numId w:val="16"/>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1E70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76EF2A">
            <w:pPr>
              <w:jc w:val="center"/>
              <w:rPr>
                <w:color w:val="auto"/>
                <w:sz w:val="24"/>
                <w:highlight w:val="none"/>
              </w:rPr>
            </w:pPr>
            <w:r>
              <w:rPr>
                <w:color w:val="auto"/>
                <w:sz w:val="24"/>
                <w:highlight w:val="none"/>
              </w:rPr>
              <w:t>序号</w:t>
            </w:r>
          </w:p>
        </w:tc>
        <w:tc>
          <w:tcPr>
            <w:tcW w:w="4574" w:type="dxa"/>
            <w:vAlign w:val="center"/>
          </w:tcPr>
          <w:p w14:paraId="689FA66D">
            <w:pPr>
              <w:jc w:val="center"/>
              <w:rPr>
                <w:color w:val="auto"/>
                <w:sz w:val="24"/>
                <w:highlight w:val="none"/>
              </w:rPr>
            </w:pPr>
            <w:r>
              <w:rPr>
                <w:color w:val="auto"/>
                <w:sz w:val="24"/>
                <w:highlight w:val="none"/>
              </w:rPr>
              <w:t>单位名称</w:t>
            </w:r>
          </w:p>
        </w:tc>
        <w:tc>
          <w:tcPr>
            <w:tcW w:w="2976" w:type="dxa"/>
            <w:vAlign w:val="center"/>
          </w:tcPr>
          <w:p w14:paraId="4497C383">
            <w:pPr>
              <w:jc w:val="center"/>
              <w:rPr>
                <w:color w:val="auto"/>
                <w:sz w:val="24"/>
                <w:highlight w:val="none"/>
              </w:rPr>
            </w:pPr>
            <w:r>
              <w:rPr>
                <w:color w:val="auto"/>
                <w:sz w:val="24"/>
                <w:highlight w:val="none"/>
              </w:rPr>
              <w:t>相互关系</w:t>
            </w:r>
          </w:p>
        </w:tc>
      </w:tr>
      <w:tr w14:paraId="4C3F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EFC25D">
            <w:pPr>
              <w:jc w:val="center"/>
              <w:rPr>
                <w:color w:val="auto"/>
                <w:sz w:val="24"/>
                <w:highlight w:val="none"/>
              </w:rPr>
            </w:pPr>
            <w:r>
              <w:rPr>
                <w:color w:val="auto"/>
                <w:sz w:val="24"/>
                <w:highlight w:val="none"/>
              </w:rPr>
              <w:t>1</w:t>
            </w:r>
          </w:p>
        </w:tc>
        <w:tc>
          <w:tcPr>
            <w:tcW w:w="4574" w:type="dxa"/>
            <w:vAlign w:val="center"/>
          </w:tcPr>
          <w:p w14:paraId="2A5FA908">
            <w:pPr>
              <w:jc w:val="center"/>
              <w:rPr>
                <w:color w:val="auto"/>
                <w:sz w:val="24"/>
                <w:highlight w:val="none"/>
              </w:rPr>
            </w:pPr>
          </w:p>
        </w:tc>
        <w:tc>
          <w:tcPr>
            <w:tcW w:w="2976" w:type="dxa"/>
            <w:vAlign w:val="center"/>
          </w:tcPr>
          <w:p w14:paraId="3ABF3C22">
            <w:pPr>
              <w:jc w:val="center"/>
              <w:rPr>
                <w:color w:val="auto"/>
                <w:sz w:val="24"/>
                <w:highlight w:val="none"/>
              </w:rPr>
            </w:pPr>
          </w:p>
        </w:tc>
      </w:tr>
      <w:tr w14:paraId="2B61D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2FEDE7">
            <w:pPr>
              <w:jc w:val="center"/>
              <w:rPr>
                <w:color w:val="auto"/>
                <w:sz w:val="24"/>
                <w:highlight w:val="none"/>
              </w:rPr>
            </w:pPr>
            <w:r>
              <w:rPr>
                <w:color w:val="auto"/>
                <w:sz w:val="24"/>
                <w:highlight w:val="none"/>
              </w:rPr>
              <w:t>2</w:t>
            </w:r>
          </w:p>
        </w:tc>
        <w:tc>
          <w:tcPr>
            <w:tcW w:w="4574" w:type="dxa"/>
            <w:vAlign w:val="center"/>
          </w:tcPr>
          <w:p w14:paraId="71801D20">
            <w:pPr>
              <w:jc w:val="center"/>
              <w:rPr>
                <w:color w:val="auto"/>
                <w:sz w:val="24"/>
                <w:highlight w:val="none"/>
              </w:rPr>
            </w:pPr>
          </w:p>
        </w:tc>
        <w:tc>
          <w:tcPr>
            <w:tcW w:w="2976" w:type="dxa"/>
            <w:vAlign w:val="center"/>
          </w:tcPr>
          <w:p w14:paraId="3D17DA48">
            <w:pPr>
              <w:jc w:val="center"/>
              <w:rPr>
                <w:color w:val="auto"/>
                <w:sz w:val="24"/>
                <w:highlight w:val="none"/>
              </w:rPr>
            </w:pPr>
          </w:p>
        </w:tc>
      </w:tr>
      <w:tr w14:paraId="04953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9FA7B1">
            <w:pPr>
              <w:jc w:val="center"/>
              <w:rPr>
                <w:color w:val="auto"/>
                <w:sz w:val="24"/>
                <w:highlight w:val="none"/>
              </w:rPr>
            </w:pPr>
            <w:r>
              <w:rPr>
                <w:color w:val="auto"/>
                <w:sz w:val="24"/>
                <w:highlight w:val="none"/>
              </w:rPr>
              <w:t>…</w:t>
            </w:r>
          </w:p>
        </w:tc>
        <w:tc>
          <w:tcPr>
            <w:tcW w:w="4574" w:type="dxa"/>
            <w:vAlign w:val="center"/>
          </w:tcPr>
          <w:p w14:paraId="36D28BD8">
            <w:pPr>
              <w:jc w:val="center"/>
              <w:rPr>
                <w:color w:val="auto"/>
                <w:sz w:val="24"/>
                <w:highlight w:val="none"/>
              </w:rPr>
            </w:pPr>
          </w:p>
        </w:tc>
        <w:tc>
          <w:tcPr>
            <w:tcW w:w="2976" w:type="dxa"/>
            <w:vAlign w:val="center"/>
          </w:tcPr>
          <w:p w14:paraId="19E4A311">
            <w:pPr>
              <w:jc w:val="center"/>
              <w:rPr>
                <w:color w:val="auto"/>
                <w:sz w:val="24"/>
                <w:highlight w:val="none"/>
              </w:rPr>
            </w:pPr>
          </w:p>
        </w:tc>
      </w:tr>
    </w:tbl>
    <w:p w14:paraId="66B44F58">
      <w:pPr>
        <w:rPr>
          <w:color w:val="auto"/>
          <w:highlight w:val="none"/>
        </w:rPr>
      </w:pPr>
    </w:p>
    <w:p w14:paraId="47E4C702">
      <w:pPr>
        <w:ind w:firstLine="480" w:firstLineChars="200"/>
        <w:rPr>
          <w:color w:val="auto"/>
          <w:sz w:val="24"/>
          <w:szCs w:val="22"/>
          <w:highlight w:val="none"/>
        </w:rPr>
      </w:pPr>
      <w:r>
        <w:rPr>
          <w:color w:val="auto"/>
          <w:sz w:val="24"/>
          <w:highlight w:val="none"/>
        </w:rPr>
        <w:t>上述声明真实有效，否则我方负全部责任。</w:t>
      </w:r>
    </w:p>
    <w:p w14:paraId="4555C41E">
      <w:pPr>
        <w:spacing w:line="360" w:lineRule="auto"/>
        <w:rPr>
          <w:color w:val="auto"/>
          <w:sz w:val="24"/>
          <w:highlight w:val="none"/>
        </w:rPr>
      </w:pPr>
    </w:p>
    <w:p w14:paraId="18E98080">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31673F5B">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500EC463">
      <w:pPr>
        <w:spacing w:line="360" w:lineRule="auto"/>
        <w:rPr>
          <w:color w:val="auto"/>
          <w:sz w:val="24"/>
          <w:highlight w:val="none"/>
        </w:rPr>
      </w:pPr>
      <w:r>
        <w:rPr>
          <w:color w:val="auto"/>
          <w:sz w:val="24"/>
          <w:highlight w:val="none"/>
        </w:rPr>
        <w:t>说明：供应商承诺不实的，依据《政府采购法》第七十七条“提供虚假材料谋取中标、成交的”有关规定予以处理。</w:t>
      </w:r>
    </w:p>
    <w:p w14:paraId="5FE0C0CE">
      <w:pPr>
        <w:tabs>
          <w:tab w:val="left" w:pos="5580"/>
        </w:tabs>
        <w:spacing w:line="360" w:lineRule="auto"/>
        <w:rPr>
          <w:color w:val="auto"/>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53FCB2E6">
      <w:pPr>
        <w:spacing w:before="78" w:line="360" w:lineRule="auto"/>
        <w:ind w:left="18"/>
        <w:rPr>
          <w:rFonts w:hint="eastAsia" w:ascii="宋体" w:hAnsi="宋体" w:eastAsia="宋体" w:cs="宋体"/>
          <w:b/>
          <w:bCs/>
          <w:color w:val="auto"/>
          <w:sz w:val="24"/>
          <w:szCs w:val="24"/>
          <w:highlight w:val="none"/>
        </w:rPr>
      </w:pPr>
      <w:r>
        <w:rPr>
          <w:rFonts w:hint="eastAsia" w:ascii="宋体" w:hAnsi="宋体" w:eastAsia="宋体" w:cs="宋体"/>
          <w:b/>
          <w:bCs/>
          <w:color w:val="auto"/>
          <w:spacing w:val="8"/>
          <w:sz w:val="24"/>
          <w:szCs w:val="24"/>
          <w:highlight w:val="none"/>
        </w:rPr>
        <w:t xml:space="preserve">2   </w:t>
      </w:r>
      <w:r>
        <w:rPr>
          <w:rFonts w:hint="eastAsia" w:ascii="宋体" w:hAnsi="宋体" w:eastAsia="宋体" w:cs="宋体"/>
          <w:b/>
          <w:bCs/>
          <w:color w:val="auto"/>
          <w:spacing w:val="5"/>
          <w:sz w:val="24"/>
          <w:szCs w:val="24"/>
          <w:highlight w:val="none"/>
        </w:rPr>
        <w:t>落</w:t>
      </w:r>
      <w:r>
        <w:rPr>
          <w:rFonts w:hint="eastAsia" w:ascii="宋体" w:hAnsi="宋体" w:eastAsia="宋体" w:cs="宋体"/>
          <w:b/>
          <w:bCs/>
          <w:color w:val="auto"/>
          <w:spacing w:val="4"/>
          <w:sz w:val="24"/>
          <w:szCs w:val="24"/>
          <w:highlight w:val="none"/>
        </w:rPr>
        <w:t>实政府采购政策需满足的资格要求(如有)</w:t>
      </w:r>
    </w:p>
    <w:p w14:paraId="3F63FE75">
      <w:pPr>
        <w:spacing w:before="180" w:line="360" w:lineRule="auto"/>
        <w:ind w:left="18"/>
        <w:rPr>
          <w:rFonts w:hint="eastAsia"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rPr>
        <w:t xml:space="preserve">2-1 </w:t>
      </w:r>
      <w:r>
        <w:rPr>
          <w:rFonts w:hint="eastAsia" w:ascii="宋体" w:hAnsi="宋体" w:eastAsia="宋体" w:cs="宋体"/>
          <w:color w:val="auto"/>
          <w:spacing w:val="1"/>
          <w:position w:val="17"/>
          <w:sz w:val="24"/>
          <w:szCs w:val="24"/>
          <w:highlight w:val="none"/>
        </w:rPr>
        <w:t xml:space="preserve"> 中小企业证明文件</w:t>
      </w:r>
    </w:p>
    <w:p w14:paraId="4BB386AF">
      <w:pPr>
        <w:spacing w:line="36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说明：</w:t>
      </w:r>
    </w:p>
    <w:p w14:paraId="74A562FE">
      <w:pPr>
        <w:spacing w:before="181" w:line="360" w:lineRule="auto"/>
        <w:ind w:left="10" w:right="12" w:firstLine="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7"/>
          <w:sz w:val="24"/>
          <w:szCs w:val="24"/>
          <w:highlight w:val="none"/>
        </w:rPr>
        <w:t>1)如本项目(包) 不专门面向中小企业预留采购份额，资格证明文件部分无需提供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《中小企业声明函》或《残疾人福利性单位声</w:t>
      </w:r>
      <w:r>
        <w:rPr>
          <w:rFonts w:hint="eastAsia" w:ascii="宋体" w:hAnsi="宋体" w:eastAsia="宋体" w:cs="宋体"/>
          <w:color w:val="auto"/>
          <w:spacing w:val="-1"/>
          <w:sz w:val="24"/>
          <w:szCs w:val="24"/>
          <w:highlight w:val="none"/>
        </w:rPr>
        <w:t>明函》或由省级以上监狱管理局、戒毒管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理局(含新疆生产建设兵团) 出具的属</w:t>
      </w:r>
      <w:r>
        <w:rPr>
          <w:rFonts w:hint="eastAsia" w:ascii="宋体" w:hAnsi="宋体" w:eastAsia="宋体" w:cs="宋体"/>
          <w:color w:val="auto"/>
          <w:spacing w:val="-1"/>
          <w:sz w:val="24"/>
          <w:szCs w:val="24"/>
          <w:highlight w:val="none"/>
        </w:rPr>
        <w:t>于监狱企业的证明文件；供应商如具有上述证明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文件，建议</w:t>
      </w:r>
      <w:r>
        <w:rPr>
          <w:rFonts w:hint="eastAsia" w:ascii="宋体" w:hAnsi="宋体" w:eastAsia="宋体" w:cs="宋体"/>
          <w:color w:val="auto"/>
          <w:spacing w:val="-2"/>
          <w:sz w:val="24"/>
          <w:szCs w:val="24"/>
          <w:highlight w:val="none"/>
        </w:rPr>
        <w:t>在商务技术文件中提供。</w:t>
      </w:r>
    </w:p>
    <w:p w14:paraId="11C3C485">
      <w:pPr>
        <w:spacing w:before="180" w:line="360" w:lineRule="auto"/>
        <w:ind w:left="12" w:right="22" w:firstLine="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(2)如本项目(包) 专门面向中小企业采购，投标文件中须提供《中小企业声明函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或《残疾人福利性单位声</w:t>
      </w:r>
      <w:r>
        <w:rPr>
          <w:rFonts w:hint="eastAsia" w:ascii="宋体" w:hAnsi="宋体" w:eastAsia="宋体" w:cs="宋体"/>
          <w:color w:val="auto"/>
          <w:spacing w:val="1"/>
          <w:sz w:val="24"/>
          <w:szCs w:val="24"/>
          <w:highlight w:val="none"/>
        </w:rPr>
        <w:t>明函》或由省级以上监狱管理局、戒毒管理局(含新疆生产建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设兵团</w:t>
      </w:r>
      <w:r>
        <w:rPr>
          <w:rFonts w:hint="eastAsia" w:ascii="宋体" w:hAnsi="宋体" w:eastAsia="宋体" w:cs="宋体"/>
          <w:color w:val="auto"/>
          <w:spacing w:val="2"/>
          <w:sz w:val="24"/>
          <w:szCs w:val="24"/>
          <w:highlight w:val="none"/>
        </w:rPr>
        <w:t>)出具的属于监狱企业的证明文件，且建议在资格证明文件部分提供。</w:t>
      </w:r>
    </w:p>
    <w:p w14:paraId="012DCD6E">
      <w:pPr>
        <w:spacing w:before="177" w:line="360" w:lineRule="auto"/>
        <w:ind w:left="10" w:firstLine="5"/>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13"/>
          <w:sz w:val="24"/>
          <w:szCs w:val="24"/>
          <w:highlight w:val="none"/>
        </w:rPr>
        <w:t>3</w:t>
      </w:r>
      <w:r>
        <w:rPr>
          <w:rFonts w:hint="eastAsia" w:ascii="宋体" w:hAnsi="宋体" w:eastAsia="宋体" w:cs="宋体"/>
          <w:color w:val="auto"/>
          <w:spacing w:val="10"/>
          <w:sz w:val="24"/>
          <w:szCs w:val="24"/>
          <w:highlight w:val="none"/>
        </w:rPr>
        <w:t>)如本项目(包) 预留部分采购项目预算专门面向中小企业采购，且要求获得采购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合同的供应</w:t>
      </w:r>
      <w:r>
        <w:rPr>
          <w:rFonts w:hint="eastAsia" w:ascii="宋体" w:hAnsi="宋体" w:eastAsia="宋体" w:cs="宋体"/>
          <w:color w:val="auto"/>
          <w:spacing w:val="-6"/>
          <w:sz w:val="24"/>
          <w:szCs w:val="24"/>
          <w:highlight w:val="none"/>
        </w:rPr>
        <w:t>商</w:t>
      </w:r>
      <w:r>
        <w:rPr>
          <w:rFonts w:hint="eastAsia" w:ascii="宋体" w:hAnsi="宋体" w:eastAsia="宋体" w:cs="宋体"/>
          <w:color w:val="auto"/>
          <w:spacing w:val="-4"/>
          <w:sz w:val="24"/>
          <w:szCs w:val="24"/>
          <w:highlight w:val="none"/>
        </w:rPr>
        <w:t>将采购项目中的一定比例分包给一家或者多家中小企业的，投标文件中除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须提供《中小企</w:t>
      </w:r>
      <w:r>
        <w:rPr>
          <w:rFonts w:hint="eastAsia" w:ascii="宋体" w:hAnsi="宋体" w:eastAsia="宋体" w:cs="宋体"/>
          <w:color w:val="auto"/>
          <w:spacing w:val="-1"/>
          <w:sz w:val="24"/>
          <w:szCs w:val="24"/>
          <w:highlight w:val="none"/>
        </w:rPr>
        <w:t>业声明函》或《残疾人福利性单位声明函》或由省级以上监狱管理局、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戒毒管理局(含</w:t>
      </w:r>
      <w:r>
        <w:rPr>
          <w:rFonts w:hint="eastAsia" w:ascii="宋体" w:hAnsi="宋体" w:eastAsia="宋体" w:cs="宋体"/>
          <w:color w:val="auto"/>
          <w:spacing w:val="-7"/>
          <w:sz w:val="24"/>
          <w:szCs w:val="24"/>
          <w:highlight w:val="none"/>
        </w:rPr>
        <w:t>新</w:t>
      </w:r>
      <w:r>
        <w:rPr>
          <w:rFonts w:hint="eastAsia" w:ascii="宋体" w:hAnsi="宋体" w:eastAsia="宋体" w:cs="宋体"/>
          <w:color w:val="auto"/>
          <w:spacing w:val="-4"/>
          <w:sz w:val="24"/>
          <w:szCs w:val="24"/>
          <w:highlight w:val="none"/>
        </w:rPr>
        <w:t>疆生产建设兵团)出具的属于监狱企业的证明文件， 还须同时提供《拟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pacing w:val="-5"/>
          <w:sz w:val="24"/>
          <w:szCs w:val="24"/>
          <w:highlight w:val="none"/>
        </w:rPr>
        <w:t>包情况说明》及《分包意向协议》，且建议在资格证明文件部分提供。</w:t>
      </w:r>
    </w:p>
    <w:p w14:paraId="59FC9D42">
      <w:pPr>
        <w:spacing w:before="182" w:line="360" w:lineRule="auto"/>
        <w:ind w:left="10" w:right="12" w:firstLine="5"/>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13"/>
          <w:sz w:val="24"/>
          <w:szCs w:val="24"/>
          <w:highlight w:val="none"/>
        </w:rPr>
        <w:t>4</w:t>
      </w:r>
      <w:r>
        <w:rPr>
          <w:rFonts w:hint="eastAsia" w:ascii="宋体" w:hAnsi="宋体" w:eastAsia="宋体" w:cs="宋体"/>
          <w:color w:val="auto"/>
          <w:spacing w:val="10"/>
          <w:sz w:val="24"/>
          <w:szCs w:val="24"/>
          <w:highlight w:val="none"/>
        </w:rPr>
        <w:t>)如本项目(包) 预留部分采购项目预算专门面向中小企业采购，且要求供应商以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联合体形式参加采购活动，投标文件中除</w:t>
      </w:r>
      <w:r>
        <w:rPr>
          <w:rFonts w:hint="eastAsia" w:ascii="宋体" w:hAnsi="宋体" w:eastAsia="宋体" w:cs="宋体"/>
          <w:color w:val="auto"/>
          <w:sz w:val="24"/>
          <w:szCs w:val="24"/>
          <w:highlight w:val="none"/>
        </w:rPr>
        <w:t xml:space="preserve">须提供《中小企业声明函》或《残疾人福利性 </w:t>
      </w:r>
      <w:r>
        <w:rPr>
          <w:rFonts w:hint="eastAsia" w:ascii="宋体" w:hAnsi="宋体" w:eastAsia="宋体" w:cs="宋体"/>
          <w:color w:val="auto"/>
          <w:spacing w:val="2"/>
          <w:sz w:val="24"/>
          <w:szCs w:val="24"/>
          <w:highlight w:val="none"/>
        </w:rPr>
        <w:t>单位声明函》或由省级以上监狱管理局、戒毒管理局</w:t>
      </w:r>
      <w:r>
        <w:rPr>
          <w:rFonts w:hint="eastAsia" w:ascii="宋体" w:hAnsi="宋体" w:eastAsia="宋体" w:cs="宋体"/>
          <w:color w:val="auto"/>
          <w:spacing w:val="1"/>
          <w:sz w:val="24"/>
          <w:szCs w:val="24"/>
          <w:highlight w:val="none"/>
        </w:rPr>
        <w:t>(含新疆生产建设兵团)出具的属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于监狱企业的证明文件，还须同时提供《联合协议》</w:t>
      </w:r>
      <w:r>
        <w:rPr>
          <w:rFonts w:hint="eastAsia" w:ascii="宋体" w:hAnsi="宋体" w:eastAsia="宋体" w:cs="宋体"/>
          <w:color w:val="auto"/>
          <w:spacing w:val="-1"/>
          <w:sz w:val="24"/>
          <w:szCs w:val="24"/>
          <w:highlight w:val="none"/>
        </w:rPr>
        <w:t>；上述文件建议在资格证明文件部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分</w:t>
      </w:r>
      <w:r>
        <w:rPr>
          <w:rFonts w:hint="eastAsia" w:ascii="宋体" w:hAnsi="宋体" w:eastAsia="宋体" w:cs="宋体"/>
          <w:color w:val="auto"/>
          <w:spacing w:val="-8"/>
          <w:sz w:val="24"/>
          <w:szCs w:val="24"/>
          <w:highlight w:val="none"/>
        </w:rPr>
        <w:t>提供。</w:t>
      </w:r>
    </w:p>
    <w:p w14:paraId="6E7371CA">
      <w:pPr>
        <w:spacing w:before="188" w:line="360" w:lineRule="auto"/>
        <w:ind w:left="9" w:right="12" w:firstLine="7"/>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4"/>
          <w:sz w:val="24"/>
          <w:szCs w:val="24"/>
          <w:highlight w:val="none"/>
        </w:rPr>
        <w:t>5)中小企业声明函填写注意事项</w:t>
      </w:r>
      <w:r>
        <w:rPr>
          <w:rFonts w:hint="eastAsia" w:ascii="宋体" w:hAnsi="宋体" w:eastAsia="宋体" w:cs="宋体"/>
          <w:color w:val="auto"/>
          <w:sz w:val="24"/>
          <w:szCs w:val="24"/>
          <w:highlight w:val="none"/>
        </w:rPr>
        <w:t xml:space="preserve">                                            </w:t>
      </w:r>
    </w:p>
    <w:p w14:paraId="7FA2AF62">
      <w:pPr>
        <w:spacing w:before="188" w:line="360" w:lineRule="auto"/>
        <w:ind w:left="9" w:right="12" w:firstLine="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1)《中小企业声明函》由参加政府采购活动的投标人出具。联合体投</w:t>
      </w:r>
      <w:r>
        <w:rPr>
          <w:rFonts w:hint="eastAsia" w:ascii="宋体" w:hAnsi="宋体" w:eastAsia="宋体" w:cs="宋体"/>
          <w:color w:val="auto"/>
          <w:spacing w:val="-1"/>
          <w:sz w:val="24"/>
          <w:szCs w:val="24"/>
          <w:highlight w:val="none"/>
        </w:rPr>
        <w:t>标的，《中小企业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声明</w:t>
      </w:r>
      <w:r>
        <w:rPr>
          <w:rFonts w:hint="eastAsia" w:ascii="宋体" w:hAnsi="宋体" w:eastAsia="宋体" w:cs="宋体"/>
          <w:color w:val="auto"/>
          <w:spacing w:val="-4"/>
          <w:sz w:val="24"/>
          <w:szCs w:val="24"/>
          <w:highlight w:val="none"/>
        </w:rPr>
        <w:t>函</w:t>
      </w:r>
      <w:r>
        <w:rPr>
          <w:rFonts w:hint="eastAsia" w:ascii="宋体" w:hAnsi="宋体" w:eastAsia="宋体" w:cs="宋体"/>
          <w:color w:val="auto"/>
          <w:spacing w:val="-3"/>
          <w:sz w:val="24"/>
          <w:szCs w:val="24"/>
          <w:highlight w:val="none"/>
        </w:rPr>
        <w:t>》可由牵头人出具。</w:t>
      </w:r>
      <w:r>
        <w:rPr>
          <w:rFonts w:hint="eastAsia" w:ascii="宋体" w:hAnsi="宋体" w:eastAsia="宋体" w:cs="宋体"/>
          <w:color w:val="auto"/>
          <w:sz w:val="24"/>
          <w:szCs w:val="24"/>
          <w:highlight w:val="none"/>
        </w:rPr>
        <w:t xml:space="preserve">                                                    </w:t>
      </w:r>
    </w:p>
    <w:p w14:paraId="59E9B3EB">
      <w:pPr>
        <w:spacing w:before="188" w:line="360" w:lineRule="auto"/>
        <w:ind w:left="9" w:right="12" w:firstLine="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2)对于</w:t>
      </w:r>
      <w:r>
        <w:rPr>
          <w:rFonts w:hint="eastAsia" w:ascii="宋体" w:hAnsi="宋体" w:eastAsia="宋体" w:cs="宋体"/>
          <w:color w:val="auto"/>
          <w:spacing w:val="4"/>
          <w:sz w:val="24"/>
          <w:szCs w:val="24"/>
          <w:highlight w:val="none"/>
        </w:rPr>
        <w:t>联合体中由中小企业承担的部分，或者分包给中小企业的部分，必须全部由中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小企业制造、承建或者承接。供应商应当在声明函“</w:t>
      </w:r>
      <w:r>
        <w:rPr>
          <w:rFonts w:hint="eastAsia" w:ascii="宋体" w:hAnsi="宋体" w:eastAsia="宋体" w:cs="宋体"/>
          <w:color w:val="auto"/>
          <w:sz w:val="24"/>
          <w:szCs w:val="24"/>
          <w:highlight w:val="none"/>
        </w:rPr>
        <w:t xml:space="preserve">标的名称”部分标明联合体中中小企 </w:t>
      </w:r>
      <w:r>
        <w:rPr>
          <w:rFonts w:hint="eastAsia" w:ascii="宋体" w:hAnsi="宋体" w:eastAsia="宋体" w:cs="宋体"/>
          <w:color w:val="auto"/>
          <w:spacing w:val="-2"/>
          <w:sz w:val="24"/>
          <w:szCs w:val="24"/>
          <w:highlight w:val="none"/>
        </w:rPr>
        <w:t>业承担的具体内容或者中小企业的具体分包内容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3)对于</w:t>
      </w:r>
      <w:r>
        <w:rPr>
          <w:rFonts w:hint="eastAsia" w:ascii="宋体" w:hAnsi="宋体" w:eastAsia="宋体" w:cs="宋体"/>
          <w:color w:val="auto"/>
          <w:spacing w:val="4"/>
          <w:sz w:val="24"/>
          <w:szCs w:val="24"/>
          <w:highlight w:val="none"/>
        </w:rPr>
        <w:t>多标的采购项目，投标人应充分、准确地了解所提供货物的制造企业、提供服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务的承接企业信息。对</w:t>
      </w:r>
      <w:r>
        <w:rPr>
          <w:rFonts w:hint="eastAsia" w:ascii="宋体" w:hAnsi="宋体" w:eastAsia="宋体" w:cs="宋体"/>
          <w:color w:val="auto"/>
          <w:spacing w:val="-1"/>
          <w:sz w:val="24"/>
          <w:szCs w:val="24"/>
          <w:highlight w:val="none"/>
        </w:rPr>
        <w:t>相关情况了解不清楚的，不建议填报本声明函。</w:t>
      </w:r>
    </w:p>
    <w:p w14:paraId="6EAF1C99">
      <w:pPr>
        <w:spacing w:before="183" w:line="360" w:lineRule="auto"/>
        <w:ind w:left="32" w:right="13" w:hanging="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eastAsia="宋体" w:cs="宋体"/>
          <w:color w:val="auto"/>
          <w:spacing w:val="1"/>
          <w:sz w:val="24"/>
          <w:szCs w:val="24"/>
          <w:highlight w:val="none"/>
        </w:rPr>
        <w:t>温馨提示：为方便广大中小企业识别企业规模类型， 工业和信息化部组织开发了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中小企业规模类型自测小程序， 在国务院客户端和工业和信息化部网站上均有链接， 投</w:t>
      </w:r>
    </w:p>
    <w:p w14:paraId="0417E9B0">
      <w:pPr>
        <w:spacing w:before="78" w:line="360" w:lineRule="auto"/>
        <w:ind w:left="9"/>
        <w:rPr>
          <w:rFonts w:hint="eastAsia" w:ascii="宋体" w:hAnsi="宋体" w:eastAsia="宋体" w:cs="宋体"/>
          <w:color w:val="auto"/>
          <w:sz w:val="24"/>
          <w:szCs w:val="24"/>
          <w:highlight w:val="none"/>
        </w:rPr>
        <w:sectPr>
          <w:headerReference r:id="rId16" w:type="default"/>
          <w:footerReference r:id="rId17" w:type="default"/>
          <w:pgSz w:w="11907" w:h="16840"/>
          <w:pgMar w:top="1117" w:right="1070" w:bottom="1060" w:left="1700"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2"/>
          <w:sz w:val="24"/>
          <w:szCs w:val="24"/>
          <w:highlight w:val="none"/>
        </w:rPr>
        <w:t>标人填写所属的行业和指标数据可自动生成企</w:t>
      </w:r>
      <w:r>
        <w:rPr>
          <w:rFonts w:hint="eastAsia" w:ascii="宋体" w:hAnsi="宋体" w:eastAsia="宋体" w:cs="宋体"/>
          <w:color w:val="auto"/>
          <w:spacing w:val="-1"/>
          <w:sz w:val="24"/>
          <w:szCs w:val="24"/>
          <w:highlight w:val="none"/>
        </w:rPr>
        <w:t>业规模类型测试结果。本项目中小企业划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分标准所属行业详见第二章《投标人须知资料表》</w:t>
      </w:r>
      <w:r>
        <w:rPr>
          <w:rFonts w:hint="eastAsia" w:ascii="宋体" w:hAnsi="宋体" w:eastAsia="宋体" w:cs="宋体"/>
          <w:color w:val="auto"/>
          <w:spacing w:val="-1"/>
          <w:sz w:val="24"/>
          <w:szCs w:val="24"/>
          <w:highlight w:val="none"/>
        </w:rPr>
        <w:t>，如在该程序中未找到本项目文件规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定的中小企业划分标准所属行业， 则按照《关于印发中小企业划型标</w:t>
      </w:r>
      <w:r>
        <w:rPr>
          <w:rFonts w:hint="eastAsia" w:ascii="宋体" w:hAnsi="宋体" w:eastAsia="宋体" w:cs="宋体"/>
          <w:color w:val="auto"/>
          <w:spacing w:val="-1"/>
          <w:sz w:val="24"/>
          <w:szCs w:val="24"/>
          <w:highlight w:val="none"/>
        </w:rPr>
        <w:t>准规定的通知(工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信部联企业﹝ 2011 ﹞ 300 号)》及本项目文件规定的中小企业划分标准所属行业执行</w:t>
      </w:r>
      <w:r>
        <w:rPr>
          <w:rFonts w:hint="eastAsia" w:ascii="宋体" w:hAnsi="宋体" w:eastAsia="宋体" w:cs="宋体"/>
          <w:color w:val="auto"/>
          <w:spacing w:val="-5"/>
          <w:sz w:val="24"/>
          <w:szCs w:val="24"/>
          <w:highlight w:val="none"/>
          <w:lang w:eastAsia="zh-CN"/>
        </w:rPr>
        <w:t>。</w:t>
      </w:r>
    </w:p>
    <w:p w14:paraId="03D3CBDB">
      <w:pPr>
        <w:spacing w:line="360" w:lineRule="auto"/>
        <w:rPr>
          <w:rFonts w:hint="eastAsia" w:ascii="宋体" w:hAnsi="宋体" w:eastAsia="宋体" w:cs="宋体"/>
          <w:color w:val="auto"/>
          <w:sz w:val="24"/>
          <w:szCs w:val="24"/>
          <w:highlight w:val="none"/>
        </w:rPr>
      </w:pPr>
    </w:p>
    <w:p w14:paraId="5E1C4D47">
      <w:pPr>
        <w:spacing w:before="78" w:line="36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2-1-1  中小企业声明</w:t>
      </w:r>
      <w:r>
        <w:rPr>
          <w:rFonts w:hint="eastAsia" w:ascii="宋体" w:hAnsi="宋体" w:eastAsia="宋体" w:cs="宋体"/>
          <w:color w:val="auto"/>
          <w:spacing w:val="1"/>
          <w:sz w:val="24"/>
          <w:szCs w:val="24"/>
          <w:highlight w:val="none"/>
        </w:rPr>
        <w:t>函及残疾人福利性单位声明函格式</w:t>
      </w:r>
    </w:p>
    <w:p w14:paraId="1E29D34B">
      <w:pPr>
        <w:spacing w:before="117" w:line="220" w:lineRule="auto"/>
        <w:ind w:left="1802"/>
        <w:rPr>
          <w:rFonts w:ascii="宋体" w:hAnsi="宋体" w:eastAsia="宋体" w:cs="宋体"/>
          <w:color w:val="auto"/>
          <w:sz w:val="36"/>
          <w:szCs w:val="36"/>
          <w:highlight w:val="none"/>
        </w:rPr>
      </w:pPr>
      <w:r>
        <w:rPr>
          <w:rFonts w:ascii="宋体" w:hAnsi="宋体" w:eastAsia="宋体" w:cs="宋体"/>
          <w:color w:val="auto"/>
          <w:spacing w:val="21"/>
          <w:sz w:val="36"/>
          <w:szCs w:val="36"/>
          <w:highlight w:val="none"/>
          <w14:textOutline w14:w="2306" w14:cap="flat" w14:cmpd="sng">
            <w14:solidFill>
              <w14:srgbClr w14:val="000000"/>
            </w14:solidFill>
            <w14:prstDash w14:val="solid"/>
            <w14:miter w14:val="0"/>
          </w14:textOutline>
        </w:rPr>
        <w:t>中小企业声明函(</w:t>
      </w:r>
      <w:r>
        <w:rPr>
          <w:rFonts w:hint="eastAsia" w:ascii="宋体" w:hAnsi="宋体" w:cs="宋体"/>
          <w:color w:val="auto"/>
          <w:spacing w:val="21"/>
          <w:sz w:val="36"/>
          <w:szCs w:val="36"/>
          <w:highlight w:val="none"/>
          <w:lang w:val="en-US" w:eastAsia="zh-CN"/>
          <w14:textOutline w14:w="2306" w14:cap="flat" w14:cmpd="sng">
            <w14:solidFill>
              <w14:srgbClr w14:val="000000"/>
            </w14:solidFill>
            <w14:prstDash w14:val="solid"/>
            <w14:miter w14:val="0"/>
          </w14:textOutline>
        </w:rPr>
        <w:t>工程、服务</w:t>
      </w:r>
      <w:r>
        <w:rPr>
          <w:rFonts w:ascii="宋体" w:hAnsi="宋体" w:eastAsia="宋体" w:cs="宋体"/>
          <w:color w:val="auto"/>
          <w:spacing w:val="21"/>
          <w:sz w:val="36"/>
          <w:szCs w:val="36"/>
          <w:highlight w:val="none"/>
          <w14:textOutline w14:w="2306" w14:cap="flat" w14:cmpd="sng">
            <w14:solidFill>
              <w14:srgbClr w14:val="000000"/>
            </w14:solidFill>
            <w14:prstDash w14:val="solid"/>
            <w14:miter w14:val="0"/>
          </w14:textOutline>
        </w:rPr>
        <w:t>)格</w:t>
      </w:r>
      <w:r>
        <w:rPr>
          <w:rFonts w:ascii="宋体" w:hAnsi="宋体" w:eastAsia="宋体" w:cs="宋体"/>
          <w:color w:val="auto"/>
          <w:spacing w:val="20"/>
          <w:sz w:val="36"/>
          <w:szCs w:val="36"/>
          <w:highlight w:val="none"/>
          <w14:textOutline w14:w="2306" w14:cap="flat" w14:cmpd="sng">
            <w14:solidFill>
              <w14:srgbClr w14:val="000000"/>
            </w14:solidFill>
            <w14:prstDash w14:val="solid"/>
            <w14:miter w14:val="0"/>
          </w14:textOutline>
        </w:rPr>
        <w:t>式</w:t>
      </w:r>
    </w:p>
    <w:p w14:paraId="2BD6E666">
      <w:pPr>
        <w:spacing w:line="413" w:lineRule="auto"/>
        <w:rPr>
          <w:rFonts w:ascii="Arial"/>
          <w:color w:val="auto"/>
          <w:sz w:val="21"/>
          <w:highlight w:val="none"/>
        </w:rPr>
      </w:pPr>
    </w:p>
    <w:p w14:paraId="1B8198C0">
      <w:pPr>
        <w:spacing w:before="78" w:line="359" w:lineRule="auto"/>
        <w:ind w:left="117" w:firstLine="50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本公司(联合体) 郑重声明，根据《政府采购促进中小企业发展管理办法》(</w:t>
      </w:r>
      <w:r>
        <w:rPr>
          <w:rFonts w:ascii="宋体" w:hAnsi="宋体" w:eastAsia="宋体" w:cs="宋体"/>
          <w:color w:val="auto"/>
          <w:spacing w:val="9"/>
          <w:sz w:val="24"/>
          <w:szCs w:val="24"/>
          <w:highlight w:val="none"/>
        </w:rPr>
        <w:t>财</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库</w:t>
      </w:r>
      <w:r>
        <w:rPr>
          <w:rFonts w:ascii="宋体" w:hAnsi="宋体" w:eastAsia="宋体" w:cs="宋体"/>
          <w:color w:val="auto"/>
          <w:spacing w:val="12"/>
          <w:sz w:val="24"/>
          <w:szCs w:val="24"/>
          <w:highlight w:val="none"/>
        </w:rPr>
        <w:t>﹝</w:t>
      </w:r>
      <w:r>
        <w:rPr>
          <w:rFonts w:ascii="Arial" w:hAnsi="Arial" w:eastAsia="Arial" w:cs="Arial"/>
          <w:color w:val="auto"/>
          <w:spacing w:val="12"/>
          <w:sz w:val="24"/>
          <w:szCs w:val="24"/>
          <w:highlight w:val="none"/>
        </w:rPr>
        <w:t>2020</w:t>
      </w:r>
      <w:r>
        <w:rPr>
          <w:rFonts w:ascii="宋体" w:hAnsi="宋体" w:eastAsia="宋体" w:cs="宋体"/>
          <w:color w:val="auto"/>
          <w:spacing w:val="12"/>
          <w:sz w:val="24"/>
          <w:szCs w:val="24"/>
          <w:highlight w:val="none"/>
        </w:rPr>
        <w:t>﹞</w:t>
      </w:r>
      <w:r>
        <w:rPr>
          <w:rFonts w:ascii="Arial" w:hAnsi="Arial" w:eastAsia="Arial" w:cs="Arial"/>
          <w:color w:val="auto"/>
          <w:spacing w:val="12"/>
          <w:sz w:val="24"/>
          <w:szCs w:val="24"/>
          <w:highlight w:val="none"/>
        </w:rPr>
        <w:t xml:space="preserve">46 </w:t>
      </w:r>
      <w:r>
        <w:rPr>
          <w:rFonts w:ascii="宋体" w:hAnsi="宋体" w:eastAsia="宋体" w:cs="宋体"/>
          <w:color w:val="auto"/>
          <w:spacing w:val="12"/>
          <w:sz w:val="24"/>
          <w:szCs w:val="24"/>
          <w:highlight w:val="none"/>
        </w:rPr>
        <w:t>号)的规定，本公司(联合体) 参加</w:t>
      </w:r>
      <w:r>
        <w:rPr>
          <w:rFonts w:hint="eastAsia" w:ascii="宋体" w:hAnsi="宋体" w:eastAsia="宋体" w:cs="宋体"/>
          <w:b/>
          <w:bCs/>
          <w:color w:val="auto"/>
          <w:spacing w:val="12"/>
          <w:sz w:val="24"/>
          <w:szCs w:val="24"/>
          <w:highlight w:val="none"/>
          <w:u w:val="single"/>
          <w:lang w:val="en-US" w:eastAsia="zh-CN"/>
        </w:rPr>
        <w:t xml:space="preserve">    </w:t>
      </w:r>
      <w:r>
        <w:rPr>
          <w:rFonts w:ascii="宋体" w:hAnsi="宋体" w:eastAsia="宋体" w:cs="宋体"/>
          <w:b/>
          <w:bCs/>
          <w:color w:val="auto"/>
          <w:spacing w:val="12"/>
          <w:sz w:val="24"/>
          <w:szCs w:val="24"/>
          <w:highlight w:val="none"/>
          <w:u w:val="single"/>
        </w:rPr>
        <w:t>(单位名称)</w:t>
      </w:r>
      <w:r>
        <w:rPr>
          <w:rFonts w:ascii="宋体" w:hAnsi="宋体" w:eastAsia="宋体" w:cs="宋体"/>
          <w:b/>
          <w:bCs/>
          <w:color w:val="auto"/>
          <w:spacing w:val="12"/>
          <w:sz w:val="24"/>
          <w:szCs w:val="24"/>
          <w:highlight w:val="none"/>
        </w:rPr>
        <w:t xml:space="preserve"> 的</w:t>
      </w:r>
      <w:r>
        <w:rPr>
          <w:rFonts w:hint="eastAsia" w:ascii="宋体" w:hAnsi="宋体" w:eastAsia="宋体" w:cs="宋体"/>
          <w:b/>
          <w:bCs/>
          <w:color w:val="auto"/>
          <w:spacing w:val="12"/>
          <w:sz w:val="24"/>
          <w:szCs w:val="24"/>
          <w:highlight w:val="none"/>
          <w:u w:val="single"/>
          <w:lang w:val="en-US" w:eastAsia="zh-CN"/>
        </w:rPr>
        <w:t xml:space="preserve">    </w:t>
      </w:r>
      <w:r>
        <w:rPr>
          <w:rFonts w:ascii="宋体" w:hAnsi="宋体" w:eastAsia="宋体" w:cs="宋体"/>
          <w:b/>
          <w:bCs/>
          <w:color w:val="auto"/>
          <w:spacing w:val="12"/>
          <w:sz w:val="24"/>
          <w:szCs w:val="24"/>
          <w:highlight w:val="none"/>
          <w:u w:val="single"/>
        </w:rPr>
        <w:t>(项目名称)</w:t>
      </w:r>
      <w:r>
        <w:rPr>
          <w:rFonts w:ascii="宋体" w:hAnsi="宋体" w:eastAsia="宋体" w:cs="宋体"/>
          <w:b/>
          <w:bCs/>
          <w:color w:val="auto"/>
          <w:sz w:val="24"/>
          <w:szCs w:val="24"/>
          <w:highlight w:val="none"/>
        </w:rPr>
        <w:t xml:space="preserve"> </w:t>
      </w:r>
      <w:r>
        <w:rPr>
          <w:rFonts w:ascii="宋体" w:hAnsi="宋体" w:eastAsia="宋体" w:cs="宋体"/>
          <w:color w:val="auto"/>
          <w:spacing w:val="15"/>
          <w:sz w:val="24"/>
          <w:szCs w:val="24"/>
          <w:highlight w:val="none"/>
        </w:rPr>
        <w:t>采购活动，工程的施工单位全部为符合政策要求的中小企业(或者：服务全部由</w:t>
      </w:r>
      <w:r>
        <w:rPr>
          <w:rFonts w:ascii="宋体" w:hAnsi="宋体" w:eastAsia="宋体" w:cs="宋体"/>
          <w:color w:val="auto"/>
          <w:spacing w:val="13"/>
          <w:sz w:val="24"/>
          <w:szCs w:val="24"/>
          <w:highlight w:val="none"/>
        </w:rPr>
        <w:t>符</w:t>
      </w:r>
      <w:r>
        <w:rPr>
          <w:rFonts w:ascii="宋体" w:hAnsi="宋体" w:eastAsia="宋体" w:cs="宋体"/>
          <w:color w:val="auto"/>
          <w:spacing w:val="22"/>
          <w:sz w:val="24"/>
          <w:szCs w:val="24"/>
          <w:highlight w:val="none"/>
        </w:rPr>
        <w:t>合</w:t>
      </w:r>
      <w:r>
        <w:rPr>
          <w:rFonts w:ascii="宋体" w:hAnsi="宋体" w:eastAsia="宋体" w:cs="宋体"/>
          <w:color w:val="auto"/>
          <w:spacing w:val="11"/>
          <w:sz w:val="24"/>
          <w:szCs w:val="24"/>
          <w:highlight w:val="none"/>
        </w:rPr>
        <w:t>政策要求的中小企业承接)。相关企业(含联合体中的中小企业、签订分包意向协</w:t>
      </w:r>
      <w:r>
        <w:rPr>
          <w:rFonts w:ascii="宋体" w:hAnsi="宋体" w:eastAsia="宋体" w:cs="宋体"/>
          <w:color w:val="auto"/>
          <w:spacing w:val="13"/>
          <w:sz w:val="24"/>
          <w:szCs w:val="24"/>
          <w:highlight w:val="none"/>
        </w:rPr>
        <w:t>议</w:t>
      </w:r>
      <w:r>
        <w:rPr>
          <w:rFonts w:ascii="宋体" w:hAnsi="宋体" w:eastAsia="宋体" w:cs="宋体"/>
          <w:color w:val="auto"/>
          <w:spacing w:val="9"/>
          <w:sz w:val="24"/>
          <w:szCs w:val="24"/>
          <w:highlight w:val="none"/>
        </w:rPr>
        <w:t>的中小企业) 的具体情况如下：</w:t>
      </w:r>
    </w:p>
    <w:p w14:paraId="79E0A1B9">
      <w:pPr>
        <w:spacing w:before="1" w:line="359" w:lineRule="auto"/>
        <w:ind w:left="121" w:right="56" w:firstLine="517"/>
        <w:rPr>
          <w:rFonts w:ascii="宋体" w:hAnsi="宋体" w:eastAsia="宋体" w:cs="宋体"/>
          <w:color w:val="auto"/>
          <w:sz w:val="24"/>
          <w:szCs w:val="24"/>
          <w:highlight w:val="none"/>
        </w:rPr>
      </w:pPr>
      <w:r>
        <w:rPr>
          <w:rFonts w:ascii="Arial" w:hAnsi="Arial" w:eastAsia="Arial" w:cs="Arial"/>
          <w:color w:val="auto"/>
          <w:spacing w:val="8"/>
          <w:sz w:val="24"/>
          <w:szCs w:val="24"/>
          <w:highlight w:val="none"/>
        </w:rPr>
        <w:t xml:space="preserve">1. </w:t>
      </w:r>
      <w:r>
        <w:rPr>
          <w:rFonts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   </w:t>
      </w:r>
      <w:r>
        <w:rPr>
          <w:rFonts w:ascii="宋体" w:hAnsi="宋体" w:eastAsia="宋体" w:cs="宋体"/>
          <w:color w:val="auto"/>
          <w:spacing w:val="8"/>
          <w:sz w:val="24"/>
          <w:szCs w:val="24"/>
          <w:highlight w:val="none"/>
          <w:u w:val="single" w:color="auto"/>
        </w:rPr>
        <w:t xml:space="preserve">(标的名称)  </w:t>
      </w:r>
      <w:r>
        <w:rPr>
          <w:rFonts w:ascii="宋体" w:hAnsi="宋体" w:eastAsia="宋体" w:cs="宋体"/>
          <w:color w:val="auto"/>
          <w:spacing w:val="8"/>
          <w:sz w:val="24"/>
          <w:szCs w:val="24"/>
          <w:highlight w:val="none"/>
        </w:rPr>
        <w:t xml:space="preserve"> ，属于</w:t>
      </w:r>
      <w:r>
        <w:rPr>
          <w:rFonts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   </w:t>
      </w:r>
      <w:r>
        <w:rPr>
          <w:rFonts w:ascii="宋体" w:hAnsi="宋体" w:eastAsia="宋体" w:cs="宋体"/>
          <w:color w:val="auto"/>
          <w:spacing w:val="8"/>
          <w:sz w:val="24"/>
          <w:szCs w:val="24"/>
          <w:highlight w:val="none"/>
          <w:u w:val="single" w:color="auto"/>
        </w:rPr>
        <w:t xml:space="preserve">(采购文件中明确的所属行业) </w:t>
      </w:r>
      <w:r>
        <w:rPr>
          <w:rFonts w:ascii="宋体" w:hAnsi="宋体" w:eastAsia="宋体" w:cs="宋体"/>
          <w:color w:val="auto"/>
          <w:spacing w:val="8"/>
          <w:sz w:val="24"/>
          <w:szCs w:val="24"/>
          <w:highlight w:val="none"/>
        </w:rPr>
        <w:t>行业；承建(承</w:t>
      </w:r>
      <w:r>
        <w:rPr>
          <w:rFonts w:ascii="宋体" w:hAnsi="宋体" w:eastAsia="宋体" w:cs="宋体"/>
          <w:color w:val="auto"/>
          <w:spacing w:val="7"/>
          <w:sz w:val="24"/>
          <w:szCs w:val="24"/>
          <w:highlight w:val="none"/>
        </w:rPr>
        <w:t>接</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企业为</w:t>
      </w:r>
      <w:r>
        <w:rPr>
          <w:rFonts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ascii="宋体" w:hAnsi="宋体" w:eastAsia="宋体" w:cs="宋体"/>
          <w:color w:val="auto"/>
          <w:spacing w:val="-4"/>
          <w:sz w:val="24"/>
          <w:szCs w:val="24"/>
          <w:highlight w:val="none"/>
          <w:u w:val="single" w:color="auto"/>
        </w:rPr>
        <w:t>(企业名称)</w:t>
      </w:r>
      <w:r>
        <w:rPr>
          <w:rFonts w:ascii="宋体" w:hAnsi="宋体" w:eastAsia="宋体" w:cs="宋体"/>
          <w:color w:val="auto"/>
          <w:spacing w:val="-4"/>
          <w:sz w:val="24"/>
          <w:szCs w:val="24"/>
          <w:highlight w:val="none"/>
        </w:rPr>
        <w:t>，从业人员</w:t>
      </w:r>
      <w:r>
        <w:rPr>
          <w:rFonts w:ascii="Arial" w:hAnsi="Arial" w:eastAsia="Arial" w:cs="Arial"/>
          <w:color w:val="auto"/>
          <w:spacing w:val="-4"/>
          <w:sz w:val="24"/>
          <w:szCs w:val="24"/>
          <w:highlight w:val="none"/>
        </w:rPr>
        <w:t>______</w:t>
      </w:r>
      <w:r>
        <w:rPr>
          <w:rFonts w:ascii="宋体" w:hAnsi="宋体" w:eastAsia="宋体" w:cs="宋体"/>
          <w:color w:val="auto"/>
          <w:spacing w:val="-4"/>
          <w:sz w:val="24"/>
          <w:szCs w:val="24"/>
          <w:highlight w:val="none"/>
        </w:rPr>
        <w:t>人，营业收入为</w:t>
      </w:r>
      <w:r>
        <w:rPr>
          <w:rFonts w:ascii="Arial" w:hAnsi="Arial" w:eastAsia="Arial" w:cs="Arial"/>
          <w:color w:val="auto"/>
          <w:spacing w:val="-4"/>
          <w:sz w:val="24"/>
          <w:szCs w:val="24"/>
          <w:highlight w:val="none"/>
        </w:rPr>
        <w:t>______</w:t>
      </w:r>
      <w:r>
        <w:rPr>
          <w:rFonts w:ascii="宋体" w:hAnsi="宋体" w:eastAsia="宋体" w:cs="宋体"/>
          <w:color w:val="auto"/>
          <w:spacing w:val="-4"/>
          <w:sz w:val="24"/>
          <w:szCs w:val="24"/>
          <w:highlight w:val="none"/>
        </w:rPr>
        <w:t>万元，资产总额为</w:t>
      </w:r>
      <w:r>
        <w:rPr>
          <w:rFonts w:ascii="Arial" w:hAnsi="Arial" w:eastAsia="Arial" w:cs="Arial"/>
          <w:color w:val="auto"/>
          <w:spacing w:val="-4"/>
          <w:sz w:val="24"/>
          <w:szCs w:val="24"/>
          <w:highlight w:val="none"/>
        </w:rPr>
        <w:t>____</w:t>
      </w:r>
      <w:r>
        <w:rPr>
          <w:rFonts w:ascii="Arial" w:hAnsi="Arial" w:eastAsia="Arial" w:cs="Arial"/>
          <w:color w:val="auto"/>
          <w:sz w:val="24"/>
          <w:szCs w:val="24"/>
          <w:highlight w:val="none"/>
        </w:rPr>
        <w:t xml:space="preserve">__ </w:t>
      </w:r>
      <w:r>
        <w:rPr>
          <w:rFonts w:ascii="宋体" w:hAnsi="宋体" w:eastAsia="宋体" w:cs="宋体"/>
          <w:color w:val="auto"/>
          <w:spacing w:val="15"/>
          <w:sz w:val="24"/>
          <w:szCs w:val="24"/>
          <w:highlight w:val="none"/>
        </w:rPr>
        <w:t>万</w:t>
      </w:r>
      <w:r>
        <w:rPr>
          <w:rFonts w:ascii="宋体" w:hAnsi="宋体" w:eastAsia="宋体" w:cs="宋体"/>
          <w:color w:val="auto"/>
          <w:spacing w:val="10"/>
          <w:sz w:val="24"/>
          <w:szCs w:val="24"/>
          <w:highlight w:val="none"/>
        </w:rPr>
        <w:t xml:space="preserve">元 </w:t>
      </w:r>
      <w:r>
        <w:rPr>
          <w:rFonts w:ascii="Arial" w:hAnsi="Arial" w:eastAsia="Arial" w:cs="Arial"/>
          <w:color w:val="auto"/>
          <w:spacing w:val="10"/>
          <w:position w:val="6"/>
          <w:sz w:val="16"/>
          <w:szCs w:val="16"/>
          <w:highlight w:val="none"/>
        </w:rPr>
        <w:t xml:space="preserve">1 </w:t>
      </w:r>
      <w:r>
        <w:rPr>
          <w:rFonts w:ascii="宋体" w:hAnsi="宋体" w:eastAsia="宋体" w:cs="宋体"/>
          <w:color w:val="auto"/>
          <w:spacing w:val="10"/>
          <w:sz w:val="24"/>
          <w:szCs w:val="24"/>
          <w:highlight w:val="none"/>
        </w:rPr>
        <w:t>，属于</w:t>
      </w:r>
      <w:r>
        <w:rPr>
          <w:rFonts w:hint="eastAsia" w:ascii="宋体" w:hAnsi="宋体" w:eastAsia="宋体" w:cs="宋体"/>
          <w:color w:val="auto"/>
          <w:spacing w:val="10"/>
          <w:sz w:val="24"/>
          <w:szCs w:val="24"/>
          <w:highlight w:val="none"/>
          <w:u w:val="single"/>
          <w:lang w:val="en-US" w:eastAsia="zh-CN"/>
        </w:rPr>
        <w:t xml:space="preserve">    </w:t>
      </w:r>
      <w:r>
        <w:rPr>
          <w:rFonts w:ascii="宋体" w:hAnsi="宋体" w:eastAsia="宋体" w:cs="宋体"/>
          <w:color w:val="auto"/>
          <w:spacing w:val="10"/>
          <w:sz w:val="24"/>
          <w:szCs w:val="24"/>
          <w:highlight w:val="none"/>
          <w:u w:val="single"/>
        </w:rPr>
        <w:t>(中型企业、小型企业、微型企业)</w:t>
      </w:r>
      <w:r>
        <w:rPr>
          <w:rFonts w:ascii="宋体" w:hAnsi="宋体" w:eastAsia="宋体" w:cs="宋体"/>
          <w:color w:val="auto"/>
          <w:spacing w:val="10"/>
          <w:sz w:val="24"/>
          <w:szCs w:val="24"/>
          <w:highlight w:val="none"/>
        </w:rPr>
        <w:t>；</w:t>
      </w:r>
    </w:p>
    <w:p w14:paraId="7E666067">
      <w:pPr>
        <w:spacing w:before="2" w:line="362" w:lineRule="auto"/>
        <w:ind w:left="121" w:right="56" w:firstLine="508"/>
        <w:rPr>
          <w:rFonts w:ascii="宋体" w:hAnsi="宋体" w:eastAsia="宋体" w:cs="宋体"/>
          <w:color w:val="auto"/>
          <w:sz w:val="24"/>
          <w:szCs w:val="24"/>
          <w:highlight w:val="none"/>
        </w:rPr>
      </w:pPr>
      <w:r>
        <w:rPr>
          <w:rFonts w:ascii="Arial" w:hAnsi="Arial" w:eastAsia="Arial" w:cs="Arial"/>
          <w:color w:val="auto"/>
          <w:spacing w:val="18"/>
          <w:sz w:val="24"/>
          <w:szCs w:val="24"/>
          <w:highlight w:val="none"/>
        </w:rPr>
        <w:t>2</w:t>
      </w:r>
      <w:r>
        <w:rPr>
          <w:rFonts w:ascii="Arial" w:hAnsi="Arial" w:eastAsia="Arial" w:cs="Arial"/>
          <w:color w:val="auto"/>
          <w:spacing w:val="11"/>
          <w:sz w:val="24"/>
          <w:szCs w:val="24"/>
          <w:highlight w:val="none"/>
        </w:rPr>
        <w:t>.</w:t>
      </w:r>
      <w:r>
        <w:rPr>
          <w:rFonts w:ascii="Arial" w:hAnsi="Arial" w:eastAsia="Arial" w:cs="Arial"/>
          <w:color w:val="auto"/>
          <w:spacing w:val="9"/>
          <w:sz w:val="24"/>
          <w:szCs w:val="24"/>
          <w:highlight w:val="none"/>
        </w:rPr>
        <w:t xml:space="preserve">  </w:t>
      </w:r>
      <w:r>
        <w:rPr>
          <w:rFonts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 xml:space="preserve">   </w:t>
      </w:r>
      <w:r>
        <w:rPr>
          <w:rFonts w:ascii="宋体" w:hAnsi="宋体" w:eastAsia="宋体" w:cs="宋体"/>
          <w:color w:val="auto"/>
          <w:spacing w:val="9"/>
          <w:sz w:val="24"/>
          <w:szCs w:val="24"/>
          <w:highlight w:val="none"/>
          <w:u w:val="single" w:color="auto"/>
        </w:rPr>
        <w:t xml:space="preserve">(标的名称)  </w:t>
      </w:r>
      <w:r>
        <w:rPr>
          <w:rFonts w:ascii="宋体" w:hAnsi="宋体" w:eastAsia="宋体" w:cs="宋体"/>
          <w:color w:val="auto"/>
          <w:spacing w:val="9"/>
          <w:sz w:val="24"/>
          <w:szCs w:val="24"/>
          <w:highlight w:val="none"/>
        </w:rPr>
        <w:t xml:space="preserve"> ，属于</w:t>
      </w:r>
      <w:r>
        <w:rPr>
          <w:rFonts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 xml:space="preserve">   </w:t>
      </w:r>
      <w:r>
        <w:rPr>
          <w:rFonts w:ascii="宋体" w:hAnsi="宋体" w:eastAsia="宋体" w:cs="宋体"/>
          <w:color w:val="auto"/>
          <w:spacing w:val="9"/>
          <w:sz w:val="24"/>
          <w:szCs w:val="24"/>
          <w:highlight w:val="none"/>
          <w:u w:val="single" w:color="auto"/>
        </w:rPr>
        <w:t xml:space="preserve">(采购文件中明确的所属行业) </w:t>
      </w:r>
      <w:r>
        <w:rPr>
          <w:rFonts w:ascii="宋体" w:hAnsi="宋体" w:eastAsia="宋体" w:cs="宋体"/>
          <w:color w:val="auto"/>
          <w:spacing w:val="9"/>
          <w:sz w:val="24"/>
          <w:szCs w:val="24"/>
          <w:highlight w:val="none"/>
        </w:rPr>
        <w:t>行业；承建(承接)</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企业为</w:t>
      </w:r>
      <w:r>
        <w:rPr>
          <w:rFonts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ascii="宋体" w:hAnsi="宋体" w:eastAsia="宋体" w:cs="宋体"/>
          <w:color w:val="auto"/>
          <w:spacing w:val="-4"/>
          <w:sz w:val="24"/>
          <w:szCs w:val="24"/>
          <w:highlight w:val="none"/>
          <w:u w:val="single" w:color="auto"/>
        </w:rPr>
        <w:t>(企业名称)</w:t>
      </w:r>
      <w:r>
        <w:rPr>
          <w:rFonts w:ascii="宋体" w:hAnsi="宋体" w:eastAsia="宋体" w:cs="宋体"/>
          <w:color w:val="auto"/>
          <w:spacing w:val="-4"/>
          <w:sz w:val="24"/>
          <w:szCs w:val="24"/>
          <w:highlight w:val="none"/>
        </w:rPr>
        <w:t>，从业人员</w:t>
      </w:r>
      <w:r>
        <w:rPr>
          <w:rFonts w:ascii="Arial" w:hAnsi="Arial" w:eastAsia="Arial" w:cs="Arial"/>
          <w:color w:val="auto"/>
          <w:spacing w:val="-4"/>
          <w:sz w:val="24"/>
          <w:szCs w:val="24"/>
          <w:highlight w:val="none"/>
        </w:rPr>
        <w:t>______</w:t>
      </w:r>
      <w:r>
        <w:rPr>
          <w:rFonts w:ascii="宋体" w:hAnsi="宋体" w:eastAsia="宋体" w:cs="宋体"/>
          <w:color w:val="auto"/>
          <w:spacing w:val="-4"/>
          <w:sz w:val="24"/>
          <w:szCs w:val="24"/>
          <w:highlight w:val="none"/>
        </w:rPr>
        <w:t>人，营业收入为</w:t>
      </w:r>
      <w:r>
        <w:rPr>
          <w:rFonts w:ascii="Arial" w:hAnsi="Arial" w:eastAsia="Arial" w:cs="Arial"/>
          <w:color w:val="auto"/>
          <w:spacing w:val="-4"/>
          <w:sz w:val="24"/>
          <w:szCs w:val="24"/>
          <w:highlight w:val="none"/>
        </w:rPr>
        <w:t>______</w:t>
      </w:r>
      <w:r>
        <w:rPr>
          <w:rFonts w:ascii="宋体" w:hAnsi="宋体" w:eastAsia="宋体" w:cs="宋体"/>
          <w:color w:val="auto"/>
          <w:spacing w:val="-4"/>
          <w:sz w:val="24"/>
          <w:szCs w:val="24"/>
          <w:highlight w:val="none"/>
        </w:rPr>
        <w:t>万元，资产总额为</w:t>
      </w:r>
      <w:r>
        <w:rPr>
          <w:rFonts w:ascii="Arial" w:hAnsi="Arial" w:eastAsia="Arial" w:cs="Arial"/>
          <w:color w:val="auto"/>
          <w:spacing w:val="-4"/>
          <w:sz w:val="24"/>
          <w:szCs w:val="24"/>
          <w:highlight w:val="none"/>
        </w:rPr>
        <w:t>____</w:t>
      </w:r>
      <w:r>
        <w:rPr>
          <w:rFonts w:ascii="Arial" w:hAnsi="Arial" w:eastAsia="Arial" w:cs="Arial"/>
          <w:color w:val="auto"/>
          <w:sz w:val="24"/>
          <w:szCs w:val="24"/>
          <w:highlight w:val="none"/>
        </w:rPr>
        <w:t xml:space="preserve">__ </w:t>
      </w:r>
      <w:r>
        <w:rPr>
          <w:rFonts w:ascii="宋体" w:hAnsi="宋体" w:eastAsia="宋体" w:cs="宋体"/>
          <w:color w:val="auto"/>
          <w:spacing w:val="11"/>
          <w:sz w:val="24"/>
          <w:szCs w:val="24"/>
          <w:highlight w:val="none"/>
        </w:rPr>
        <w:t>万</w:t>
      </w:r>
      <w:r>
        <w:rPr>
          <w:rFonts w:ascii="宋体" w:hAnsi="宋体" w:eastAsia="宋体" w:cs="宋体"/>
          <w:color w:val="auto"/>
          <w:spacing w:val="10"/>
          <w:sz w:val="24"/>
          <w:szCs w:val="24"/>
          <w:highlight w:val="none"/>
        </w:rPr>
        <w:t>元，属于</w:t>
      </w:r>
      <w:r>
        <w:rPr>
          <w:rFonts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lang w:val="en-US" w:eastAsia="zh-CN"/>
        </w:rPr>
        <w:t xml:space="preserve">     </w:t>
      </w:r>
      <w:r>
        <w:rPr>
          <w:rFonts w:ascii="宋体" w:hAnsi="宋体" w:eastAsia="宋体" w:cs="宋体"/>
          <w:color w:val="auto"/>
          <w:spacing w:val="10"/>
          <w:sz w:val="24"/>
          <w:szCs w:val="24"/>
          <w:highlight w:val="none"/>
          <w:u w:val="single" w:color="auto"/>
        </w:rPr>
        <w:t>(中型企业、小型企业、微型企业)</w:t>
      </w:r>
      <w:r>
        <w:rPr>
          <w:rFonts w:ascii="宋体" w:hAnsi="宋体" w:eastAsia="宋体" w:cs="宋体"/>
          <w:color w:val="auto"/>
          <w:spacing w:val="10"/>
          <w:sz w:val="24"/>
          <w:szCs w:val="24"/>
          <w:highlight w:val="none"/>
        </w:rPr>
        <w:t>；</w:t>
      </w:r>
    </w:p>
    <w:p w14:paraId="05B7C188">
      <w:pPr>
        <w:spacing w:line="244" w:lineRule="auto"/>
        <w:rPr>
          <w:rFonts w:ascii="Arial"/>
          <w:color w:val="auto"/>
          <w:sz w:val="21"/>
          <w:highlight w:val="none"/>
        </w:rPr>
      </w:pPr>
    </w:p>
    <w:p w14:paraId="3ED4A66F">
      <w:pPr>
        <w:spacing w:line="245" w:lineRule="auto"/>
        <w:rPr>
          <w:rFonts w:ascii="Arial"/>
          <w:color w:val="auto"/>
          <w:sz w:val="21"/>
          <w:highlight w:val="none"/>
        </w:rPr>
      </w:pPr>
    </w:p>
    <w:p w14:paraId="6976BFF7">
      <w:pPr>
        <w:spacing w:before="69" w:line="81" w:lineRule="exact"/>
        <w:ind w:left="640"/>
        <w:rPr>
          <w:rFonts w:ascii="Arial" w:hAnsi="Arial" w:eastAsia="Arial" w:cs="Arial"/>
          <w:color w:val="auto"/>
          <w:sz w:val="24"/>
          <w:szCs w:val="24"/>
          <w:highlight w:val="none"/>
        </w:rPr>
      </w:pPr>
      <w:r>
        <w:rPr>
          <w:rFonts w:ascii="Arial" w:hAnsi="Arial" w:eastAsia="Arial" w:cs="Arial"/>
          <w:color w:val="auto"/>
          <w:spacing w:val="-12"/>
          <w:position w:val="1"/>
          <w:sz w:val="24"/>
          <w:szCs w:val="24"/>
          <w:highlight w:val="none"/>
        </w:rPr>
        <w:t>…</w:t>
      </w:r>
      <w:r>
        <w:rPr>
          <w:rFonts w:ascii="Arial" w:hAnsi="Arial" w:eastAsia="Arial" w:cs="Arial"/>
          <w:color w:val="auto"/>
          <w:spacing w:val="-11"/>
          <w:position w:val="1"/>
          <w:sz w:val="24"/>
          <w:szCs w:val="24"/>
          <w:highlight w:val="none"/>
        </w:rPr>
        <w:t>…</w:t>
      </w:r>
    </w:p>
    <w:p w14:paraId="23F1A225">
      <w:pPr>
        <w:spacing w:before="182" w:line="359" w:lineRule="auto"/>
        <w:ind w:left="116" w:right="61" w:firstLine="532"/>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以上</w:t>
      </w:r>
      <w:r>
        <w:rPr>
          <w:rFonts w:ascii="宋体" w:hAnsi="宋体" w:eastAsia="宋体" w:cs="宋体"/>
          <w:color w:val="auto"/>
          <w:spacing w:val="15"/>
          <w:sz w:val="24"/>
          <w:szCs w:val="24"/>
          <w:highlight w:val="none"/>
        </w:rPr>
        <w:t>企</w:t>
      </w:r>
      <w:r>
        <w:rPr>
          <w:rFonts w:ascii="宋体" w:hAnsi="宋体" w:eastAsia="宋体" w:cs="宋体"/>
          <w:color w:val="auto"/>
          <w:spacing w:val="10"/>
          <w:sz w:val="24"/>
          <w:szCs w:val="24"/>
          <w:highlight w:val="none"/>
        </w:rPr>
        <w:t>业，不属于大企业的分支机构，不存在控股股东为大企业的情形，也不</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存</w:t>
      </w:r>
      <w:r>
        <w:rPr>
          <w:rFonts w:ascii="宋体" w:hAnsi="宋体" w:eastAsia="宋体" w:cs="宋体"/>
          <w:color w:val="auto"/>
          <w:spacing w:val="10"/>
          <w:sz w:val="24"/>
          <w:szCs w:val="24"/>
          <w:highlight w:val="none"/>
        </w:rPr>
        <w:t>在与大企业的负责人为同一人的情形。</w:t>
      </w:r>
    </w:p>
    <w:p w14:paraId="54C7DF48">
      <w:pPr>
        <w:spacing w:line="219" w:lineRule="auto"/>
        <w:ind w:left="622"/>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本</w:t>
      </w:r>
      <w:r>
        <w:rPr>
          <w:rFonts w:ascii="宋体" w:hAnsi="宋体" w:eastAsia="宋体" w:cs="宋体"/>
          <w:color w:val="auto"/>
          <w:spacing w:val="11"/>
          <w:sz w:val="24"/>
          <w:szCs w:val="24"/>
          <w:highlight w:val="none"/>
        </w:rPr>
        <w:t>企业对上述声明内容的真实性负责。如有虚假，将依法承担相应责任。</w:t>
      </w:r>
    </w:p>
    <w:p w14:paraId="1F4A2DCB">
      <w:pPr>
        <w:spacing w:line="259" w:lineRule="auto"/>
        <w:rPr>
          <w:rFonts w:ascii="Arial"/>
          <w:color w:val="auto"/>
          <w:sz w:val="21"/>
          <w:highlight w:val="none"/>
        </w:rPr>
      </w:pPr>
    </w:p>
    <w:p w14:paraId="75EBDA2E">
      <w:pPr>
        <w:spacing w:line="259" w:lineRule="auto"/>
        <w:rPr>
          <w:rFonts w:ascii="Arial"/>
          <w:color w:val="auto"/>
          <w:sz w:val="21"/>
          <w:highlight w:val="none"/>
        </w:rPr>
      </w:pPr>
    </w:p>
    <w:p w14:paraId="63F61B01">
      <w:pPr>
        <w:spacing w:before="79" w:line="360" w:lineRule="auto"/>
        <w:ind w:right="416"/>
        <w:jc w:val="right"/>
        <w:rPr>
          <w:rFonts w:ascii="Arial" w:hAnsi="Arial" w:eastAsia="Arial" w:cs="Arial"/>
          <w:color w:val="auto"/>
          <w:sz w:val="24"/>
          <w:szCs w:val="24"/>
          <w:highlight w:val="none"/>
        </w:rPr>
      </w:pPr>
      <w:r>
        <w:rPr>
          <w:rFonts w:ascii="宋体" w:hAnsi="宋体" w:eastAsia="宋体" w:cs="宋体"/>
          <w:color w:val="auto"/>
          <w:spacing w:val="2"/>
          <w:sz w:val="24"/>
          <w:szCs w:val="24"/>
          <w:highlight w:val="none"/>
        </w:rPr>
        <w:t>企业名称(盖章)：</w:t>
      </w:r>
      <w:r>
        <w:rPr>
          <w:rFonts w:ascii="Arial" w:hAnsi="Arial" w:eastAsia="Arial" w:cs="Arial"/>
          <w:color w:val="auto"/>
          <w:spacing w:val="2"/>
          <w:sz w:val="24"/>
          <w:szCs w:val="24"/>
          <w:highlight w:val="none"/>
        </w:rPr>
        <w:t>_</w:t>
      </w:r>
      <w:r>
        <w:rPr>
          <w:rFonts w:ascii="Arial" w:hAnsi="Arial" w:eastAsia="Arial" w:cs="Arial"/>
          <w:color w:val="auto"/>
          <w:spacing w:val="1"/>
          <w:sz w:val="24"/>
          <w:szCs w:val="24"/>
          <w:highlight w:val="none"/>
        </w:rPr>
        <w:t>_____</w:t>
      </w:r>
      <w:r>
        <w:rPr>
          <w:rFonts w:ascii="Arial" w:hAnsi="Arial" w:eastAsia="Arial" w:cs="Arial"/>
          <w:color w:val="auto"/>
          <w:sz w:val="24"/>
          <w:szCs w:val="24"/>
          <w:highlight w:val="none"/>
        </w:rPr>
        <w:t xml:space="preserve"> </w:t>
      </w:r>
    </w:p>
    <w:p w14:paraId="1A09D149">
      <w:pPr>
        <w:spacing w:before="79" w:line="360" w:lineRule="auto"/>
        <w:ind w:right="416"/>
        <w:jc w:val="right"/>
        <w:rPr>
          <w:rFonts w:ascii="Arial" w:hAnsi="Arial" w:eastAsia="Arial" w:cs="Arial"/>
          <w:color w:val="auto"/>
          <w:sz w:val="24"/>
          <w:szCs w:val="24"/>
          <w:highlight w:val="none"/>
        </w:rPr>
      </w:pPr>
      <w:r>
        <w:rPr>
          <w:rFonts w:ascii="宋体" w:hAnsi="宋体" w:eastAsia="宋体" w:cs="宋体"/>
          <w:color w:val="auto"/>
          <w:spacing w:val="-23"/>
          <w:sz w:val="24"/>
          <w:szCs w:val="24"/>
          <w:highlight w:val="none"/>
        </w:rPr>
        <w:t xml:space="preserve">日 期： </w:t>
      </w:r>
      <w:r>
        <w:rPr>
          <w:rFonts w:ascii="Arial" w:hAnsi="Arial" w:eastAsia="Arial" w:cs="Arial"/>
          <w:color w:val="auto"/>
          <w:spacing w:val="-23"/>
          <w:sz w:val="24"/>
          <w:szCs w:val="24"/>
          <w:highlight w:val="none"/>
        </w:rPr>
        <w:t>_____</w:t>
      </w:r>
      <w:r>
        <w:rPr>
          <w:rFonts w:ascii="Arial" w:hAnsi="Arial" w:eastAsia="Arial" w:cs="Arial"/>
          <w:color w:val="auto"/>
          <w:spacing w:val="-22"/>
          <w:sz w:val="24"/>
          <w:szCs w:val="24"/>
          <w:highlight w:val="none"/>
        </w:rPr>
        <w:t>_</w:t>
      </w:r>
    </w:p>
    <w:p w14:paraId="60457AB5">
      <w:pPr>
        <w:spacing w:line="247" w:lineRule="auto"/>
        <w:rPr>
          <w:rFonts w:ascii="Arial"/>
          <w:color w:val="auto"/>
          <w:sz w:val="21"/>
          <w:highlight w:val="none"/>
        </w:rPr>
      </w:pPr>
    </w:p>
    <w:p w14:paraId="66AC550F">
      <w:pPr>
        <w:spacing w:line="248" w:lineRule="auto"/>
        <w:rPr>
          <w:rFonts w:ascii="Arial"/>
          <w:color w:val="auto"/>
          <w:sz w:val="21"/>
          <w:highlight w:val="none"/>
        </w:rPr>
      </w:pPr>
    </w:p>
    <w:p w14:paraId="22D10324">
      <w:pPr>
        <w:spacing w:before="65" w:line="228" w:lineRule="auto"/>
        <w:ind w:left="124"/>
        <w:rPr>
          <w:rFonts w:ascii="宋体" w:hAnsi="宋体" w:eastAsia="宋体" w:cs="宋体"/>
          <w:color w:val="auto"/>
          <w:sz w:val="20"/>
          <w:szCs w:val="20"/>
          <w:highlight w:val="none"/>
        </w:rPr>
      </w:pPr>
      <w:r>
        <w:rPr>
          <w:color w:val="auto"/>
          <w:highlight w:val="none"/>
        </w:rPr>
        <w:drawing>
          <wp:anchor distT="0" distB="0" distL="0" distR="0" simplePos="0" relativeHeight="251667456" behindDoc="0" locked="0" layoutInCell="0" allowOverlap="1">
            <wp:simplePos x="0" y="0"/>
            <wp:positionH relativeFrom="page">
              <wp:posOffset>989330</wp:posOffset>
            </wp:positionH>
            <wp:positionV relativeFrom="page">
              <wp:posOffset>7955915</wp:posOffset>
            </wp:positionV>
            <wp:extent cx="568071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28"/>
                    <a:stretch>
                      <a:fillRect/>
                    </a:stretch>
                  </pic:blipFill>
                  <pic:spPr>
                    <a:xfrm>
                      <a:off x="0" y="0"/>
                      <a:ext cx="5680993" cy="6350"/>
                    </a:xfrm>
                    <a:prstGeom prst="rect">
                      <a:avLst/>
                    </a:prstGeom>
                  </pic:spPr>
                </pic:pic>
              </a:graphicData>
            </a:graphic>
          </wp:anchor>
        </w:drawing>
      </w:r>
      <w:r>
        <w:rPr>
          <w:rFonts w:ascii="Arial" w:hAnsi="Arial" w:eastAsia="Arial" w:cs="Arial"/>
          <w:color w:val="auto"/>
          <w:spacing w:val="14"/>
          <w:position w:val="5"/>
          <w:sz w:val="14"/>
          <w:szCs w:val="14"/>
          <w:highlight w:val="none"/>
        </w:rPr>
        <w:t>1</w:t>
      </w:r>
      <w:r>
        <w:rPr>
          <w:rFonts w:ascii="Arial" w:hAnsi="Arial" w:eastAsia="Arial" w:cs="Arial"/>
          <w:color w:val="auto"/>
          <w:spacing w:val="9"/>
          <w:position w:val="5"/>
          <w:sz w:val="14"/>
          <w:szCs w:val="14"/>
          <w:highlight w:val="none"/>
        </w:rPr>
        <w:t xml:space="preserve"> </w:t>
      </w:r>
      <w:r>
        <w:rPr>
          <w:rFonts w:ascii="宋体" w:hAnsi="宋体" w:eastAsia="宋体" w:cs="宋体"/>
          <w:color w:val="auto"/>
          <w:spacing w:val="9"/>
          <w:sz w:val="20"/>
          <w:szCs w:val="20"/>
          <w:highlight w:val="none"/>
        </w:rPr>
        <w:t>从业人员、营业收入、资产总额填报上一年度数据，无上一年度数据的新成立企业可不填报。</w:t>
      </w:r>
    </w:p>
    <w:p w14:paraId="185B4BA7">
      <w:pPr>
        <w:spacing w:line="321" w:lineRule="auto"/>
        <w:rPr>
          <w:rFonts w:ascii="Arial"/>
          <w:color w:val="auto"/>
          <w:sz w:val="21"/>
          <w:highlight w:val="none"/>
        </w:rPr>
      </w:pPr>
    </w:p>
    <w:p w14:paraId="782C4345">
      <w:pPr>
        <w:rPr>
          <w:rFonts w:hint="eastAsia" w:ascii="Times New Roman" w:hAnsi="Times New Roman" w:eastAsia="宋体" w:cs="Times New Roman"/>
          <w:b/>
          <w:bCs/>
          <w:snapToGrid/>
          <w:color w:val="auto"/>
          <w:kern w:val="2"/>
          <w:sz w:val="36"/>
          <w:szCs w:val="36"/>
          <w:highlight w:val="none"/>
          <w:lang w:val="en-US" w:eastAsia="zh-CN" w:bidi="ar-SA"/>
        </w:rPr>
      </w:pPr>
      <w:r>
        <w:rPr>
          <w:rFonts w:hint="eastAsia" w:ascii="Times New Roman" w:hAnsi="Times New Roman" w:eastAsia="宋体" w:cs="Times New Roman"/>
          <w:b/>
          <w:bCs/>
          <w:snapToGrid/>
          <w:color w:val="auto"/>
          <w:kern w:val="2"/>
          <w:sz w:val="36"/>
          <w:szCs w:val="36"/>
          <w:highlight w:val="none"/>
          <w:lang w:val="en-US" w:eastAsia="zh-CN" w:bidi="ar-SA"/>
        </w:rPr>
        <w:br w:type="page"/>
      </w:r>
    </w:p>
    <w:p w14:paraId="04C4A8BE">
      <w:pPr>
        <w:widowControl w:val="0"/>
        <w:kinsoku/>
        <w:autoSpaceDE/>
        <w:autoSpaceDN/>
        <w:adjustRightInd/>
        <w:snapToGrid/>
        <w:spacing w:before="240" w:beforeLines="100" w:after="240" w:afterLines="100" w:line="360" w:lineRule="auto"/>
        <w:jc w:val="center"/>
        <w:textAlignment w:val="auto"/>
        <w:rPr>
          <w:rFonts w:hint="eastAsia" w:ascii="Times New Roman" w:hAnsi="Times New Roman" w:eastAsia="宋体" w:cs="Times New Roman"/>
          <w:b/>
          <w:bCs/>
          <w:snapToGrid/>
          <w:color w:val="auto"/>
          <w:kern w:val="2"/>
          <w:sz w:val="36"/>
          <w:szCs w:val="36"/>
          <w:highlight w:val="none"/>
          <w:lang w:val="en-US" w:eastAsia="zh-CN" w:bidi="ar-SA"/>
        </w:rPr>
      </w:pPr>
      <w:r>
        <w:rPr>
          <w:rFonts w:hint="eastAsia" w:ascii="Times New Roman" w:hAnsi="Times New Roman" w:eastAsia="宋体" w:cs="Times New Roman"/>
          <w:b/>
          <w:bCs/>
          <w:snapToGrid/>
          <w:color w:val="auto"/>
          <w:kern w:val="2"/>
          <w:sz w:val="36"/>
          <w:szCs w:val="36"/>
          <w:highlight w:val="none"/>
          <w:lang w:val="en-US" w:eastAsia="zh-CN" w:bidi="ar-SA"/>
        </w:rPr>
        <w:t>残疾人福利性单位声明函格式</w:t>
      </w:r>
    </w:p>
    <w:p w14:paraId="28E3F587">
      <w:pPr>
        <w:spacing w:line="360" w:lineRule="auto"/>
        <w:rPr>
          <w:rFonts w:hint="eastAsia" w:ascii="宋体" w:hAnsi="宋体" w:eastAsia="宋体" w:cs="宋体"/>
          <w:color w:val="auto"/>
          <w:sz w:val="24"/>
          <w:szCs w:val="24"/>
          <w:highlight w:val="none"/>
        </w:rPr>
      </w:pPr>
    </w:p>
    <w:p w14:paraId="3B7802A3">
      <w:pPr>
        <w:spacing w:before="78" w:line="360" w:lineRule="auto"/>
        <w:ind w:left="514"/>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本</w:t>
      </w:r>
      <w:r>
        <w:rPr>
          <w:rFonts w:hint="eastAsia" w:ascii="宋体" w:hAnsi="宋体" w:eastAsia="宋体" w:cs="宋体"/>
          <w:color w:val="auto"/>
          <w:spacing w:val="11"/>
          <w:sz w:val="24"/>
          <w:szCs w:val="24"/>
          <w:highlight w:val="none"/>
        </w:rPr>
        <w:t>单位郑重声明，根据《财政部 民政部</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rPr>
        <w:t>中国残疾人联合会关于促进残疾人就</w:t>
      </w:r>
    </w:p>
    <w:p w14:paraId="58500353">
      <w:pPr>
        <w:spacing w:before="303" w:line="36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业政府采购</w:t>
      </w:r>
      <w:r>
        <w:rPr>
          <w:rFonts w:hint="eastAsia" w:ascii="宋体" w:hAnsi="宋体" w:eastAsia="宋体" w:cs="宋体"/>
          <w:color w:val="auto"/>
          <w:spacing w:val="4"/>
          <w:sz w:val="24"/>
          <w:szCs w:val="24"/>
          <w:highlight w:val="none"/>
        </w:rPr>
        <w:t>政策的通知》(财库〔2017〕141 号)的规定，本单位</w:t>
      </w: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(请进行选择)</w:t>
      </w:r>
      <w:r>
        <w:rPr>
          <w:rFonts w:hint="eastAsia" w:ascii="宋体" w:hAnsi="宋体" w:eastAsia="宋体" w:cs="宋体"/>
          <w:color w:val="auto"/>
          <w:spacing w:val="4"/>
          <w:sz w:val="24"/>
          <w:szCs w:val="24"/>
          <w:highlight w:val="none"/>
          <w:lang w:eastAsia="zh-CN"/>
        </w:rPr>
        <w:t>：</w:t>
      </w:r>
    </w:p>
    <w:p w14:paraId="3FEB3B41">
      <w:pPr>
        <w:spacing w:before="226" w:line="360"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6"/>
          <w:position w:val="3"/>
          <w:sz w:val="24"/>
          <w:szCs w:val="24"/>
          <w:highlight w:val="none"/>
        </w:rPr>
        <w:t>□</w:t>
      </w:r>
      <w:r>
        <w:rPr>
          <w:rFonts w:hint="eastAsia" w:ascii="宋体" w:hAnsi="宋体" w:eastAsia="宋体" w:cs="宋体"/>
          <w:color w:val="auto"/>
          <w:spacing w:val="14"/>
          <w:position w:val="3"/>
          <w:sz w:val="24"/>
          <w:szCs w:val="24"/>
          <w:highlight w:val="none"/>
          <w14:textOutline w14:w="1537" w14:cap="flat" w14:cmpd="sng">
            <w14:solidFill>
              <w14:srgbClr w14:val="000000"/>
            </w14:solidFill>
            <w14:prstDash w14:val="solid"/>
            <w14:miter w14:val="0"/>
          </w14:textOutline>
        </w:rPr>
        <w:t>不属于符合条件的残疾人福利性单位。</w:t>
      </w:r>
    </w:p>
    <w:p w14:paraId="4FB449CA">
      <w:pPr>
        <w:spacing w:before="206" w:line="360" w:lineRule="auto"/>
        <w:ind w:left="8" w:right="52" w:firstLine="495"/>
        <w:rPr>
          <w:rFonts w:hint="eastAsia" w:ascii="宋体" w:hAnsi="宋体" w:eastAsia="宋体" w:cs="宋体"/>
          <w:color w:val="auto"/>
          <w:sz w:val="24"/>
          <w:szCs w:val="24"/>
          <w:highlight w:val="none"/>
        </w:rPr>
      </w:pPr>
      <w:r>
        <w:rPr>
          <w:rFonts w:hint="eastAsia" w:ascii="宋体" w:hAnsi="宋体" w:eastAsia="宋体" w:cs="宋体"/>
          <w:b/>
          <w:bCs/>
          <w:color w:val="auto"/>
          <w:spacing w:val="16"/>
          <w:sz w:val="24"/>
          <w:szCs w:val="24"/>
          <w:highlight w:val="none"/>
        </w:rPr>
        <w:t>□</w:t>
      </w:r>
      <w:r>
        <w:rPr>
          <w:rFonts w:hint="eastAsia" w:ascii="宋体" w:hAnsi="宋体" w:eastAsia="宋体" w:cs="宋体"/>
          <w:color w:val="auto"/>
          <w:spacing w:val="16"/>
          <w:sz w:val="24"/>
          <w:szCs w:val="24"/>
          <w:highlight w:val="none"/>
          <w14:textOutline w14:w="1537" w14:cap="flat" w14:cmpd="sng">
            <w14:solidFill>
              <w14:srgbClr w14:val="000000"/>
            </w14:solidFill>
            <w14:prstDash w14:val="solid"/>
            <w14:miter w14:val="0"/>
          </w14:textOutline>
        </w:rPr>
        <w:t>属于</w:t>
      </w:r>
      <w:r>
        <w:rPr>
          <w:rFonts w:hint="eastAsia" w:ascii="宋体" w:hAnsi="宋体" w:eastAsia="宋体" w:cs="宋体"/>
          <w:color w:val="auto"/>
          <w:spacing w:val="9"/>
          <w:sz w:val="24"/>
          <w:szCs w:val="24"/>
          <w:highlight w:val="none"/>
          <w14:textOutline w14:w="1537" w14:cap="flat" w14:cmpd="sng">
            <w14:solidFill>
              <w14:srgbClr w14:val="000000"/>
            </w14:solidFill>
            <w14:prstDash w14:val="solid"/>
            <w14:miter w14:val="0"/>
          </w14:textOutline>
        </w:rPr>
        <w:t>符</w:t>
      </w:r>
      <w:r>
        <w:rPr>
          <w:rFonts w:hint="eastAsia" w:ascii="宋体" w:hAnsi="宋体" w:eastAsia="宋体" w:cs="宋体"/>
          <w:color w:val="auto"/>
          <w:spacing w:val="8"/>
          <w:sz w:val="24"/>
          <w:szCs w:val="24"/>
          <w:highlight w:val="none"/>
          <w14:textOutline w14:w="1537" w14:cap="flat" w14:cmpd="sng">
            <w14:solidFill>
              <w14:srgbClr w14:val="000000"/>
            </w14:solidFill>
            <w14:prstDash w14:val="solid"/>
            <w14:miter w14:val="0"/>
          </w14:textOutline>
        </w:rPr>
        <w:t>合条件的残疾人福利性单位，</w:t>
      </w:r>
      <w:r>
        <w:rPr>
          <w:rFonts w:hint="eastAsia" w:ascii="宋体" w:hAnsi="宋体" w:eastAsia="宋体" w:cs="宋体"/>
          <w:color w:val="auto"/>
          <w:spacing w:val="8"/>
          <w:sz w:val="24"/>
          <w:szCs w:val="24"/>
          <w:highlight w:val="none"/>
        </w:rPr>
        <w:t>且本单位参加______单位的______项目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2"/>
          <w:sz w:val="24"/>
          <w:szCs w:val="24"/>
          <w:highlight w:val="none"/>
        </w:rPr>
        <w:t>采</w:t>
      </w:r>
      <w:r>
        <w:rPr>
          <w:rFonts w:hint="eastAsia" w:ascii="宋体" w:hAnsi="宋体" w:eastAsia="宋体" w:cs="宋体"/>
          <w:color w:val="auto"/>
          <w:spacing w:val="12"/>
          <w:sz w:val="24"/>
          <w:szCs w:val="24"/>
          <w:highlight w:val="none"/>
        </w:rPr>
        <w:t>购活动提供本单位制造的货物(由本单位承担工程/提供服务)， 或者提供其他残</w:t>
      </w:r>
    </w:p>
    <w:p w14:paraId="1334A438">
      <w:pPr>
        <w:spacing w:before="54" w:line="360"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疾</w:t>
      </w:r>
      <w:r>
        <w:rPr>
          <w:rFonts w:hint="eastAsia" w:ascii="宋体" w:hAnsi="宋体" w:eastAsia="宋体" w:cs="宋体"/>
          <w:color w:val="auto"/>
          <w:spacing w:val="14"/>
          <w:sz w:val="24"/>
          <w:szCs w:val="24"/>
          <w:highlight w:val="none"/>
        </w:rPr>
        <w:t>人福利性单位制造的货物(不包括使用非残疾人福利性单位注册商标的货物)。</w:t>
      </w:r>
    </w:p>
    <w:p w14:paraId="05A944BC">
      <w:pPr>
        <w:spacing w:before="303" w:line="360" w:lineRule="auto"/>
        <w:ind w:left="51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本单位对上述声明的真实性负责。如有虚假，将依法承担相应责任</w:t>
      </w:r>
      <w:r>
        <w:rPr>
          <w:rFonts w:hint="eastAsia" w:ascii="宋体" w:hAnsi="宋体" w:eastAsia="宋体" w:cs="宋体"/>
          <w:color w:val="auto"/>
          <w:spacing w:val="6"/>
          <w:sz w:val="24"/>
          <w:szCs w:val="24"/>
          <w:highlight w:val="none"/>
          <w14:textOutline w14:w="1537" w14:cap="flat" w14:cmpd="sng">
            <w14:solidFill>
              <w14:srgbClr w14:val="000000"/>
            </w14:solidFill>
            <w14:prstDash w14:val="solid"/>
            <w14:miter w14:val="0"/>
          </w14:textOutline>
        </w:rPr>
        <w:t>。</w:t>
      </w:r>
    </w:p>
    <w:p w14:paraId="2496A8E1">
      <w:pPr>
        <w:spacing w:line="360" w:lineRule="auto"/>
        <w:rPr>
          <w:rFonts w:hint="eastAsia" w:ascii="宋体" w:hAnsi="宋体" w:eastAsia="宋体" w:cs="宋体"/>
          <w:color w:val="auto"/>
          <w:sz w:val="24"/>
          <w:szCs w:val="24"/>
          <w:highlight w:val="none"/>
        </w:rPr>
      </w:pPr>
    </w:p>
    <w:p w14:paraId="39387DDA">
      <w:pPr>
        <w:spacing w:line="360" w:lineRule="auto"/>
        <w:rPr>
          <w:rFonts w:hint="eastAsia" w:ascii="宋体" w:hAnsi="宋体" w:eastAsia="宋体" w:cs="宋体"/>
          <w:color w:val="auto"/>
          <w:sz w:val="24"/>
          <w:szCs w:val="24"/>
          <w:highlight w:val="none"/>
        </w:rPr>
      </w:pPr>
    </w:p>
    <w:p w14:paraId="362F842E">
      <w:pPr>
        <w:spacing w:line="360" w:lineRule="auto"/>
        <w:rPr>
          <w:rFonts w:hint="eastAsia" w:ascii="宋体" w:hAnsi="宋体" w:eastAsia="宋体" w:cs="宋体"/>
          <w:color w:val="auto"/>
          <w:sz w:val="24"/>
          <w:szCs w:val="24"/>
          <w:highlight w:val="none"/>
        </w:rPr>
      </w:pPr>
    </w:p>
    <w:p w14:paraId="3E2F0931">
      <w:pPr>
        <w:spacing w:line="360" w:lineRule="auto"/>
        <w:rPr>
          <w:rFonts w:hint="eastAsia" w:ascii="宋体" w:hAnsi="宋体" w:eastAsia="宋体" w:cs="宋体"/>
          <w:color w:val="auto"/>
          <w:sz w:val="24"/>
          <w:szCs w:val="24"/>
          <w:highlight w:val="none"/>
        </w:rPr>
      </w:pPr>
    </w:p>
    <w:p w14:paraId="4F74B35C">
      <w:pPr>
        <w:spacing w:line="360" w:lineRule="auto"/>
        <w:rPr>
          <w:rFonts w:hint="eastAsia" w:ascii="宋体" w:hAnsi="宋体" w:eastAsia="宋体" w:cs="宋体"/>
          <w:color w:val="auto"/>
          <w:sz w:val="24"/>
          <w:szCs w:val="24"/>
          <w:highlight w:val="none"/>
        </w:rPr>
      </w:pPr>
    </w:p>
    <w:p w14:paraId="1354E231">
      <w:pPr>
        <w:spacing w:before="78" w:line="360" w:lineRule="auto"/>
        <w:ind w:left="3938"/>
        <w:rPr>
          <w:rFonts w:hint="eastAsia" w:ascii="宋体" w:hAnsi="宋体" w:eastAsia="宋体" w:cs="宋体"/>
          <w:color w:val="auto"/>
          <w:sz w:val="24"/>
          <w:szCs w:val="24"/>
          <w:highlight w:val="none"/>
        </w:rPr>
      </w:pPr>
      <w:r>
        <w:rPr>
          <w:rFonts w:hint="eastAsia" w:ascii="宋体" w:hAnsi="宋体" w:eastAsia="宋体" w:cs="宋体"/>
          <w:color w:val="auto"/>
          <w:spacing w:val="25"/>
          <w:position w:val="26"/>
          <w:sz w:val="24"/>
          <w:szCs w:val="24"/>
          <w:highlight w:val="none"/>
        </w:rPr>
        <w:t>单</w:t>
      </w:r>
      <w:r>
        <w:rPr>
          <w:rFonts w:hint="eastAsia" w:ascii="宋体" w:hAnsi="宋体" w:eastAsia="宋体" w:cs="宋体"/>
          <w:color w:val="auto"/>
          <w:spacing w:val="19"/>
          <w:position w:val="26"/>
          <w:sz w:val="24"/>
          <w:szCs w:val="24"/>
          <w:highlight w:val="none"/>
        </w:rPr>
        <w:t>位名称(盖章)：</w:t>
      </w:r>
    </w:p>
    <w:p w14:paraId="45F1B9B0">
      <w:pPr>
        <w:spacing w:before="1" w:line="360" w:lineRule="auto"/>
        <w:ind w:left="401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日  期：</w:t>
      </w:r>
    </w:p>
    <w:p w14:paraId="2088A8B8">
      <w:pPr>
        <w:spacing w:line="360" w:lineRule="auto"/>
        <w:rPr>
          <w:rFonts w:hint="eastAsia" w:ascii="宋体" w:hAnsi="宋体" w:eastAsia="宋体" w:cs="宋体"/>
          <w:color w:val="auto"/>
          <w:sz w:val="24"/>
          <w:szCs w:val="24"/>
          <w:highlight w:val="none"/>
        </w:rPr>
        <w:sectPr>
          <w:headerReference r:id="rId18" w:type="default"/>
          <w:footerReference r:id="rId19" w:type="default"/>
          <w:pgSz w:w="11907" w:h="16840"/>
          <w:pgMar w:top="1117" w:right="1075" w:bottom="1060" w:left="1700" w:header="878" w:footer="886" w:gutter="0"/>
          <w:pgBorders>
            <w:top w:val="none" w:sz="0" w:space="0"/>
            <w:left w:val="none" w:sz="0" w:space="0"/>
            <w:bottom w:val="none" w:sz="0" w:space="0"/>
            <w:right w:val="none" w:sz="0" w:space="0"/>
          </w:pgBorders>
          <w:pgNumType w:fmt="decimal"/>
          <w:cols w:space="720" w:num="1"/>
        </w:sectPr>
      </w:pPr>
    </w:p>
    <w:p w14:paraId="2BB3A561">
      <w:pPr>
        <w:spacing w:line="360" w:lineRule="auto"/>
        <w:rPr>
          <w:rFonts w:hint="eastAsia" w:ascii="宋体" w:hAnsi="宋体" w:eastAsia="宋体" w:cs="宋体"/>
          <w:color w:val="auto"/>
          <w:sz w:val="24"/>
          <w:szCs w:val="24"/>
          <w:highlight w:val="none"/>
        </w:rPr>
      </w:pPr>
    </w:p>
    <w:p w14:paraId="556F9890">
      <w:pPr>
        <w:spacing w:before="78" w:line="360" w:lineRule="auto"/>
        <w:ind w:left="1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5"/>
          <w:sz w:val="24"/>
          <w:szCs w:val="24"/>
          <w:highlight w:val="none"/>
        </w:rPr>
        <w:t>1-2 拟分包情况说明及分包意向协议</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本项目不适用</w:t>
      </w:r>
      <w:r>
        <w:rPr>
          <w:rFonts w:hint="eastAsia" w:ascii="宋体" w:hAnsi="宋体" w:eastAsia="宋体" w:cs="宋体"/>
          <w:color w:val="auto"/>
          <w:spacing w:val="5"/>
          <w:sz w:val="24"/>
          <w:szCs w:val="24"/>
          <w:highlight w:val="none"/>
          <w:lang w:eastAsia="zh-CN"/>
        </w:rPr>
        <w:t>）</w:t>
      </w:r>
    </w:p>
    <w:p w14:paraId="4769DF83">
      <w:pPr>
        <w:spacing w:line="360" w:lineRule="auto"/>
        <w:rPr>
          <w:rFonts w:hint="eastAsia" w:ascii="宋体" w:hAnsi="宋体" w:eastAsia="宋体" w:cs="宋体"/>
          <w:color w:val="auto"/>
          <w:sz w:val="24"/>
          <w:szCs w:val="24"/>
          <w:highlight w:val="none"/>
        </w:rPr>
      </w:pPr>
    </w:p>
    <w:p w14:paraId="3FB7ABE7">
      <w:pPr>
        <w:spacing w:line="360" w:lineRule="auto"/>
        <w:rPr>
          <w:rFonts w:hint="eastAsia" w:ascii="宋体" w:hAnsi="宋体" w:eastAsia="宋体" w:cs="宋体"/>
          <w:color w:val="auto"/>
          <w:sz w:val="24"/>
          <w:szCs w:val="24"/>
          <w:highlight w:val="none"/>
        </w:rPr>
      </w:pPr>
    </w:p>
    <w:p w14:paraId="58895AF0">
      <w:pPr>
        <w:spacing w:before="78" w:line="360" w:lineRule="auto"/>
        <w:ind w:left="1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 其它落实政府采购政策的资格要求(如有)</w:t>
      </w:r>
    </w:p>
    <w:p w14:paraId="658DE114">
      <w:pPr>
        <w:tabs>
          <w:tab w:val="left" w:pos="5580"/>
        </w:tabs>
        <w:spacing w:line="360" w:lineRule="auto"/>
        <w:rPr>
          <w:color w:val="auto"/>
          <w:sz w:val="24"/>
          <w:highlight w:val="none"/>
        </w:rPr>
      </w:pPr>
      <w:r>
        <w:rPr>
          <w:color w:val="auto"/>
          <w:sz w:val="24"/>
          <w:highlight w:val="none"/>
        </w:rPr>
        <w:br w:type="page"/>
      </w:r>
    </w:p>
    <w:p w14:paraId="792A772D">
      <w:pPr>
        <w:numPr>
          <w:ilvl w:val="0"/>
          <w:numId w:val="0"/>
        </w:numPr>
        <w:tabs>
          <w:tab w:val="left" w:pos="360"/>
        </w:tabs>
        <w:snapToGrid w:val="0"/>
        <w:spacing w:line="360" w:lineRule="auto"/>
        <w:ind w:leftChars="0"/>
        <w:outlineLvl w:val="1"/>
        <w:rPr>
          <w:color w:val="auto"/>
          <w:sz w:val="24"/>
          <w:highlight w:val="none"/>
        </w:rPr>
      </w:pPr>
      <w:r>
        <w:rPr>
          <w:rFonts w:hint="eastAsia"/>
          <w:color w:val="auto"/>
          <w:sz w:val="24"/>
          <w:highlight w:val="none"/>
          <w:lang w:val="en-US" w:eastAsia="zh-CN"/>
        </w:rPr>
        <w:t>3</w:t>
      </w:r>
      <w:r>
        <w:rPr>
          <w:color w:val="auto"/>
          <w:sz w:val="24"/>
          <w:highlight w:val="none"/>
        </w:rPr>
        <w:t>本项目的特定资格要求</w:t>
      </w:r>
      <w:r>
        <w:rPr>
          <w:color w:val="auto"/>
          <w:sz w:val="24"/>
          <w:szCs w:val="20"/>
          <w:highlight w:val="none"/>
        </w:rPr>
        <w:t>（如有）</w:t>
      </w:r>
    </w:p>
    <w:p w14:paraId="68AE1249">
      <w:pPr>
        <w:spacing w:line="360" w:lineRule="auto"/>
        <w:outlineLvl w:val="2"/>
        <w:rPr>
          <w:color w:val="auto"/>
          <w:sz w:val="24"/>
          <w:szCs w:val="20"/>
          <w:highlight w:val="none"/>
        </w:rPr>
      </w:pPr>
      <w:r>
        <w:rPr>
          <w:color w:val="auto"/>
          <w:sz w:val="24"/>
          <w:szCs w:val="20"/>
          <w:highlight w:val="none"/>
        </w:rPr>
        <w:t>3-1 联合协议</w:t>
      </w:r>
    </w:p>
    <w:p w14:paraId="65443936">
      <w:pPr>
        <w:spacing w:line="360" w:lineRule="auto"/>
        <w:outlineLvl w:val="2"/>
        <w:rPr>
          <w:color w:val="auto"/>
          <w:sz w:val="24"/>
          <w:szCs w:val="20"/>
          <w:highlight w:val="none"/>
        </w:rPr>
      </w:pPr>
      <w:r>
        <w:rPr>
          <w:rFonts w:hint="eastAsia"/>
          <w:b/>
          <w:bCs/>
          <w:color w:val="auto"/>
          <w:sz w:val="24"/>
          <w:szCs w:val="20"/>
          <w:highlight w:val="none"/>
          <w:lang w:eastAsia="zh-CN"/>
        </w:rPr>
        <w:t>（本项目不适用）</w:t>
      </w:r>
    </w:p>
    <w:p w14:paraId="2E13AA33">
      <w:pPr>
        <w:spacing w:line="360" w:lineRule="auto"/>
        <w:outlineLvl w:val="2"/>
        <w:rPr>
          <w:color w:val="auto"/>
          <w:sz w:val="24"/>
          <w:szCs w:val="20"/>
          <w:highlight w:val="none"/>
        </w:rPr>
      </w:pPr>
    </w:p>
    <w:p w14:paraId="36BFC1C2">
      <w:pPr>
        <w:spacing w:line="360" w:lineRule="auto"/>
        <w:outlineLvl w:val="2"/>
        <w:rPr>
          <w:color w:val="auto"/>
          <w:sz w:val="24"/>
          <w:szCs w:val="20"/>
          <w:highlight w:val="none"/>
        </w:rPr>
      </w:pPr>
      <w:r>
        <w:rPr>
          <w:color w:val="auto"/>
          <w:sz w:val="24"/>
          <w:szCs w:val="20"/>
          <w:highlight w:val="none"/>
        </w:rPr>
        <w:t>3-2 其他特定资格要求</w:t>
      </w:r>
    </w:p>
    <w:p w14:paraId="447B64D4">
      <w:pPr>
        <w:widowControl/>
        <w:jc w:val="left"/>
        <w:rPr>
          <w:rFonts w:hint="eastAsia"/>
          <w:b/>
          <w:bCs/>
          <w:color w:val="auto"/>
          <w:sz w:val="24"/>
          <w:szCs w:val="20"/>
          <w:highlight w:val="none"/>
          <w:lang w:eastAsia="zh-CN"/>
        </w:rPr>
      </w:pPr>
      <w:r>
        <w:rPr>
          <w:rFonts w:hint="eastAsia"/>
          <w:b/>
          <w:bCs/>
          <w:color w:val="auto"/>
          <w:sz w:val="24"/>
          <w:szCs w:val="20"/>
          <w:highlight w:val="none"/>
          <w:lang w:eastAsia="zh-CN"/>
        </w:rPr>
        <w:t>（本项目：无）</w:t>
      </w:r>
    </w:p>
    <w:p w14:paraId="5263D063">
      <w:pPr>
        <w:widowControl/>
        <w:jc w:val="left"/>
        <w:rPr>
          <w:rFonts w:hint="eastAsia"/>
          <w:b/>
          <w:bCs/>
          <w:color w:val="auto"/>
          <w:sz w:val="24"/>
          <w:szCs w:val="20"/>
          <w:highlight w:val="none"/>
          <w:lang w:eastAsia="zh-CN"/>
        </w:rPr>
      </w:pPr>
    </w:p>
    <w:p w14:paraId="3D424142">
      <w:pPr>
        <w:widowControl/>
        <w:jc w:val="left"/>
        <w:rPr>
          <w:rFonts w:hint="eastAsia"/>
          <w:b/>
          <w:bCs/>
          <w:color w:val="auto"/>
          <w:sz w:val="24"/>
          <w:szCs w:val="20"/>
          <w:highlight w:val="none"/>
          <w:lang w:eastAsia="zh-CN"/>
        </w:rPr>
      </w:pPr>
    </w:p>
    <w:p w14:paraId="0D409550">
      <w:pPr>
        <w:widowControl/>
        <w:jc w:val="left"/>
        <w:rPr>
          <w:rFonts w:hint="eastAsia"/>
          <w:b/>
          <w:bCs/>
          <w:color w:val="auto"/>
          <w:sz w:val="24"/>
          <w:szCs w:val="20"/>
          <w:highlight w:val="none"/>
          <w:lang w:eastAsia="zh-CN"/>
        </w:rPr>
      </w:pPr>
    </w:p>
    <w:p w14:paraId="5F27A03B">
      <w:pPr>
        <w:widowControl/>
        <w:jc w:val="left"/>
        <w:rPr>
          <w:rFonts w:hint="eastAsia"/>
          <w:b/>
          <w:bCs/>
          <w:color w:val="auto"/>
          <w:sz w:val="24"/>
          <w:szCs w:val="20"/>
          <w:highlight w:val="none"/>
          <w:lang w:eastAsia="zh-CN"/>
        </w:rPr>
      </w:pPr>
    </w:p>
    <w:p w14:paraId="0790140F">
      <w:pPr>
        <w:numPr>
          <w:ilvl w:val="0"/>
          <w:numId w:val="0"/>
        </w:numPr>
        <w:tabs>
          <w:tab w:val="left" w:pos="360"/>
        </w:tabs>
        <w:snapToGrid w:val="0"/>
        <w:spacing w:line="360" w:lineRule="auto"/>
        <w:ind w:leftChars="0"/>
        <w:outlineLvl w:val="1"/>
        <w:rPr>
          <w:color w:val="auto"/>
          <w:sz w:val="24"/>
          <w:szCs w:val="20"/>
          <w:highlight w:val="none"/>
        </w:rPr>
      </w:pPr>
      <w:r>
        <w:rPr>
          <w:rFonts w:hint="eastAsia"/>
          <w:color w:val="auto"/>
          <w:sz w:val="24"/>
          <w:szCs w:val="20"/>
          <w:highlight w:val="none"/>
          <w:lang w:val="en-US" w:eastAsia="zh-CN"/>
        </w:rPr>
        <w:t xml:space="preserve">4 </w:t>
      </w:r>
      <w:r>
        <w:rPr>
          <w:color w:val="auto"/>
          <w:sz w:val="24"/>
          <w:szCs w:val="20"/>
          <w:highlight w:val="none"/>
        </w:rPr>
        <w:t>投标保证金凭证/交款单据</w:t>
      </w:r>
      <w:r>
        <w:rPr>
          <w:rFonts w:hint="eastAsia"/>
          <w:color w:val="auto"/>
          <w:sz w:val="24"/>
          <w:szCs w:val="20"/>
          <w:highlight w:val="none"/>
          <w:lang w:eastAsia="zh-CN"/>
        </w:rPr>
        <w:t>影印件或复印件（加盖公章）</w:t>
      </w:r>
    </w:p>
    <w:p w14:paraId="49228D02">
      <w:pPr>
        <w:spacing w:line="360" w:lineRule="auto"/>
        <w:rPr>
          <w:color w:val="auto"/>
          <w:sz w:val="24"/>
          <w:szCs w:val="20"/>
          <w:highlight w:val="none"/>
        </w:rPr>
      </w:pPr>
    </w:p>
    <w:p w14:paraId="66FFA361">
      <w:pPr>
        <w:spacing w:line="360" w:lineRule="auto"/>
        <w:rPr>
          <w:color w:val="auto"/>
          <w:sz w:val="24"/>
          <w:szCs w:val="20"/>
          <w:highlight w:val="none"/>
        </w:rPr>
      </w:pPr>
    </w:p>
    <w:p w14:paraId="07E14F18">
      <w:pPr>
        <w:widowControl/>
        <w:jc w:val="left"/>
        <w:rPr>
          <w:color w:val="auto"/>
          <w:kern w:val="0"/>
          <w:sz w:val="24"/>
          <w:szCs w:val="20"/>
          <w:highlight w:val="none"/>
        </w:rPr>
      </w:pPr>
      <w:r>
        <w:rPr>
          <w:color w:val="auto"/>
          <w:sz w:val="24"/>
          <w:szCs w:val="20"/>
          <w:highlight w:val="none"/>
        </w:rPr>
        <w:br w:type="page"/>
      </w:r>
    </w:p>
    <w:p w14:paraId="494DD0D7">
      <w:pPr>
        <w:keepNext/>
        <w:keepLines/>
        <w:autoSpaceDE w:val="0"/>
        <w:autoSpaceDN w:val="0"/>
        <w:adjustRightInd w:val="0"/>
        <w:spacing w:before="120" w:line="300" w:lineRule="auto"/>
        <w:jc w:val="left"/>
        <w:outlineLvl w:val="1"/>
        <w:rPr>
          <w:b/>
          <w:color w:val="auto"/>
          <w:spacing w:val="20"/>
          <w:sz w:val="24"/>
          <w:highlight w:val="none"/>
        </w:rPr>
      </w:pPr>
      <w:r>
        <w:rPr>
          <w:b/>
          <w:color w:val="auto"/>
          <w:spacing w:val="20"/>
          <w:sz w:val="24"/>
          <w:highlight w:val="none"/>
        </w:rPr>
        <w:t>二、商务技术文件格式</w:t>
      </w:r>
    </w:p>
    <w:p w14:paraId="6E6381AF">
      <w:pPr>
        <w:rPr>
          <w:b/>
          <w:color w:val="auto"/>
          <w:spacing w:val="20"/>
          <w:szCs w:val="21"/>
          <w:highlight w:val="none"/>
        </w:rPr>
      </w:pPr>
    </w:p>
    <w:p w14:paraId="12F26218">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431E9467">
      <w:pPr>
        <w:jc w:val="center"/>
        <w:rPr>
          <w:color w:val="auto"/>
          <w:szCs w:val="21"/>
          <w:highlight w:val="none"/>
        </w:rPr>
      </w:pPr>
    </w:p>
    <w:p w14:paraId="6E6AC19B">
      <w:pPr>
        <w:jc w:val="center"/>
        <w:rPr>
          <w:b/>
          <w:color w:val="auto"/>
          <w:spacing w:val="60"/>
          <w:sz w:val="84"/>
          <w:szCs w:val="84"/>
          <w:highlight w:val="none"/>
        </w:rPr>
      </w:pPr>
      <w:r>
        <w:rPr>
          <w:b/>
          <w:color w:val="auto"/>
          <w:spacing w:val="60"/>
          <w:sz w:val="84"/>
          <w:szCs w:val="84"/>
          <w:highlight w:val="none"/>
        </w:rPr>
        <w:t>投 标 文 件</w:t>
      </w:r>
    </w:p>
    <w:p w14:paraId="0880C993">
      <w:pPr>
        <w:jc w:val="center"/>
        <w:rPr>
          <w:b/>
          <w:color w:val="auto"/>
          <w:spacing w:val="60"/>
          <w:sz w:val="52"/>
          <w:szCs w:val="52"/>
          <w:highlight w:val="none"/>
        </w:rPr>
      </w:pPr>
      <w:r>
        <w:rPr>
          <w:b/>
          <w:color w:val="auto"/>
          <w:spacing w:val="60"/>
          <w:sz w:val="52"/>
          <w:szCs w:val="52"/>
          <w:highlight w:val="none"/>
        </w:rPr>
        <w:t>（商务技术文件）</w:t>
      </w:r>
    </w:p>
    <w:p w14:paraId="1B32EB5F">
      <w:pPr>
        <w:ind w:firstLine="542" w:firstLineChars="150"/>
        <w:rPr>
          <w:b/>
          <w:color w:val="auto"/>
          <w:spacing w:val="20"/>
          <w:sz w:val="32"/>
          <w:szCs w:val="32"/>
          <w:highlight w:val="none"/>
        </w:rPr>
      </w:pPr>
    </w:p>
    <w:p w14:paraId="1DFB448D">
      <w:pPr>
        <w:ind w:firstLine="542" w:firstLineChars="150"/>
        <w:rPr>
          <w:b/>
          <w:color w:val="auto"/>
          <w:spacing w:val="20"/>
          <w:sz w:val="32"/>
          <w:szCs w:val="32"/>
          <w:highlight w:val="none"/>
        </w:rPr>
      </w:pPr>
    </w:p>
    <w:p w14:paraId="661BA13F">
      <w:pPr>
        <w:ind w:firstLine="542" w:firstLineChars="150"/>
        <w:rPr>
          <w:b/>
          <w:color w:val="auto"/>
          <w:spacing w:val="20"/>
          <w:sz w:val="32"/>
          <w:szCs w:val="32"/>
          <w:highlight w:val="none"/>
        </w:rPr>
      </w:pPr>
      <w:r>
        <w:rPr>
          <w:b/>
          <w:color w:val="auto"/>
          <w:spacing w:val="20"/>
          <w:sz w:val="32"/>
          <w:szCs w:val="32"/>
          <w:highlight w:val="none"/>
        </w:rPr>
        <w:t>项目名称:</w:t>
      </w:r>
    </w:p>
    <w:p w14:paraId="581BB4CD">
      <w:pPr>
        <w:ind w:firstLine="542" w:firstLineChars="150"/>
        <w:rPr>
          <w:b/>
          <w:color w:val="auto"/>
          <w:spacing w:val="20"/>
          <w:sz w:val="32"/>
          <w:szCs w:val="32"/>
          <w:highlight w:val="none"/>
        </w:rPr>
      </w:pPr>
      <w:r>
        <w:rPr>
          <w:b/>
          <w:color w:val="auto"/>
          <w:spacing w:val="20"/>
          <w:sz w:val="32"/>
          <w:szCs w:val="32"/>
          <w:highlight w:val="none"/>
        </w:rPr>
        <w:t>项目编号：</w:t>
      </w:r>
    </w:p>
    <w:p w14:paraId="3D5BBD7F">
      <w:pPr>
        <w:ind w:firstLine="542" w:firstLineChars="150"/>
        <w:rPr>
          <w:b/>
          <w:color w:val="auto"/>
          <w:spacing w:val="20"/>
          <w:sz w:val="32"/>
          <w:szCs w:val="32"/>
          <w:highlight w:val="none"/>
        </w:rPr>
      </w:pPr>
      <w:r>
        <w:rPr>
          <w:rFonts w:hint="eastAsia"/>
          <w:b/>
          <w:color w:val="auto"/>
          <w:spacing w:val="20"/>
          <w:sz w:val="32"/>
          <w:szCs w:val="32"/>
          <w:highlight w:val="none"/>
        </w:rPr>
        <w:t>项目代理编号</w:t>
      </w:r>
      <w:r>
        <w:rPr>
          <w:b/>
          <w:color w:val="auto"/>
          <w:spacing w:val="20"/>
          <w:sz w:val="32"/>
          <w:szCs w:val="32"/>
          <w:highlight w:val="none"/>
        </w:rPr>
        <w:t>：</w:t>
      </w:r>
    </w:p>
    <w:p w14:paraId="4F44405D">
      <w:pPr>
        <w:ind w:firstLine="542" w:firstLineChars="150"/>
        <w:rPr>
          <w:b/>
          <w:color w:val="auto"/>
          <w:spacing w:val="20"/>
          <w:sz w:val="32"/>
          <w:szCs w:val="32"/>
          <w:highlight w:val="none"/>
        </w:rPr>
      </w:pPr>
    </w:p>
    <w:p w14:paraId="0FED7E84">
      <w:pPr>
        <w:jc w:val="center"/>
        <w:rPr>
          <w:b/>
          <w:color w:val="auto"/>
          <w:sz w:val="32"/>
          <w:szCs w:val="32"/>
          <w:highlight w:val="none"/>
        </w:rPr>
      </w:pPr>
    </w:p>
    <w:p w14:paraId="337B4589">
      <w:pPr>
        <w:jc w:val="center"/>
        <w:rPr>
          <w:b/>
          <w:color w:val="auto"/>
          <w:sz w:val="32"/>
          <w:szCs w:val="32"/>
          <w:highlight w:val="none"/>
        </w:rPr>
      </w:pPr>
    </w:p>
    <w:p w14:paraId="2409C3D3">
      <w:pPr>
        <w:jc w:val="center"/>
        <w:rPr>
          <w:b/>
          <w:color w:val="auto"/>
          <w:sz w:val="32"/>
          <w:szCs w:val="32"/>
          <w:highlight w:val="none"/>
        </w:rPr>
      </w:pPr>
    </w:p>
    <w:p w14:paraId="0432E469">
      <w:pPr>
        <w:jc w:val="center"/>
        <w:rPr>
          <w:b/>
          <w:color w:val="auto"/>
          <w:spacing w:val="20"/>
          <w:sz w:val="32"/>
          <w:szCs w:val="32"/>
          <w:highlight w:val="none"/>
        </w:rPr>
      </w:pPr>
    </w:p>
    <w:p w14:paraId="4E46389B">
      <w:pPr>
        <w:jc w:val="center"/>
        <w:rPr>
          <w:b/>
          <w:color w:val="auto"/>
          <w:spacing w:val="20"/>
          <w:sz w:val="32"/>
          <w:szCs w:val="32"/>
          <w:highlight w:val="none"/>
        </w:rPr>
      </w:pPr>
    </w:p>
    <w:p w14:paraId="61F8C34C">
      <w:pPr>
        <w:jc w:val="center"/>
        <w:rPr>
          <w:b/>
          <w:color w:val="auto"/>
          <w:spacing w:val="20"/>
          <w:sz w:val="32"/>
          <w:szCs w:val="32"/>
          <w:highlight w:val="none"/>
        </w:rPr>
      </w:pPr>
    </w:p>
    <w:p w14:paraId="1CA6E820">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785D08D7">
      <w:pPr>
        <w:jc w:val="center"/>
        <w:rPr>
          <w:b/>
          <w:color w:val="auto"/>
          <w:sz w:val="32"/>
          <w:szCs w:val="32"/>
          <w:highlight w:val="none"/>
        </w:rPr>
      </w:pPr>
    </w:p>
    <w:p w14:paraId="448592DB">
      <w:pPr>
        <w:widowControl/>
        <w:jc w:val="left"/>
        <w:rPr>
          <w:b/>
          <w:color w:val="auto"/>
          <w:sz w:val="24"/>
          <w:highlight w:val="none"/>
        </w:rPr>
      </w:pPr>
      <w:r>
        <w:rPr>
          <w:b/>
          <w:color w:val="auto"/>
          <w:sz w:val="24"/>
          <w:highlight w:val="none"/>
        </w:rPr>
        <w:br w:type="page"/>
      </w:r>
    </w:p>
    <w:p w14:paraId="61232723">
      <w:pPr>
        <w:numPr>
          <w:ilvl w:val="0"/>
          <w:numId w:val="17"/>
        </w:numPr>
        <w:tabs>
          <w:tab w:val="left" w:pos="360"/>
        </w:tabs>
        <w:snapToGrid w:val="0"/>
        <w:spacing w:line="360" w:lineRule="auto"/>
        <w:outlineLvl w:val="1"/>
        <w:rPr>
          <w:color w:val="auto"/>
          <w:sz w:val="24"/>
          <w:szCs w:val="20"/>
          <w:highlight w:val="none"/>
        </w:rPr>
      </w:pPr>
      <w:bookmarkStart w:id="780" w:name="_Hlt520343392"/>
      <w:bookmarkEnd w:id="780"/>
      <w:bookmarkStart w:id="781" w:name="_Hlt520273711"/>
      <w:bookmarkEnd w:id="781"/>
      <w:bookmarkStart w:id="782" w:name="_Hlt520271212"/>
      <w:bookmarkEnd w:id="782"/>
      <w:bookmarkStart w:id="783" w:name="_Hlt520274065"/>
      <w:bookmarkEnd w:id="783"/>
      <w:bookmarkStart w:id="784" w:name="_Hlt520274121"/>
      <w:bookmarkEnd w:id="784"/>
      <w:bookmarkStart w:id="785" w:name="_Hlt520343000"/>
      <w:bookmarkEnd w:id="785"/>
      <w:bookmarkStart w:id="786" w:name="_Hlt520350918"/>
      <w:bookmarkEnd w:id="786"/>
      <w:bookmarkStart w:id="787" w:name="_Hlt520355504"/>
      <w:bookmarkEnd w:id="787"/>
      <w:bookmarkStart w:id="788" w:name="_Hlt520274393"/>
      <w:bookmarkEnd w:id="788"/>
      <w:bookmarkStart w:id="789" w:name="_Hlt520274407"/>
      <w:bookmarkEnd w:id="789"/>
      <w:bookmarkStart w:id="790" w:name="_Toc480942349"/>
      <w:bookmarkStart w:id="791" w:name="_Ref467988698"/>
      <w:bookmarkStart w:id="792" w:name="_Toc150774761"/>
      <w:bookmarkStart w:id="793" w:name="_Toc150480794"/>
      <w:bookmarkStart w:id="794" w:name="_Toc226965829"/>
      <w:bookmarkStart w:id="795" w:name="_Toc520356217"/>
      <w:bookmarkStart w:id="796" w:name="_Toc142311058"/>
      <w:bookmarkStart w:id="797" w:name="_Toc226309800"/>
      <w:bookmarkStart w:id="798" w:name="_Toc226337252"/>
      <w:bookmarkStart w:id="799" w:name="_Toc195842921"/>
      <w:bookmarkStart w:id="800" w:name="_Toc226965746"/>
      <w:bookmarkStart w:id="801" w:name="_Toc127151556"/>
      <w:r>
        <w:rPr>
          <w:color w:val="auto"/>
          <w:sz w:val="24"/>
          <w:highlight w:val="none"/>
        </w:rPr>
        <w:t>投标</w:t>
      </w:r>
      <w:bookmarkEnd w:id="790"/>
      <w:bookmarkEnd w:id="791"/>
      <w:r>
        <w:rPr>
          <w:color w:val="auto"/>
          <w:sz w:val="24"/>
          <w:highlight w:val="none"/>
        </w:rPr>
        <w:t>书</w:t>
      </w:r>
      <w:bookmarkEnd w:id="792"/>
      <w:bookmarkEnd w:id="793"/>
      <w:bookmarkEnd w:id="794"/>
      <w:bookmarkEnd w:id="795"/>
      <w:bookmarkEnd w:id="796"/>
      <w:bookmarkEnd w:id="797"/>
      <w:bookmarkEnd w:id="798"/>
      <w:bookmarkEnd w:id="799"/>
      <w:bookmarkEnd w:id="800"/>
      <w:bookmarkEnd w:id="801"/>
      <w:r>
        <w:rPr>
          <w:color w:val="auto"/>
          <w:sz w:val="24"/>
          <w:szCs w:val="20"/>
          <w:highlight w:val="none"/>
        </w:rPr>
        <w:t>（实质性格式）</w:t>
      </w:r>
    </w:p>
    <w:p w14:paraId="350CC8DE">
      <w:pPr>
        <w:tabs>
          <w:tab w:val="left" w:pos="5580"/>
        </w:tabs>
        <w:spacing w:line="360" w:lineRule="auto"/>
        <w:rPr>
          <w:color w:val="auto"/>
          <w:sz w:val="24"/>
          <w:highlight w:val="none"/>
        </w:rPr>
      </w:pPr>
    </w:p>
    <w:p w14:paraId="67B8C8C6">
      <w:pPr>
        <w:spacing w:line="360" w:lineRule="auto"/>
        <w:jc w:val="center"/>
        <w:rPr>
          <w:b/>
          <w:color w:val="auto"/>
          <w:sz w:val="36"/>
          <w:szCs w:val="36"/>
          <w:highlight w:val="none"/>
        </w:rPr>
      </w:pPr>
      <w:r>
        <w:rPr>
          <w:b/>
          <w:color w:val="auto"/>
          <w:sz w:val="36"/>
          <w:szCs w:val="36"/>
          <w:highlight w:val="none"/>
        </w:rPr>
        <w:t>投标书</w:t>
      </w:r>
    </w:p>
    <w:p w14:paraId="1379989C">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26FA177F">
      <w:pPr>
        <w:tabs>
          <w:tab w:val="left" w:pos="5580"/>
        </w:tabs>
        <w:spacing w:line="360" w:lineRule="auto"/>
        <w:rPr>
          <w:color w:val="auto"/>
          <w:sz w:val="24"/>
          <w:szCs w:val="20"/>
          <w:highlight w:val="none"/>
        </w:rPr>
      </w:pPr>
    </w:p>
    <w:p w14:paraId="141C13E4">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我方参加你方就___________（项目名称，项目编号</w:t>
      </w:r>
      <w:r>
        <w:rPr>
          <w:rFonts w:hint="eastAsia"/>
          <w:color w:val="auto"/>
          <w:sz w:val="24"/>
          <w:szCs w:val="20"/>
          <w:highlight w:val="none"/>
          <w:lang w:eastAsia="zh-CN"/>
        </w:rPr>
        <w:t>，项目代理编号</w:t>
      </w:r>
      <w:r>
        <w:rPr>
          <w:color w:val="auto"/>
          <w:sz w:val="24"/>
          <w:szCs w:val="20"/>
          <w:highlight w:val="none"/>
        </w:rPr>
        <w:t>）组织的招标活动，并对此项目进行投标。</w:t>
      </w:r>
    </w:p>
    <w:p w14:paraId="3A9A64AF">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3062BEBC">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4C70A64B">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188265E7">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78E88AE9">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5C28DDA9">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73BD4809">
      <w:pPr>
        <w:spacing w:line="360" w:lineRule="auto"/>
        <w:ind w:firstLine="480" w:firstLineChars="200"/>
        <w:rPr>
          <w:color w:val="auto"/>
          <w:sz w:val="24"/>
          <w:highlight w:val="none"/>
        </w:rPr>
      </w:pPr>
      <w:r>
        <w:rPr>
          <w:color w:val="auto"/>
          <w:sz w:val="24"/>
          <w:highlight w:val="none"/>
        </w:rPr>
        <w:t>与本投标有关的一切正式往来信函请寄：</w:t>
      </w:r>
    </w:p>
    <w:p w14:paraId="3D3F6239">
      <w:pPr>
        <w:tabs>
          <w:tab w:val="left" w:pos="5580"/>
        </w:tabs>
        <w:spacing w:line="360" w:lineRule="auto"/>
        <w:ind w:left="420"/>
        <w:rPr>
          <w:color w:val="auto"/>
          <w:sz w:val="24"/>
          <w:szCs w:val="20"/>
          <w:highlight w:val="none"/>
        </w:rPr>
      </w:pPr>
    </w:p>
    <w:p w14:paraId="725BAE52">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4CA1E90F">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4674781B">
      <w:pPr>
        <w:tabs>
          <w:tab w:val="left" w:pos="5580"/>
        </w:tabs>
        <w:spacing w:line="360" w:lineRule="auto"/>
        <w:ind w:left="420"/>
        <w:rPr>
          <w:color w:val="auto"/>
          <w:sz w:val="24"/>
          <w:szCs w:val="20"/>
          <w:highlight w:val="none"/>
        </w:rPr>
      </w:pPr>
    </w:p>
    <w:p w14:paraId="092F3B8E">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3B71347A">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555B3C3C">
      <w:pPr>
        <w:tabs>
          <w:tab w:val="left" w:pos="5580"/>
        </w:tabs>
        <w:spacing w:line="360" w:lineRule="auto"/>
        <w:ind w:left="420"/>
        <w:rPr>
          <w:color w:val="auto"/>
          <w:sz w:val="24"/>
          <w:szCs w:val="20"/>
          <w:highlight w:val="none"/>
          <w:u w:val="single"/>
        </w:rPr>
      </w:pPr>
    </w:p>
    <w:p w14:paraId="3AEFF171">
      <w:pPr>
        <w:widowControl/>
        <w:jc w:val="left"/>
        <w:rPr>
          <w:color w:val="auto"/>
          <w:sz w:val="24"/>
          <w:highlight w:val="none"/>
        </w:rPr>
      </w:pPr>
      <w:bookmarkStart w:id="802" w:name="_Hlt520356243"/>
      <w:bookmarkEnd w:id="802"/>
      <w:bookmarkStart w:id="803" w:name="_Hlt520355938"/>
      <w:bookmarkEnd w:id="803"/>
      <w:bookmarkStart w:id="804" w:name="_Toc150480795"/>
      <w:bookmarkStart w:id="805" w:name="_Toc305158825"/>
      <w:bookmarkStart w:id="806" w:name="_Toc127151557"/>
      <w:bookmarkStart w:id="807" w:name="_Toc264969247"/>
      <w:bookmarkStart w:id="808" w:name="_Toc305158899"/>
      <w:bookmarkStart w:id="809" w:name="_Toc226309801"/>
      <w:bookmarkStart w:id="810" w:name="_Toc265228395"/>
      <w:bookmarkStart w:id="811" w:name="_Toc150774762"/>
      <w:bookmarkStart w:id="812" w:name="_Toc142311059"/>
      <w:bookmarkStart w:id="813" w:name="_Toc520356218"/>
      <w:bookmarkStart w:id="814" w:name="_Toc226337253"/>
      <w:bookmarkStart w:id="815" w:name="_Toc226965830"/>
      <w:bookmarkStart w:id="816" w:name="_Toc226965747"/>
      <w:bookmarkStart w:id="817" w:name="_Ref467988705"/>
      <w:bookmarkStart w:id="818" w:name="_Toc480942350"/>
      <w:bookmarkStart w:id="819" w:name="_Toc195842922"/>
      <w:r>
        <w:rPr>
          <w:color w:val="auto"/>
          <w:sz w:val="24"/>
          <w:highlight w:val="none"/>
        </w:rPr>
        <w:br w:type="page"/>
      </w:r>
    </w:p>
    <w:p w14:paraId="71A910AF">
      <w:pPr>
        <w:numPr>
          <w:ilvl w:val="0"/>
          <w:numId w:val="17"/>
        </w:numPr>
        <w:tabs>
          <w:tab w:val="left" w:pos="360"/>
        </w:tabs>
        <w:snapToGrid w:val="0"/>
        <w:spacing w:line="360" w:lineRule="auto"/>
        <w:outlineLvl w:val="1"/>
        <w:rPr>
          <w:color w:val="auto"/>
          <w:sz w:val="24"/>
          <w:highlight w:val="none"/>
        </w:rPr>
      </w:pPr>
      <w:r>
        <w:rPr>
          <w:color w:val="auto"/>
          <w:sz w:val="24"/>
          <w:highlight w:val="none"/>
        </w:rPr>
        <w:t>授权委托书（实质性格式）</w:t>
      </w:r>
    </w:p>
    <w:p w14:paraId="62C99174">
      <w:pPr>
        <w:spacing w:line="360" w:lineRule="exact"/>
        <w:jc w:val="center"/>
        <w:rPr>
          <w:b/>
          <w:color w:val="auto"/>
          <w:sz w:val="36"/>
          <w:szCs w:val="36"/>
          <w:highlight w:val="none"/>
        </w:rPr>
      </w:pPr>
      <w:r>
        <w:rPr>
          <w:b/>
          <w:color w:val="auto"/>
          <w:sz w:val="36"/>
          <w:szCs w:val="36"/>
          <w:highlight w:val="none"/>
        </w:rPr>
        <w:t>授权委托书</w:t>
      </w:r>
    </w:p>
    <w:p w14:paraId="6D7CBA60">
      <w:pPr>
        <w:spacing w:line="360" w:lineRule="auto"/>
        <w:ind w:firstLine="420"/>
        <w:rPr>
          <w:color w:val="auto"/>
          <w:sz w:val="24"/>
          <w:szCs w:val="20"/>
          <w:highlight w:val="none"/>
        </w:rPr>
      </w:pPr>
    </w:p>
    <w:p w14:paraId="4FC2863B">
      <w:pPr>
        <w:spacing w:line="360" w:lineRule="auto"/>
        <w:ind w:firstLine="420"/>
        <w:rPr>
          <w:color w:val="auto"/>
          <w:sz w:val="24"/>
          <w:szCs w:val="20"/>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（姓名）为我方代理人。代理人根据授权，以我方名义签署、澄清确认、提交、撤回、修改</w:t>
      </w:r>
      <w:r>
        <w:rPr>
          <w:color w:val="auto"/>
          <w:sz w:val="24"/>
          <w:highlight w:val="none"/>
          <w:lang w:val="zh-CN"/>
        </w:rPr>
        <w:t>________________</w:t>
      </w:r>
      <w:r>
        <w:rPr>
          <w:color w:val="auto"/>
          <w:sz w:val="24"/>
          <w:szCs w:val="20"/>
          <w:highlight w:val="none"/>
        </w:rPr>
        <w:t>（项目名称）投标文件和处理有关事宜，其法律后果由我方承担。</w:t>
      </w:r>
    </w:p>
    <w:p w14:paraId="1393616E">
      <w:pPr>
        <w:spacing w:line="360" w:lineRule="auto"/>
        <w:ind w:firstLine="420"/>
        <w:rPr>
          <w:color w:val="auto"/>
          <w:sz w:val="24"/>
          <w:szCs w:val="20"/>
          <w:highlight w:val="none"/>
        </w:rPr>
      </w:pPr>
      <w:r>
        <w:rPr>
          <w:color w:val="auto"/>
          <w:sz w:val="24"/>
          <w:szCs w:val="20"/>
          <w:highlight w:val="none"/>
        </w:rPr>
        <w:t>委托期限：自本授权委托书签署之日起至投标有效期届满之日止。</w:t>
      </w:r>
    </w:p>
    <w:p w14:paraId="0B21C2E3">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5A72DCF0">
      <w:pPr>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6E37C6E1">
      <w:pPr>
        <w:spacing w:line="360" w:lineRule="auto"/>
        <w:rPr>
          <w:color w:val="auto"/>
          <w:sz w:val="24"/>
          <w:szCs w:val="20"/>
          <w:highlight w:val="none"/>
        </w:rPr>
      </w:pPr>
      <w:r>
        <w:rPr>
          <w:color w:val="auto"/>
          <w:sz w:val="24"/>
          <w:szCs w:val="20"/>
          <w:highlight w:val="none"/>
        </w:rPr>
        <w:t>法定代表人（单位负责人）（签字或签章）：</w:t>
      </w:r>
      <w:r>
        <w:rPr>
          <w:color w:val="auto"/>
          <w:sz w:val="24"/>
          <w:highlight w:val="none"/>
          <w:lang w:val="zh-CN"/>
        </w:rPr>
        <w:t>________________</w:t>
      </w:r>
    </w:p>
    <w:p w14:paraId="221E2248">
      <w:pPr>
        <w:autoSpaceDE w:val="0"/>
        <w:autoSpaceDN w:val="0"/>
        <w:adjustRightInd w:val="0"/>
        <w:snapToGrid w:val="0"/>
        <w:spacing w:line="360" w:lineRule="auto"/>
        <w:rPr>
          <w:color w:val="auto"/>
          <w:sz w:val="24"/>
          <w:highlight w:val="none"/>
          <w:lang w:val="zh-CN"/>
        </w:rPr>
      </w:pPr>
      <w:r>
        <w:rPr>
          <w:color w:val="auto"/>
          <w:sz w:val="24"/>
          <w:highlight w:val="none"/>
        </w:rPr>
        <w:t>委托代理人（签字或签章）：</w:t>
      </w:r>
      <w:r>
        <w:rPr>
          <w:color w:val="auto"/>
          <w:sz w:val="24"/>
          <w:highlight w:val="none"/>
          <w:lang w:val="zh-CN"/>
        </w:rPr>
        <w:t>________________</w:t>
      </w:r>
      <w:r>
        <w:rPr>
          <w:color w:val="auto"/>
          <w:sz w:val="24"/>
          <w:highlight w:val="none"/>
        </w:rPr>
        <w:t xml:space="preserve">    </w:t>
      </w:r>
      <w:r>
        <w:rPr>
          <w:color w:val="auto"/>
          <w:sz w:val="24"/>
          <w:highlight w:val="none"/>
          <w:lang w:val="zh-CN"/>
        </w:rPr>
        <w:t xml:space="preserve">                      </w:t>
      </w:r>
    </w:p>
    <w:p w14:paraId="121FFD55">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573629FF">
      <w:pPr>
        <w:tabs>
          <w:tab w:val="left" w:pos="5580"/>
        </w:tabs>
        <w:spacing w:line="360" w:lineRule="auto"/>
        <w:ind w:firstLine="480" w:firstLineChars="200"/>
        <w:rPr>
          <w:color w:val="auto"/>
          <w:sz w:val="24"/>
          <w:szCs w:val="20"/>
          <w:highlight w:val="none"/>
        </w:rPr>
      </w:pPr>
    </w:p>
    <w:p w14:paraId="5EC5E780">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法定代表人及委托代理人身份证明文件电子件：</w:t>
      </w:r>
    </w:p>
    <w:p w14:paraId="40C26785">
      <w:pPr>
        <w:pStyle w:val="56"/>
        <w:rPr>
          <w:rFonts w:hint="eastAsia"/>
          <w:color w:val="auto"/>
          <w:highlight w:val="none"/>
        </w:rPr>
      </w:pPr>
    </w:p>
    <w:p w14:paraId="268490E4">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hint="eastAsia" w:ascii="宋体" w:hAnsi="宋体"/>
          <w:color w:val="auto"/>
          <w:sz w:val="24"/>
          <w:szCs w:val="20"/>
          <w:highlight w:val="none"/>
          <w:lang w:eastAsia="zh-CN"/>
        </w:rPr>
        <w:t>复印件</w:t>
      </w:r>
      <w:r>
        <w:rPr>
          <w:rFonts w:ascii="宋体" w:hAnsi="宋体"/>
          <w:color w:val="auto"/>
          <w:sz w:val="24"/>
          <w:szCs w:val="20"/>
          <w:highlight w:val="none"/>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79F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C3F610B">
            <w:pPr>
              <w:tabs>
                <w:tab w:val="left" w:pos="5580"/>
              </w:tabs>
              <w:spacing w:line="360" w:lineRule="auto"/>
              <w:jc w:val="left"/>
              <w:rPr>
                <w:rFonts w:ascii="宋体" w:hAnsi="宋体"/>
                <w:color w:val="auto"/>
                <w:sz w:val="24"/>
                <w:szCs w:val="20"/>
                <w:highlight w:val="none"/>
              </w:rPr>
            </w:pPr>
          </w:p>
          <w:p w14:paraId="3AA45D53">
            <w:pPr>
              <w:tabs>
                <w:tab w:val="left" w:pos="5580"/>
              </w:tabs>
              <w:spacing w:line="360" w:lineRule="auto"/>
              <w:jc w:val="left"/>
              <w:rPr>
                <w:rFonts w:ascii="宋体" w:hAnsi="宋体"/>
                <w:color w:val="auto"/>
                <w:sz w:val="24"/>
                <w:szCs w:val="20"/>
                <w:highlight w:val="none"/>
              </w:rPr>
            </w:pPr>
          </w:p>
          <w:p w14:paraId="484097FC">
            <w:pPr>
              <w:tabs>
                <w:tab w:val="left" w:pos="5580"/>
              </w:tabs>
              <w:spacing w:line="360" w:lineRule="auto"/>
              <w:jc w:val="left"/>
              <w:rPr>
                <w:rFonts w:ascii="宋体" w:hAnsi="宋体"/>
                <w:color w:val="auto"/>
                <w:sz w:val="24"/>
                <w:szCs w:val="20"/>
                <w:highlight w:val="none"/>
              </w:rPr>
            </w:pPr>
          </w:p>
        </w:tc>
        <w:tc>
          <w:tcPr>
            <w:tcW w:w="4536" w:type="dxa"/>
            <w:noWrap w:val="0"/>
            <w:vAlign w:val="top"/>
          </w:tcPr>
          <w:p w14:paraId="758A63B2">
            <w:pPr>
              <w:tabs>
                <w:tab w:val="left" w:pos="5580"/>
              </w:tabs>
              <w:spacing w:line="360" w:lineRule="auto"/>
              <w:jc w:val="left"/>
              <w:rPr>
                <w:rFonts w:ascii="宋体" w:hAnsi="宋体"/>
                <w:color w:val="auto"/>
                <w:sz w:val="24"/>
                <w:szCs w:val="20"/>
                <w:highlight w:val="none"/>
              </w:rPr>
            </w:pPr>
          </w:p>
          <w:p w14:paraId="69949A8E">
            <w:pPr>
              <w:tabs>
                <w:tab w:val="left" w:pos="5580"/>
              </w:tabs>
              <w:spacing w:line="360" w:lineRule="auto"/>
              <w:jc w:val="left"/>
              <w:rPr>
                <w:rFonts w:ascii="宋体" w:hAnsi="宋体"/>
                <w:color w:val="auto"/>
                <w:sz w:val="24"/>
                <w:szCs w:val="20"/>
                <w:highlight w:val="none"/>
              </w:rPr>
            </w:pPr>
          </w:p>
          <w:p w14:paraId="0985C99B">
            <w:pPr>
              <w:tabs>
                <w:tab w:val="left" w:pos="5580"/>
              </w:tabs>
              <w:spacing w:line="360" w:lineRule="auto"/>
              <w:jc w:val="left"/>
              <w:rPr>
                <w:rFonts w:ascii="宋体" w:hAnsi="宋体"/>
                <w:color w:val="auto"/>
                <w:sz w:val="24"/>
                <w:szCs w:val="20"/>
                <w:highlight w:val="none"/>
              </w:rPr>
            </w:pPr>
          </w:p>
        </w:tc>
      </w:tr>
    </w:tbl>
    <w:p w14:paraId="1BD884B8">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hint="eastAsia" w:ascii="宋体" w:hAnsi="宋体"/>
          <w:color w:val="auto"/>
          <w:sz w:val="24"/>
          <w:szCs w:val="20"/>
          <w:highlight w:val="none"/>
          <w:lang w:eastAsia="zh-CN"/>
        </w:rPr>
        <w:t>复印件</w:t>
      </w:r>
      <w:r>
        <w:rPr>
          <w:rFonts w:ascii="宋体" w:hAnsi="宋体"/>
          <w:color w:val="auto"/>
          <w:sz w:val="24"/>
          <w:szCs w:val="20"/>
          <w:highlight w:val="none"/>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B32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3A8AE3E7">
            <w:pPr>
              <w:tabs>
                <w:tab w:val="left" w:pos="5580"/>
              </w:tabs>
              <w:spacing w:line="360" w:lineRule="auto"/>
              <w:jc w:val="left"/>
              <w:rPr>
                <w:rFonts w:ascii="宋体" w:hAnsi="宋体"/>
                <w:color w:val="auto"/>
                <w:sz w:val="24"/>
                <w:szCs w:val="20"/>
                <w:highlight w:val="none"/>
              </w:rPr>
            </w:pPr>
          </w:p>
          <w:p w14:paraId="56FFD9C4">
            <w:pPr>
              <w:tabs>
                <w:tab w:val="left" w:pos="5580"/>
              </w:tabs>
              <w:spacing w:line="360" w:lineRule="auto"/>
              <w:jc w:val="left"/>
              <w:rPr>
                <w:rFonts w:ascii="宋体" w:hAnsi="宋体"/>
                <w:color w:val="auto"/>
                <w:sz w:val="24"/>
                <w:szCs w:val="20"/>
                <w:highlight w:val="none"/>
              </w:rPr>
            </w:pPr>
          </w:p>
          <w:p w14:paraId="5483164B">
            <w:pPr>
              <w:tabs>
                <w:tab w:val="left" w:pos="5580"/>
              </w:tabs>
              <w:spacing w:line="360" w:lineRule="auto"/>
              <w:jc w:val="left"/>
              <w:rPr>
                <w:rFonts w:ascii="宋体" w:hAnsi="宋体"/>
                <w:color w:val="auto"/>
                <w:sz w:val="24"/>
                <w:szCs w:val="20"/>
                <w:highlight w:val="none"/>
              </w:rPr>
            </w:pPr>
          </w:p>
        </w:tc>
        <w:tc>
          <w:tcPr>
            <w:tcW w:w="4536" w:type="dxa"/>
            <w:noWrap w:val="0"/>
            <w:vAlign w:val="top"/>
          </w:tcPr>
          <w:p w14:paraId="313E0A1C">
            <w:pPr>
              <w:tabs>
                <w:tab w:val="left" w:pos="5580"/>
              </w:tabs>
              <w:spacing w:line="360" w:lineRule="auto"/>
              <w:jc w:val="left"/>
              <w:rPr>
                <w:rFonts w:ascii="宋体" w:hAnsi="宋体"/>
                <w:color w:val="auto"/>
                <w:sz w:val="24"/>
                <w:szCs w:val="20"/>
                <w:highlight w:val="none"/>
              </w:rPr>
            </w:pPr>
          </w:p>
          <w:p w14:paraId="53E57B8A">
            <w:pPr>
              <w:tabs>
                <w:tab w:val="left" w:pos="5580"/>
              </w:tabs>
              <w:spacing w:line="360" w:lineRule="auto"/>
              <w:jc w:val="left"/>
              <w:rPr>
                <w:rFonts w:ascii="宋体" w:hAnsi="宋体"/>
                <w:color w:val="auto"/>
                <w:sz w:val="24"/>
                <w:szCs w:val="20"/>
                <w:highlight w:val="none"/>
              </w:rPr>
            </w:pPr>
          </w:p>
          <w:p w14:paraId="09CD144C">
            <w:pPr>
              <w:tabs>
                <w:tab w:val="left" w:pos="5580"/>
              </w:tabs>
              <w:spacing w:line="360" w:lineRule="auto"/>
              <w:jc w:val="left"/>
              <w:rPr>
                <w:rFonts w:ascii="宋体" w:hAnsi="宋体"/>
                <w:color w:val="auto"/>
                <w:sz w:val="24"/>
                <w:szCs w:val="20"/>
                <w:highlight w:val="none"/>
              </w:rPr>
            </w:pPr>
          </w:p>
        </w:tc>
      </w:tr>
    </w:tbl>
    <w:p w14:paraId="32956789">
      <w:pPr>
        <w:tabs>
          <w:tab w:val="left" w:pos="5580"/>
        </w:tabs>
        <w:spacing w:line="360" w:lineRule="auto"/>
        <w:jc w:val="left"/>
        <w:rPr>
          <w:color w:val="auto"/>
          <w:sz w:val="24"/>
          <w:szCs w:val="20"/>
          <w:highlight w:val="none"/>
        </w:rPr>
      </w:pPr>
    </w:p>
    <w:p w14:paraId="7EAABA83">
      <w:pPr>
        <w:tabs>
          <w:tab w:val="left" w:pos="5580"/>
        </w:tabs>
        <w:spacing w:line="360" w:lineRule="auto"/>
        <w:jc w:val="left"/>
        <w:rPr>
          <w:color w:val="auto"/>
          <w:sz w:val="24"/>
          <w:szCs w:val="20"/>
          <w:highlight w:val="none"/>
        </w:rPr>
      </w:pPr>
      <w:r>
        <w:rPr>
          <w:color w:val="auto"/>
          <w:sz w:val="24"/>
          <w:szCs w:val="20"/>
          <w:highlight w:val="none"/>
        </w:rPr>
        <w:t>说明：</w:t>
      </w:r>
    </w:p>
    <w:p w14:paraId="77D79C7B">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4FE019E1">
      <w:pPr>
        <w:tabs>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2F514BD3">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427E746B">
      <w:pPr>
        <w:spacing w:before="6" w:line="360" w:lineRule="auto"/>
        <w:ind w:left="121" w:firstLine="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4.供应商应随本《授权</w:t>
      </w:r>
      <w:r>
        <w:rPr>
          <w:rFonts w:hint="eastAsia" w:ascii="宋体" w:hAnsi="宋体" w:eastAsia="宋体" w:cs="宋体"/>
          <w:color w:val="auto"/>
          <w:spacing w:val="3"/>
          <w:sz w:val="24"/>
          <w:szCs w:val="24"/>
          <w:highlight w:val="none"/>
        </w:rPr>
        <w:t>委</w:t>
      </w:r>
      <w:r>
        <w:rPr>
          <w:rFonts w:hint="eastAsia" w:ascii="宋体" w:hAnsi="宋体" w:eastAsia="宋体" w:cs="宋体"/>
          <w:color w:val="auto"/>
          <w:spacing w:val="2"/>
          <w:sz w:val="24"/>
          <w:szCs w:val="24"/>
          <w:highlight w:val="none"/>
        </w:rPr>
        <w:t>托书》同时提供法定代表人(单位负责人)及委托代理人的有</w:t>
      </w:r>
      <w:r>
        <w:rPr>
          <w:rFonts w:hint="eastAsia" w:ascii="宋体" w:hAnsi="宋体" w:eastAsia="宋体" w:cs="宋体"/>
          <w:color w:val="auto"/>
          <w:spacing w:val="-8"/>
          <w:sz w:val="24"/>
          <w:szCs w:val="24"/>
          <w:highlight w:val="none"/>
        </w:rPr>
        <w:t>效的身份证</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或</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rPr>
        <w:t>护照等身份证明文件</w:t>
      </w:r>
      <w:r>
        <w:rPr>
          <w:rFonts w:hint="eastAsia" w:ascii="宋体" w:hAnsi="宋体" w:eastAsia="宋体" w:cs="宋体"/>
          <w:color w:val="auto"/>
          <w:spacing w:val="-4"/>
          <w:sz w:val="24"/>
          <w:szCs w:val="24"/>
          <w:highlight w:val="none"/>
          <w:lang w:val="en-US" w:eastAsia="zh-CN"/>
        </w:rPr>
        <w:t>复印件</w:t>
      </w:r>
      <w:r>
        <w:rPr>
          <w:rFonts w:hint="eastAsia" w:ascii="宋体" w:hAnsi="宋体" w:eastAsia="宋体" w:cs="宋体"/>
          <w:color w:val="auto"/>
          <w:spacing w:val="-4"/>
          <w:sz w:val="24"/>
          <w:szCs w:val="24"/>
          <w:highlight w:val="none"/>
        </w:rPr>
        <w:t>。提供身份证的，应同时提供身份证</w:t>
      </w: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双面</w:t>
      </w:r>
      <w:r>
        <w:rPr>
          <w:rFonts w:hint="eastAsia" w:ascii="宋体" w:hAnsi="宋体" w:eastAsia="宋体" w:cs="宋体"/>
          <w:color w:val="auto"/>
          <w:spacing w:val="-4"/>
          <w:sz w:val="24"/>
          <w:szCs w:val="24"/>
          <w:highlight w:val="none"/>
          <w:lang w:val="en-US" w:eastAsia="zh-CN"/>
          <w14:textOutline w14:w="1537" w14:cap="flat" w14:cmpd="sng">
            <w14:solidFill>
              <w14:srgbClr w14:val="000000"/>
            </w14:solidFill>
            <w14:prstDash w14:val="solid"/>
            <w14:miter w14:val="0"/>
          </w14:textOutline>
        </w:rPr>
        <w:t>复印件</w:t>
      </w:r>
      <w:r>
        <w:rPr>
          <w:rFonts w:hint="eastAsia" w:ascii="宋体" w:hAnsi="宋体" w:eastAsia="宋体" w:cs="宋体"/>
          <w:color w:val="auto"/>
          <w:spacing w:val="-10"/>
          <w:sz w:val="24"/>
          <w:szCs w:val="24"/>
          <w:highlight w:val="none"/>
        </w:rPr>
        <w:t>。</w:t>
      </w:r>
    </w:p>
    <w:p w14:paraId="58EFBCA9">
      <w:pPr>
        <w:rPr>
          <w:b/>
          <w:color w:val="auto"/>
          <w:sz w:val="36"/>
          <w:szCs w:val="36"/>
          <w:highlight w:val="none"/>
        </w:rPr>
      </w:pPr>
      <w:r>
        <w:rPr>
          <w:b/>
          <w:color w:val="auto"/>
          <w:sz w:val="36"/>
          <w:szCs w:val="36"/>
          <w:highlight w:val="none"/>
        </w:rPr>
        <w:br w:type="page"/>
      </w:r>
    </w:p>
    <w:p w14:paraId="468FCC00">
      <w:pPr>
        <w:spacing w:line="360" w:lineRule="exact"/>
        <w:jc w:val="center"/>
        <w:rPr>
          <w:b/>
          <w:color w:val="auto"/>
          <w:sz w:val="36"/>
          <w:szCs w:val="36"/>
          <w:highlight w:val="none"/>
        </w:rPr>
      </w:pPr>
      <w:r>
        <w:rPr>
          <w:b/>
          <w:color w:val="auto"/>
          <w:sz w:val="36"/>
          <w:szCs w:val="36"/>
          <w:highlight w:val="none"/>
        </w:rPr>
        <w:t>法定代表人（单位负责人）身份证明</w:t>
      </w:r>
    </w:p>
    <w:p w14:paraId="65DA7EC0">
      <w:pPr>
        <w:kinsoku w:val="0"/>
        <w:overflowPunct w:val="0"/>
        <w:spacing w:line="200" w:lineRule="exact"/>
        <w:rPr>
          <w:color w:val="auto"/>
          <w:sz w:val="20"/>
          <w:szCs w:val="20"/>
          <w:highlight w:val="none"/>
        </w:rPr>
      </w:pPr>
    </w:p>
    <w:p w14:paraId="578ACB5D">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403F9C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6B5DAE95">
      <w:pPr>
        <w:pStyle w:val="17"/>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姓名：____性别：____年龄：____职务：____</w:t>
      </w:r>
    </w:p>
    <w:p w14:paraId="722574C7">
      <w:pPr>
        <w:pStyle w:val="17"/>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6CDD208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ab/>
      </w:r>
      <w:r>
        <w:rPr>
          <w:rFonts w:ascii="Times New Roman" w:hAnsi="Times New Roman"/>
          <w:color w:val="auto"/>
          <w:highlight w:val="none"/>
        </w:rPr>
        <w:t>（投标人名称）的法定代表人（单位负责人）。</w:t>
      </w:r>
    </w:p>
    <w:p w14:paraId="621BB9B1">
      <w:pPr>
        <w:pStyle w:val="17"/>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15FBDAF8">
      <w:pPr>
        <w:pStyle w:val="17"/>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lang w:eastAsia="zh-CN"/>
        </w:rPr>
        <w:t>或</w:t>
      </w:r>
      <w:r>
        <w:rPr>
          <w:color w:val="auto"/>
          <w:szCs w:val="20"/>
          <w:highlight w:val="none"/>
        </w:rPr>
        <w:t>护照等身份证明文件：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55D4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5BCAAE16">
            <w:pPr>
              <w:pStyle w:val="17"/>
              <w:kinsoku w:val="0"/>
              <w:overflowPunct w:val="0"/>
              <w:spacing w:line="583" w:lineRule="auto"/>
              <w:ind w:right="-46"/>
              <w:rPr>
                <w:color w:val="auto"/>
                <w:szCs w:val="20"/>
                <w:highlight w:val="none"/>
              </w:rPr>
            </w:pPr>
          </w:p>
        </w:tc>
      </w:tr>
    </w:tbl>
    <w:p w14:paraId="01741737">
      <w:pPr>
        <w:pStyle w:val="17"/>
        <w:kinsoku w:val="0"/>
        <w:overflowPunct w:val="0"/>
        <w:spacing w:line="583" w:lineRule="auto"/>
        <w:ind w:right="4305"/>
        <w:rPr>
          <w:rFonts w:ascii="Times New Roman" w:hAnsi="Times New Roman"/>
          <w:color w:val="auto"/>
          <w:spacing w:val="-3"/>
          <w:highlight w:val="none"/>
        </w:rPr>
      </w:pPr>
    </w:p>
    <w:p w14:paraId="389F7752">
      <w:pPr>
        <w:autoSpaceDE w:val="0"/>
        <w:autoSpaceDN w:val="0"/>
        <w:adjustRightInd w:val="0"/>
        <w:snapToGrid w:val="0"/>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22DFBC46">
      <w:pPr>
        <w:pStyle w:val="17"/>
        <w:kinsoku w:val="0"/>
        <w:overflowPunct w:val="0"/>
        <w:spacing w:line="583" w:lineRule="auto"/>
        <w:ind w:right="95"/>
        <w:rPr>
          <w:rFonts w:ascii="Times New Roman" w:hAnsi="Times New Roman"/>
          <w:color w:val="auto"/>
          <w:spacing w:val="-3"/>
          <w:highlight w:val="none"/>
        </w:rPr>
      </w:pPr>
      <w:r>
        <w:rPr>
          <w:rFonts w:ascii="Times New Roman" w:hAnsi="Times New Roman"/>
          <w:color w:val="auto"/>
          <w:spacing w:val="-3"/>
          <w:highlight w:val="none"/>
        </w:rPr>
        <w:t>法定代表人（</w:t>
      </w:r>
      <w:r>
        <w:rPr>
          <w:rFonts w:ascii="Times New Roman" w:hAnsi="Times New Roman"/>
          <w:color w:val="auto"/>
          <w:highlight w:val="none"/>
        </w:rPr>
        <w:t>单位负责人</w:t>
      </w:r>
      <w:r>
        <w:rPr>
          <w:rFonts w:ascii="Times New Roman" w:hAnsi="Times New Roman"/>
          <w:color w:val="auto"/>
          <w:spacing w:val="-3"/>
          <w:highlight w:val="none"/>
        </w:rPr>
        <w:t>）（签字或签章）：_______</w:t>
      </w:r>
    </w:p>
    <w:p w14:paraId="4786FF8A">
      <w:pPr>
        <w:autoSpaceDE w:val="0"/>
        <w:autoSpaceDN w:val="0"/>
        <w:adjustRightInd w:val="0"/>
        <w:snapToGrid w:val="0"/>
        <w:spacing w:line="360" w:lineRule="auto"/>
        <w:rPr>
          <w:color w:val="auto"/>
          <w:sz w:val="24"/>
          <w:highlight w:val="none"/>
        </w:rPr>
      </w:pPr>
    </w:p>
    <w:p w14:paraId="76783FCE">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67021C05">
      <w:pPr>
        <w:widowControl/>
        <w:jc w:val="left"/>
        <w:rPr>
          <w:i/>
          <w:color w:val="auto"/>
          <w:sz w:val="24"/>
          <w:szCs w:val="20"/>
          <w:highlight w:val="none"/>
          <w:u w:val="single"/>
        </w:rPr>
      </w:pPr>
    </w:p>
    <w:p w14:paraId="53C46022">
      <w:pPr>
        <w:widowControl/>
        <w:jc w:val="left"/>
        <w:rPr>
          <w:color w:val="auto"/>
          <w:sz w:val="24"/>
          <w:szCs w:val="20"/>
          <w:highlight w:val="none"/>
        </w:rPr>
      </w:pPr>
      <w:r>
        <w:rPr>
          <w:color w:val="auto"/>
          <w:sz w:val="24"/>
          <w:szCs w:val="20"/>
          <w:highlight w:val="none"/>
        </w:rPr>
        <w:br w:type="page"/>
      </w:r>
    </w:p>
    <w:p w14:paraId="78525D07">
      <w:pPr>
        <w:numPr>
          <w:ilvl w:val="0"/>
          <w:numId w:val="17"/>
        </w:numPr>
        <w:tabs>
          <w:tab w:val="left" w:pos="360"/>
        </w:tabs>
        <w:snapToGrid w:val="0"/>
        <w:spacing w:line="360" w:lineRule="auto"/>
        <w:outlineLvl w:val="1"/>
        <w:rPr>
          <w:color w:val="auto"/>
          <w:sz w:val="24"/>
          <w:szCs w:val="20"/>
          <w:highlight w:val="none"/>
        </w:rPr>
      </w:pPr>
      <w:r>
        <w:rPr>
          <w:color w:val="auto"/>
          <w:sz w:val="24"/>
          <w:szCs w:val="20"/>
          <w:highlight w:val="none"/>
        </w:rPr>
        <w:t>开标一览表</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Pr>
          <w:color w:val="auto"/>
          <w:sz w:val="24"/>
          <w:szCs w:val="20"/>
          <w:highlight w:val="none"/>
        </w:rPr>
        <w:t>（实质性格式）</w:t>
      </w:r>
    </w:p>
    <w:p w14:paraId="5A6FB1E1">
      <w:pPr>
        <w:spacing w:line="360" w:lineRule="exact"/>
        <w:jc w:val="center"/>
        <w:rPr>
          <w:b/>
          <w:color w:val="auto"/>
          <w:sz w:val="36"/>
          <w:szCs w:val="36"/>
          <w:highlight w:val="none"/>
        </w:rPr>
      </w:pPr>
      <w:bookmarkStart w:id="820" w:name="_Toc305158826"/>
      <w:bookmarkStart w:id="821" w:name="_Toc226309802"/>
      <w:bookmarkStart w:id="822" w:name="_Toc265228396"/>
      <w:bookmarkStart w:id="823" w:name="_Toc195842923"/>
      <w:bookmarkStart w:id="824" w:name="_Toc264969248"/>
      <w:bookmarkStart w:id="825" w:name="_Toc226337254"/>
      <w:bookmarkStart w:id="826" w:name="_Toc164608672"/>
      <w:bookmarkStart w:id="827" w:name="_Toc226965748"/>
      <w:bookmarkStart w:id="828" w:name="_Toc226965831"/>
      <w:bookmarkStart w:id="829" w:name="_Toc164608827"/>
      <w:bookmarkStart w:id="830" w:name="_Toc305158900"/>
      <w:r>
        <w:rPr>
          <w:b/>
          <w:color w:val="auto"/>
          <w:sz w:val="36"/>
          <w:szCs w:val="36"/>
          <w:highlight w:val="none"/>
        </w:rPr>
        <w:t>开标一览表</w:t>
      </w:r>
      <w:bookmarkEnd w:id="820"/>
      <w:bookmarkEnd w:id="821"/>
      <w:bookmarkEnd w:id="822"/>
      <w:bookmarkEnd w:id="823"/>
      <w:bookmarkEnd w:id="824"/>
      <w:bookmarkEnd w:id="825"/>
      <w:bookmarkEnd w:id="826"/>
      <w:bookmarkEnd w:id="827"/>
      <w:bookmarkEnd w:id="828"/>
      <w:bookmarkEnd w:id="829"/>
      <w:bookmarkEnd w:id="830"/>
    </w:p>
    <w:p w14:paraId="65FC704D">
      <w:pPr>
        <w:tabs>
          <w:tab w:val="left" w:pos="1800"/>
          <w:tab w:val="left" w:pos="5580"/>
        </w:tabs>
        <w:spacing w:line="360" w:lineRule="auto"/>
        <w:jc w:val="left"/>
        <w:rPr>
          <w:i/>
          <w:color w:val="auto"/>
          <w:sz w:val="24"/>
          <w:highlight w:val="none"/>
        </w:rPr>
      </w:pPr>
    </w:p>
    <w:p w14:paraId="6D072F30">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 xml:space="preserve">项目编号：________ </w:t>
      </w:r>
      <w:r>
        <w:rPr>
          <w:rFonts w:hint="eastAsia"/>
          <w:color w:val="auto"/>
          <w:sz w:val="24"/>
          <w:szCs w:val="20"/>
          <w:highlight w:val="none"/>
          <w:lang w:eastAsia="zh-CN"/>
        </w:rPr>
        <w:t>项目代理编号</w:t>
      </w:r>
      <w:r>
        <w:rPr>
          <w:rFonts w:hint="eastAsia"/>
          <w:color w:val="auto"/>
          <w:sz w:val="24"/>
          <w:szCs w:val="20"/>
          <w:highlight w:val="none"/>
          <w:lang w:val="en-US" w:eastAsia="zh-CN"/>
        </w:rPr>
        <w:t>：</w:t>
      </w:r>
      <w:r>
        <w:rPr>
          <w:color w:val="auto"/>
          <w:sz w:val="24"/>
          <w:highlight w:val="none"/>
        </w:rPr>
        <w:t>_______ 项目名称：____________</w:t>
      </w:r>
    </w:p>
    <w:tbl>
      <w:tblPr>
        <w:tblStyle w:val="43"/>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1368"/>
        <w:gridCol w:w="852"/>
        <w:gridCol w:w="1212"/>
        <w:gridCol w:w="1692"/>
        <w:gridCol w:w="1476"/>
        <w:gridCol w:w="864"/>
        <w:gridCol w:w="994"/>
      </w:tblGrid>
      <w:tr w14:paraId="3670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698" w:type="dxa"/>
            <w:vAlign w:val="center"/>
          </w:tcPr>
          <w:p w14:paraId="2A2FC673">
            <w:pPr>
              <w:tabs>
                <w:tab w:val="left" w:pos="5580"/>
              </w:tabs>
              <w:jc w:val="center"/>
              <w:rPr>
                <w:rFonts w:hint="eastAsia" w:eastAsia="宋体"/>
                <w:b/>
                <w:color w:val="auto"/>
                <w:sz w:val="24"/>
                <w:highlight w:val="none"/>
                <w:lang w:val="en-US" w:eastAsia="zh-CN"/>
              </w:rPr>
            </w:pPr>
            <w:r>
              <w:rPr>
                <w:rFonts w:hint="eastAsia"/>
                <w:b/>
                <w:color w:val="auto"/>
                <w:sz w:val="24"/>
                <w:highlight w:val="none"/>
                <w:lang w:val="en-US" w:eastAsia="zh-CN"/>
              </w:rPr>
              <w:t>序号</w:t>
            </w:r>
          </w:p>
        </w:tc>
        <w:tc>
          <w:tcPr>
            <w:tcW w:w="1368" w:type="dxa"/>
            <w:vAlign w:val="center"/>
          </w:tcPr>
          <w:p w14:paraId="34032820">
            <w:pPr>
              <w:tabs>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服务名称</w:t>
            </w:r>
          </w:p>
        </w:tc>
        <w:tc>
          <w:tcPr>
            <w:tcW w:w="852" w:type="dxa"/>
            <w:vAlign w:val="center"/>
          </w:tcPr>
          <w:p w14:paraId="445DB768">
            <w:pPr>
              <w:tabs>
                <w:tab w:val="left" w:pos="5580"/>
              </w:tabs>
              <w:jc w:val="center"/>
              <w:rPr>
                <w:rFonts w:hint="eastAsia" w:eastAsia="宋体"/>
                <w:b/>
                <w:color w:val="auto"/>
                <w:sz w:val="24"/>
                <w:highlight w:val="none"/>
                <w:lang w:val="en-US" w:eastAsia="zh-CN"/>
              </w:rPr>
            </w:pPr>
            <w:r>
              <w:rPr>
                <w:rFonts w:hint="eastAsia"/>
                <w:b/>
                <w:color w:val="auto"/>
                <w:sz w:val="24"/>
                <w:highlight w:val="none"/>
                <w:lang w:val="en-US" w:eastAsia="zh-CN"/>
              </w:rPr>
              <w:t>数量</w:t>
            </w:r>
          </w:p>
        </w:tc>
        <w:tc>
          <w:tcPr>
            <w:tcW w:w="1212" w:type="dxa"/>
            <w:vAlign w:val="center"/>
          </w:tcPr>
          <w:p w14:paraId="41B8CB19">
            <w:pPr>
              <w:tabs>
                <w:tab w:val="left" w:pos="5580"/>
              </w:tabs>
              <w:jc w:val="center"/>
              <w:rPr>
                <w:rFonts w:hint="default"/>
                <w:b/>
                <w:color w:val="auto"/>
                <w:sz w:val="24"/>
                <w:highlight w:val="none"/>
                <w:lang w:val="en-US" w:eastAsia="zh-CN"/>
              </w:rPr>
            </w:pPr>
            <w:r>
              <w:rPr>
                <w:rFonts w:hint="eastAsia"/>
                <w:b/>
                <w:color w:val="auto"/>
                <w:sz w:val="24"/>
                <w:highlight w:val="none"/>
                <w:lang w:val="en-US" w:eastAsia="zh-CN"/>
              </w:rPr>
              <w:t>单位</w:t>
            </w:r>
          </w:p>
        </w:tc>
        <w:tc>
          <w:tcPr>
            <w:tcW w:w="1692" w:type="dxa"/>
            <w:vAlign w:val="center"/>
          </w:tcPr>
          <w:p w14:paraId="4FA53818">
            <w:pPr>
              <w:tabs>
                <w:tab w:val="left" w:pos="5580"/>
              </w:tabs>
              <w:jc w:val="center"/>
              <w:rPr>
                <w:rFonts w:hint="eastAsia" w:eastAsia="宋体"/>
                <w:b/>
                <w:color w:val="auto"/>
                <w:sz w:val="24"/>
                <w:highlight w:val="none"/>
                <w:lang w:val="en-US" w:eastAsia="zh-CN"/>
              </w:rPr>
            </w:pPr>
            <w:r>
              <w:rPr>
                <w:rFonts w:hint="eastAsia"/>
                <w:b/>
                <w:color w:val="auto"/>
                <w:sz w:val="24"/>
                <w:highlight w:val="none"/>
                <w:lang w:val="en-US" w:eastAsia="zh-CN"/>
              </w:rPr>
              <w:t>单</w:t>
            </w:r>
            <w:r>
              <w:rPr>
                <w:b/>
                <w:color w:val="auto"/>
                <w:sz w:val="24"/>
                <w:highlight w:val="none"/>
              </w:rPr>
              <w:t>价</w:t>
            </w:r>
            <w:r>
              <w:rPr>
                <w:rFonts w:hint="eastAsia"/>
                <w:b/>
                <w:color w:val="auto"/>
                <w:sz w:val="24"/>
                <w:highlight w:val="none"/>
                <w:lang w:eastAsia="zh-CN"/>
              </w:rPr>
              <w:t>（</w:t>
            </w:r>
            <w:r>
              <w:rPr>
                <w:rFonts w:hint="eastAsia"/>
                <w:b/>
                <w:color w:val="auto"/>
                <w:sz w:val="24"/>
                <w:highlight w:val="none"/>
                <w:lang w:val="en-US" w:eastAsia="zh-CN"/>
              </w:rPr>
              <w:t>元</w:t>
            </w:r>
            <w:r>
              <w:rPr>
                <w:rFonts w:hint="eastAsia"/>
                <w:b/>
                <w:color w:val="auto"/>
                <w:sz w:val="24"/>
                <w:highlight w:val="none"/>
                <w:lang w:eastAsia="zh-CN"/>
              </w:rPr>
              <w:t>）</w:t>
            </w:r>
          </w:p>
        </w:tc>
        <w:tc>
          <w:tcPr>
            <w:tcW w:w="1476" w:type="dxa"/>
            <w:vAlign w:val="center"/>
          </w:tcPr>
          <w:p w14:paraId="00EA488B">
            <w:pPr>
              <w:tabs>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总价</w:t>
            </w:r>
            <w:r>
              <w:rPr>
                <w:rFonts w:hint="eastAsia"/>
                <w:b/>
                <w:color w:val="auto"/>
                <w:sz w:val="24"/>
                <w:highlight w:val="none"/>
                <w:lang w:eastAsia="zh-CN"/>
              </w:rPr>
              <w:t>（</w:t>
            </w:r>
            <w:r>
              <w:rPr>
                <w:rFonts w:hint="eastAsia"/>
                <w:b/>
                <w:color w:val="auto"/>
                <w:sz w:val="24"/>
                <w:highlight w:val="none"/>
                <w:lang w:val="en-US" w:eastAsia="zh-CN"/>
              </w:rPr>
              <w:t>元</w:t>
            </w:r>
            <w:r>
              <w:rPr>
                <w:rFonts w:hint="eastAsia"/>
                <w:b/>
                <w:color w:val="auto"/>
                <w:sz w:val="24"/>
                <w:highlight w:val="none"/>
                <w:lang w:eastAsia="zh-CN"/>
              </w:rPr>
              <w:t>）</w:t>
            </w:r>
          </w:p>
        </w:tc>
        <w:tc>
          <w:tcPr>
            <w:tcW w:w="864" w:type="dxa"/>
            <w:vAlign w:val="center"/>
          </w:tcPr>
          <w:p w14:paraId="73B44C72">
            <w:pPr>
              <w:tabs>
                <w:tab w:val="left" w:pos="5580"/>
              </w:tabs>
              <w:jc w:val="center"/>
              <w:rPr>
                <w:rFonts w:hint="default"/>
                <w:b/>
                <w:color w:val="auto"/>
                <w:sz w:val="24"/>
                <w:highlight w:val="none"/>
                <w:lang w:val="en-US" w:eastAsia="zh-CN"/>
              </w:rPr>
            </w:pPr>
            <w:r>
              <w:rPr>
                <w:rFonts w:hint="eastAsia"/>
                <w:b/>
                <w:color w:val="auto"/>
                <w:sz w:val="24"/>
                <w:highlight w:val="none"/>
                <w:lang w:val="en-US" w:eastAsia="zh-CN"/>
              </w:rPr>
              <w:t>税率</w:t>
            </w:r>
          </w:p>
        </w:tc>
        <w:tc>
          <w:tcPr>
            <w:tcW w:w="994" w:type="dxa"/>
            <w:vAlign w:val="center"/>
          </w:tcPr>
          <w:p w14:paraId="23041A81">
            <w:pPr>
              <w:tabs>
                <w:tab w:val="left" w:pos="5580"/>
              </w:tabs>
              <w:jc w:val="center"/>
              <w:rPr>
                <w:rFonts w:hint="default"/>
                <w:b/>
                <w:color w:val="auto"/>
                <w:sz w:val="24"/>
                <w:highlight w:val="none"/>
                <w:lang w:val="en-US" w:eastAsia="zh-CN"/>
              </w:rPr>
            </w:pPr>
            <w:r>
              <w:rPr>
                <w:rFonts w:hint="eastAsia"/>
                <w:b/>
                <w:color w:val="auto"/>
                <w:sz w:val="24"/>
                <w:highlight w:val="none"/>
                <w:lang w:val="en-US" w:eastAsia="zh-CN"/>
              </w:rPr>
              <w:t>备注</w:t>
            </w:r>
          </w:p>
        </w:tc>
      </w:tr>
      <w:tr w14:paraId="7FAA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98" w:type="dxa"/>
            <w:vAlign w:val="center"/>
          </w:tcPr>
          <w:p w14:paraId="4B8A4AA2">
            <w:pPr>
              <w:tabs>
                <w:tab w:val="left" w:pos="5580"/>
              </w:tabs>
              <w:jc w:val="center"/>
              <w:rPr>
                <w:rFonts w:hint="default" w:eastAsia="宋体"/>
                <w:color w:val="auto"/>
                <w:sz w:val="24"/>
                <w:highlight w:val="none"/>
                <w:lang w:val="en-US" w:eastAsia="zh-CN"/>
              </w:rPr>
            </w:pPr>
            <w:r>
              <w:rPr>
                <w:rFonts w:hint="eastAsia"/>
                <w:color w:val="auto"/>
                <w:sz w:val="24"/>
                <w:highlight w:val="none"/>
                <w:lang w:val="en-US" w:eastAsia="zh-CN"/>
              </w:rPr>
              <w:t>1</w:t>
            </w:r>
          </w:p>
        </w:tc>
        <w:tc>
          <w:tcPr>
            <w:tcW w:w="1368" w:type="dxa"/>
            <w:vAlign w:val="center"/>
          </w:tcPr>
          <w:p w14:paraId="5D5C9873">
            <w:pPr>
              <w:tabs>
                <w:tab w:val="left" w:pos="5580"/>
              </w:tabs>
              <w:jc w:val="center"/>
              <w:rPr>
                <w:rFonts w:hint="default" w:eastAsia="宋体"/>
                <w:color w:val="auto"/>
                <w:sz w:val="24"/>
                <w:highlight w:val="none"/>
                <w:lang w:val="en-US" w:eastAsia="zh-CN"/>
              </w:rPr>
            </w:pPr>
            <w:r>
              <w:rPr>
                <w:rFonts w:hint="eastAsia"/>
                <w:color w:val="auto"/>
                <w:sz w:val="24"/>
                <w:highlight w:val="none"/>
                <w:lang w:val="en-US" w:eastAsia="zh-CN"/>
              </w:rPr>
              <w:t>项目经理</w:t>
            </w:r>
          </w:p>
        </w:tc>
        <w:tc>
          <w:tcPr>
            <w:tcW w:w="852" w:type="dxa"/>
            <w:vAlign w:val="center"/>
          </w:tcPr>
          <w:p w14:paraId="0100B4C6">
            <w:pPr>
              <w:tabs>
                <w:tab w:val="left" w:pos="5580"/>
              </w:tabs>
              <w:jc w:val="center"/>
              <w:rPr>
                <w:rFonts w:hint="eastAsia" w:eastAsia="宋体"/>
                <w:color w:val="auto"/>
                <w:sz w:val="24"/>
                <w:highlight w:val="none"/>
                <w:lang w:val="en-US" w:eastAsia="zh-CN"/>
              </w:rPr>
            </w:pPr>
          </w:p>
        </w:tc>
        <w:tc>
          <w:tcPr>
            <w:tcW w:w="1212" w:type="dxa"/>
            <w:vAlign w:val="center"/>
          </w:tcPr>
          <w:p w14:paraId="215C7976">
            <w:pPr>
              <w:tabs>
                <w:tab w:val="left" w:pos="5580"/>
              </w:tabs>
              <w:jc w:val="center"/>
              <w:rPr>
                <w:rFonts w:hint="default"/>
                <w:color w:val="auto"/>
                <w:sz w:val="24"/>
                <w:highlight w:val="none"/>
                <w:lang w:val="en-US" w:eastAsia="zh-CN"/>
              </w:rPr>
            </w:pPr>
            <w:r>
              <w:rPr>
                <w:rFonts w:hint="eastAsia"/>
                <w:color w:val="auto"/>
                <w:sz w:val="24"/>
                <w:highlight w:val="none"/>
                <w:lang w:val="en-US" w:eastAsia="zh-CN"/>
              </w:rPr>
              <w:t>人</w:t>
            </w:r>
          </w:p>
        </w:tc>
        <w:tc>
          <w:tcPr>
            <w:tcW w:w="1692" w:type="dxa"/>
            <w:vAlign w:val="center"/>
          </w:tcPr>
          <w:p w14:paraId="0D7DEE83">
            <w:pPr>
              <w:tabs>
                <w:tab w:val="left" w:pos="5580"/>
              </w:tabs>
              <w:jc w:val="center"/>
              <w:rPr>
                <w:color w:val="auto"/>
                <w:sz w:val="24"/>
                <w:highlight w:val="none"/>
              </w:rPr>
            </w:pPr>
          </w:p>
        </w:tc>
        <w:tc>
          <w:tcPr>
            <w:tcW w:w="1476" w:type="dxa"/>
            <w:vAlign w:val="center"/>
          </w:tcPr>
          <w:p w14:paraId="376B683A">
            <w:pPr>
              <w:tabs>
                <w:tab w:val="left" w:pos="5580"/>
              </w:tabs>
              <w:jc w:val="center"/>
              <w:rPr>
                <w:color w:val="auto"/>
                <w:sz w:val="24"/>
                <w:highlight w:val="none"/>
              </w:rPr>
            </w:pPr>
          </w:p>
        </w:tc>
        <w:tc>
          <w:tcPr>
            <w:tcW w:w="864" w:type="dxa"/>
            <w:vAlign w:val="center"/>
          </w:tcPr>
          <w:p w14:paraId="6A477D3A">
            <w:pPr>
              <w:tabs>
                <w:tab w:val="left" w:pos="5580"/>
              </w:tabs>
              <w:jc w:val="center"/>
              <w:rPr>
                <w:color w:val="auto"/>
                <w:sz w:val="24"/>
                <w:highlight w:val="none"/>
              </w:rPr>
            </w:pPr>
            <w:r>
              <w:rPr>
                <w:rFonts w:hint="eastAsia"/>
                <w:b/>
                <w:color w:val="auto"/>
                <w:sz w:val="24"/>
                <w:highlight w:val="none"/>
                <w:lang w:val="en-US" w:eastAsia="zh-CN"/>
              </w:rPr>
              <w:t>%</w:t>
            </w:r>
          </w:p>
        </w:tc>
        <w:tc>
          <w:tcPr>
            <w:tcW w:w="994" w:type="dxa"/>
            <w:vAlign w:val="center"/>
          </w:tcPr>
          <w:p w14:paraId="355F828E">
            <w:pPr>
              <w:tabs>
                <w:tab w:val="left" w:pos="5580"/>
              </w:tabs>
              <w:jc w:val="center"/>
              <w:rPr>
                <w:color w:val="auto"/>
                <w:sz w:val="24"/>
                <w:highlight w:val="none"/>
              </w:rPr>
            </w:pPr>
          </w:p>
        </w:tc>
      </w:tr>
      <w:tr w14:paraId="2EE8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98" w:type="dxa"/>
            <w:vAlign w:val="center"/>
          </w:tcPr>
          <w:p w14:paraId="6B57C3EE">
            <w:pPr>
              <w:tabs>
                <w:tab w:val="left" w:pos="5580"/>
              </w:tabs>
              <w:jc w:val="center"/>
              <w:rPr>
                <w:rFonts w:hint="default" w:eastAsia="宋体"/>
                <w:color w:val="auto"/>
                <w:sz w:val="24"/>
                <w:highlight w:val="none"/>
                <w:lang w:val="en-US" w:eastAsia="zh-CN"/>
              </w:rPr>
            </w:pPr>
            <w:r>
              <w:rPr>
                <w:rFonts w:hint="eastAsia"/>
                <w:color w:val="auto"/>
                <w:sz w:val="24"/>
                <w:highlight w:val="none"/>
                <w:lang w:val="en-US" w:eastAsia="zh-CN"/>
              </w:rPr>
              <w:t>2</w:t>
            </w:r>
          </w:p>
        </w:tc>
        <w:tc>
          <w:tcPr>
            <w:tcW w:w="1368" w:type="dxa"/>
            <w:vAlign w:val="center"/>
          </w:tcPr>
          <w:p w14:paraId="16FDF756">
            <w:pPr>
              <w:tabs>
                <w:tab w:val="left" w:pos="5580"/>
              </w:tabs>
              <w:jc w:val="center"/>
              <w:rPr>
                <w:rFonts w:hint="default" w:eastAsia="宋体"/>
                <w:color w:val="auto"/>
                <w:sz w:val="24"/>
                <w:highlight w:val="none"/>
                <w:lang w:val="en-US" w:eastAsia="zh-CN"/>
              </w:rPr>
            </w:pPr>
            <w:r>
              <w:rPr>
                <w:rFonts w:hint="eastAsia"/>
                <w:color w:val="auto"/>
                <w:sz w:val="24"/>
                <w:highlight w:val="none"/>
                <w:lang w:val="en-US" w:eastAsia="zh-CN"/>
              </w:rPr>
              <w:t>办公室文员</w:t>
            </w:r>
          </w:p>
        </w:tc>
        <w:tc>
          <w:tcPr>
            <w:tcW w:w="852" w:type="dxa"/>
            <w:vAlign w:val="center"/>
          </w:tcPr>
          <w:p w14:paraId="4829F435">
            <w:pPr>
              <w:tabs>
                <w:tab w:val="left" w:pos="5580"/>
              </w:tabs>
              <w:jc w:val="center"/>
              <w:rPr>
                <w:color w:val="auto"/>
                <w:sz w:val="24"/>
                <w:highlight w:val="none"/>
              </w:rPr>
            </w:pPr>
          </w:p>
        </w:tc>
        <w:tc>
          <w:tcPr>
            <w:tcW w:w="1212" w:type="dxa"/>
            <w:vAlign w:val="center"/>
          </w:tcPr>
          <w:p w14:paraId="0D449B8A">
            <w:pPr>
              <w:tabs>
                <w:tab w:val="left" w:pos="5580"/>
              </w:tabs>
              <w:jc w:val="center"/>
              <w:rPr>
                <w:rFonts w:hint="eastAsia" w:eastAsia="宋体"/>
                <w:color w:val="auto"/>
                <w:sz w:val="24"/>
                <w:highlight w:val="none"/>
                <w:lang w:val="en-US" w:eastAsia="zh-CN"/>
              </w:rPr>
            </w:pPr>
            <w:r>
              <w:rPr>
                <w:rFonts w:hint="eastAsia"/>
                <w:color w:val="auto"/>
                <w:sz w:val="24"/>
                <w:highlight w:val="none"/>
                <w:lang w:val="en-US" w:eastAsia="zh-CN"/>
              </w:rPr>
              <w:t>人</w:t>
            </w:r>
          </w:p>
        </w:tc>
        <w:tc>
          <w:tcPr>
            <w:tcW w:w="1692" w:type="dxa"/>
            <w:vAlign w:val="center"/>
          </w:tcPr>
          <w:p w14:paraId="39EC8BD8">
            <w:pPr>
              <w:tabs>
                <w:tab w:val="left" w:pos="5580"/>
              </w:tabs>
              <w:jc w:val="center"/>
              <w:rPr>
                <w:color w:val="auto"/>
                <w:sz w:val="24"/>
                <w:highlight w:val="none"/>
              </w:rPr>
            </w:pPr>
          </w:p>
        </w:tc>
        <w:tc>
          <w:tcPr>
            <w:tcW w:w="1476" w:type="dxa"/>
            <w:vAlign w:val="center"/>
          </w:tcPr>
          <w:p w14:paraId="4CB61DC1">
            <w:pPr>
              <w:tabs>
                <w:tab w:val="left" w:pos="5580"/>
              </w:tabs>
              <w:jc w:val="center"/>
              <w:rPr>
                <w:color w:val="auto"/>
                <w:sz w:val="24"/>
                <w:highlight w:val="none"/>
              </w:rPr>
            </w:pPr>
          </w:p>
        </w:tc>
        <w:tc>
          <w:tcPr>
            <w:tcW w:w="864" w:type="dxa"/>
            <w:vAlign w:val="center"/>
          </w:tcPr>
          <w:p w14:paraId="14597AD4">
            <w:pPr>
              <w:tabs>
                <w:tab w:val="left" w:pos="5580"/>
              </w:tabs>
              <w:jc w:val="center"/>
              <w:rPr>
                <w:color w:val="auto"/>
                <w:sz w:val="24"/>
                <w:highlight w:val="none"/>
              </w:rPr>
            </w:pPr>
            <w:r>
              <w:rPr>
                <w:rFonts w:hint="eastAsia"/>
                <w:b/>
                <w:color w:val="auto"/>
                <w:sz w:val="24"/>
                <w:highlight w:val="none"/>
                <w:lang w:val="en-US" w:eastAsia="zh-CN"/>
              </w:rPr>
              <w:t>%</w:t>
            </w:r>
          </w:p>
        </w:tc>
        <w:tc>
          <w:tcPr>
            <w:tcW w:w="994" w:type="dxa"/>
            <w:vAlign w:val="center"/>
          </w:tcPr>
          <w:p w14:paraId="2A656F25">
            <w:pPr>
              <w:tabs>
                <w:tab w:val="left" w:pos="5580"/>
              </w:tabs>
              <w:jc w:val="center"/>
              <w:rPr>
                <w:color w:val="auto"/>
                <w:sz w:val="24"/>
                <w:highlight w:val="none"/>
              </w:rPr>
            </w:pPr>
          </w:p>
        </w:tc>
      </w:tr>
      <w:tr w14:paraId="7E44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698" w:type="dxa"/>
            <w:vAlign w:val="center"/>
          </w:tcPr>
          <w:p w14:paraId="304ED414">
            <w:pPr>
              <w:tabs>
                <w:tab w:val="left" w:pos="5580"/>
              </w:tabs>
              <w:jc w:val="center"/>
              <w:rPr>
                <w:rFonts w:hint="default" w:eastAsia="宋体"/>
                <w:color w:val="auto"/>
                <w:sz w:val="24"/>
                <w:highlight w:val="none"/>
                <w:lang w:val="en-US" w:eastAsia="zh-CN"/>
              </w:rPr>
            </w:pPr>
            <w:r>
              <w:rPr>
                <w:rFonts w:hint="eastAsia"/>
                <w:color w:val="auto"/>
                <w:sz w:val="24"/>
                <w:highlight w:val="none"/>
                <w:lang w:val="en-US" w:eastAsia="zh-CN"/>
              </w:rPr>
              <w:t>3</w:t>
            </w:r>
          </w:p>
        </w:tc>
        <w:tc>
          <w:tcPr>
            <w:tcW w:w="1368" w:type="dxa"/>
            <w:vAlign w:val="center"/>
          </w:tcPr>
          <w:p w14:paraId="0310E321">
            <w:pPr>
              <w:tabs>
                <w:tab w:val="left" w:pos="5580"/>
              </w:tabs>
              <w:jc w:val="center"/>
              <w:rPr>
                <w:rFonts w:hint="default" w:eastAsia="宋体"/>
                <w:color w:val="auto"/>
                <w:sz w:val="24"/>
                <w:highlight w:val="none"/>
                <w:lang w:val="en-US" w:eastAsia="zh-CN"/>
              </w:rPr>
            </w:pPr>
            <w:r>
              <w:rPr>
                <w:rFonts w:hint="eastAsia"/>
                <w:color w:val="auto"/>
                <w:sz w:val="24"/>
                <w:highlight w:val="none"/>
                <w:lang w:val="en-US" w:eastAsia="zh-CN"/>
              </w:rPr>
              <w:t>.........</w:t>
            </w:r>
          </w:p>
        </w:tc>
        <w:tc>
          <w:tcPr>
            <w:tcW w:w="852" w:type="dxa"/>
            <w:vAlign w:val="center"/>
          </w:tcPr>
          <w:p w14:paraId="2260B272">
            <w:pPr>
              <w:tabs>
                <w:tab w:val="left" w:pos="5580"/>
              </w:tabs>
              <w:jc w:val="center"/>
              <w:rPr>
                <w:color w:val="auto"/>
                <w:sz w:val="24"/>
                <w:highlight w:val="none"/>
              </w:rPr>
            </w:pPr>
          </w:p>
        </w:tc>
        <w:tc>
          <w:tcPr>
            <w:tcW w:w="1212" w:type="dxa"/>
            <w:vAlign w:val="center"/>
          </w:tcPr>
          <w:p w14:paraId="5F6E9B1B">
            <w:pPr>
              <w:tabs>
                <w:tab w:val="left" w:pos="5580"/>
              </w:tabs>
              <w:jc w:val="center"/>
              <w:rPr>
                <w:color w:val="auto"/>
                <w:sz w:val="24"/>
                <w:highlight w:val="none"/>
              </w:rPr>
            </w:pPr>
          </w:p>
        </w:tc>
        <w:tc>
          <w:tcPr>
            <w:tcW w:w="1692" w:type="dxa"/>
            <w:vAlign w:val="center"/>
          </w:tcPr>
          <w:p w14:paraId="38CCCCCA">
            <w:pPr>
              <w:tabs>
                <w:tab w:val="left" w:pos="5580"/>
              </w:tabs>
              <w:jc w:val="center"/>
              <w:rPr>
                <w:color w:val="auto"/>
                <w:sz w:val="24"/>
                <w:highlight w:val="none"/>
              </w:rPr>
            </w:pPr>
          </w:p>
        </w:tc>
        <w:tc>
          <w:tcPr>
            <w:tcW w:w="1476" w:type="dxa"/>
            <w:vAlign w:val="center"/>
          </w:tcPr>
          <w:p w14:paraId="4F170097">
            <w:pPr>
              <w:tabs>
                <w:tab w:val="left" w:pos="5580"/>
              </w:tabs>
              <w:jc w:val="center"/>
              <w:rPr>
                <w:color w:val="auto"/>
                <w:sz w:val="24"/>
                <w:highlight w:val="none"/>
              </w:rPr>
            </w:pPr>
          </w:p>
        </w:tc>
        <w:tc>
          <w:tcPr>
            <w:tcW w:w="864" w:type="dxa"/>
            <w:vAlign w:val="center"/>
          </w:tcPr>
          <w:p w14:paraId="154123B5">
            <w:pPr>
              <w:tabs>
                <w:tab w:val="left" w:pos="5580"/>
              </w:tabs>
              <w:jc w:val="center"/>
              <w:rPr>
                <w:color w:val="auto"/>
                <w:sz w:val="24"/>
                <w:highlight w:val="none"/>
              </w:rPr>
            </w:pPr>
            <w:r>
              <w:rPr>
                <w:rFonts w:hint="eastAsia"/>
                <w:b/>
                <w:color w:val="auto"/>
                <w:sz w:val="24"/>
                <w:highlight w:val="none"/>
                <w:lang w:val="en-US" w:eastAsia="zh-CN"/>
              </w:rPr>
              <w:t>%</w:t>
            </w:r>
          </w:p>
        </w:tc>
        <w:tc>
          <w:tcPr>
            <w:tcW w:w="994" w:type="dxa"/>
            <w:vAlign w:val="center"/>
          </w:tcPr>
          <w:p w14:paraId="6BC92D26">
            <w:pPr>
              <w:tabs>
                <w:tab w:val="left" w:pos="5580"/>
              </w:tabs>
              <w:jc w:val="center"/>
              <w:rPr>
                <w:color w:val="auto"/>
                <w:sz w:val="24"/>
                <w:highlight w:val="none"/>
              </w:rPr>
            </w:pPr>
          </w:p>
        </w:tc>
      </w:tr>
      <w:tr w14:paraId="4925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698" w:type="dxa"/>
            <w:vAlign w:val="center"/>
          </w:tcPr>
          <w:p w14:paraId="7B08E1ED">
            <w:pPr>
              <w:tabs>
                <w:tab w:val="left" w:pos="5580"/>
              </w:tabs>
              <w:jc w:val="center"/>
              <w:rPr>
                <w:rFonts w:hint="default"/>
                <w:color w:val="auto"/>
                <w:sz w:val="24"/>
                <w:highlight w:val="none"/>
                <w:lang w:val="en-US" w:eastAsia="zh-CN"/>
              </w:rPr>
            </w:pPr>
            <w:r>
              <w:rPr>
                <w:rFonts w:hint="eastAsia"/>
                <w:color w:val="auto"/>
                <w:sz w:val="24"/>
                <w:highlight w:val="none"/>
                <w:lang w:val="en-US" w:eastAsia="zh-CN"/>
              </w:rPr>
              <w:t>4</w:t>
            </w:r>
          </w:p>
        </w:tc>
        <w:tc>
          <w:tcPr>
            <w:tcW w:w="1368" w:type="dxa"/>
            <w:vAlign w:val="center"/>
          </w:tcPr>
          <w:p w14:paraId="08A7D45B">
            <w:pPr>
              <w:tabs>
                <w:tab w:val="left" w:pos="5580"/>
              </w:tabs>
              <w:jc w:val="center"/>
              <w:rPr>
                <w:rFonts w:hint="eastAsia"/>
                <w:color w:val="auto"/>
                <w:sz w:val="24"/>
                <w:highlight w:val="none"/>
                <w:lang w:val="en-US" w:eastAsia="zh-CN"/>
              </w:rPr>
            </w:pPr>
            <w:r>
              <w:rPr>
                <w:rFonts w:hint="eastAsia"/>
                <w:color w:val="auto"/>
                <w:sz w:val="24"/>
                <w:highlight w:val="none"/>
                <w:lang w:val="en-US" w:eastAsia="zh-CN"/>
              </w:rPr>
              <w:t>.........</w:t>
            </w:r>
          </w:p>
        </w:tc>
        <w:tc>
          <w:tcPr>
            <w:tcW w:w="852" w:type="dxa"/>
            <w:vAlign w:val="center"/>
          </w:tcPr>
          <w:p w14:paraId="0C8B0ED5">
            <w:pPr>
              <w:tabs>
                <w:tab w:val="left" w:pos="5580"/>
              </w:tabs>
              <w:jc w:val="center"/>
              <w:rPr>
                <w:color w:val="auto"/>
                <w:sz w:val="24"/>
                <w:highlight w:val="none"/>
              </w:rPr>
            </w:pPr>
          </w:p>
        </w:tc>
        <w:tc>
          <w:tcPr>
            <w:tcW w:w="1212" w:type="dxa"/>
            <w:vAlign w:val="center"/>
          </w:tcPr>
          <w:p w14:paraId="24A5B6F7">
            <w:pPr>
              <w:tabs>
                <w:tab w:val="left" w:pos="5580"/>
              </w:tabs>
              <w:jc w:val="center"/>
              <w:rPr>
                <w:color w:val="auto"/>
                <w:sz w:val="24"/>
                <w:highlight w:val="none"/>
              </w:rPr>
            </w:pPr>
          </w:p>
        </w:tc>
        <w:tc>
          <w:tcPr>
            <w:tcW w:w="1692" w:type="dxa"/>
            <w:vAlign w:val="center"/>
          </w:tcPr>
          <w:p w14:paraId="620112F8">
            <w:pPr>
              <w:tabs>
                <w:tab w:val="left" w:pos="5580"/>
              </w:tabs>
              <w:jc w:val="center"/>
              <w:rPr>
                <w:color w:val="auto"/>
                <w:sz w:val="24"/>
                <w:highlight w:val="none"/>
              </w:rPr>
            </w:pPr>
          </w:p>
        </w:tc>
        <w:tc>
          <w:tcPr>
            <w:tcW w:w="1476" w:type="dxa"/>
            <w:vAlign w:val="center"/>
          </w:tcPr>
          <w:p w14:paraId="61536DC3">
            <w:pPr>
              <w:tabs>
                <w:tab w:val="left" w:pos="5580"/>
              </w:tabs>
              <w:jc w:val="center"/>
              <w:rPr>
                <w:color w:val="auto"/>
                <w:sz w:val="24"/>
                <w:highlight w:val="none"/>
              </w:rPr>
            </w:pPr>
          </w:p>
        </w:tc>
        <w:tc>
          <w:tcPr>
            <w:tcW w:w="864" w:type="dxa"/>
            <w:vAlign w:val="center"/>
          </w:tcPr>
          <w:p w14:paraId="2249A117">
            <w:pPr>
              <w:tabs>
                <w:tab w:val="left" w:pos="5580"/>
              </w:tabs>
              <w:jc w:val="center"/>
              <w:rPr>
                <w:rFonts w:hint="eastAsia"/>
                <w:b/>
                <w:color w:val="auto"/>
                <w:sz w:val="24"/>
                <w:highlight w:val="none"/>
                <w:lang w:val="en-US" w:eastAsia="zh-CN"/>
              </w:rPr>
            </w:pPr>
            <w:r>
              <w:rPr>
                <w:rFonts w:hint="eastAsia"/>
                <w:b/>
                <w:color w:val="auto"/>
                <w:sz w:val="24"/>
                <w:highlight w:val="none"/>
                <w:lang w:val="en-US" w:eastAsia="zh-CN"/>
              </w:rPr>
              <w:t>%</w:t>
            </w:r>
          </w:p>
        </w:tc>
        <w:tc>
          <w:tcPr>
            <w:tcW w:w="994" w:type="dxa"/>
            <w:vAlign w:val="center"/>
          </w:tcPr>
          <w:p w14:paraId="7E1A3846">
            <w:pPr>
              <w:tabs>
                <w:tab w:val="left" w:pos="5580"/>
              </w:tabs>
              <w:jc w:val="center"/>
              <w:rPr>
                <w:color w:val="auto"/>
                <w:sz w:val="24"/>
                <w:highlight w:val="none"/>
              </w:rPr>
            </w:pPr>
          </w:p>
        </w:tc>
      </w:tr>
      <w:tr w14:paraId="59FF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698" w:type="dxa"/>
            <w:vAlign w:val="center"/>
          </w:tcPr>
          <w:p w14:paraId="1177AA58">
            <w:pPr>
              <w:tabs>
                <w:tab w:val="left" w:pos="5580"/>
              </w:tabs>
              <w:jc w:val="center"/>
              <w:rPr>
                <w:rFonts w:hint="default"/>
                <w:color w:val="auto"/>
                <w:sz w:val="24"/>
                <w:highlight w:val="none"/>
                <w:lang w:val="en-US" w:eastAsia="zh-CN"/>
              </w:rPr>
            </w:pPr>
            <w:r>
              <w:rPr>
                <w:rFonts w:hint="eastAsia"/>
                <w:color w:val="auto"/>
                <w:sz w:val="24"/>
                <w:highlight w:val="none"/>
                <w:lang w:val="en-US" w:eastAsia="zh-CN"/>
              </w:rPr>
              <w:t>5</w:t>
            </w:r>
          </w:p>
        </w:tc>
        <w:tc>
          <w:tcPr>
            <w:tcW w:w="1368" w:type="dxa"/>
            <w:vAlign w:val="center"/>
          </w:tcPr>
          <w:p w14:paraId="23268AE4">
            <w:pPr>
              <w:tabs>
                <w:tab w:val="left" w:pos="5580"/>
              </w:tabs>
              <w:jc w:val="center"/>
              <w:rPr>
                <w:rFonts w:hint="default"/>
                <w:color w:val="auto"/>
                <w:sz w:val="24"/>
                <w:highlight w:val="none"/>
                <w:lang w:val="en-US" w:eastAsia="zh-CN"/>
              </w:rPr>
            </w:pPr>
            <w:r>
              <w:rPr>
                <w:rFonts w:hint="eastAsia"/>
                <w:color w:val="auto"/>
                <w:sz w:val="24"/>
                <w:highlight w:val="none"/>
                <w:lang w:val="en-US" w:eastAsia="zh-CN"/>
              </w:rPr>
              <w:t>合计</w:t>
            </w:r>
          </w:p>
        </w:tc>
        <w:tc>
          <w:tcPr>
            <w:tcW w:w="852" w:type="dxa"/>
            <w:vAlign w:val="center"/>
          </w:tcPr>
          <w:p w14:paraId="713D8818">
            <w:pPr>
              <w:tabs>
                <w:tab w:val="left" w:pos="5580"/>
              </w:tabs>
              <w:jc w:val="center"/>
              <w:rPr>
                <w:color w:val="auto"/>
                <w:sz w:val="24"/>
                <w:highlight w:val="none"/>
              </w:rPr>
            </w:pPr>
          </w:p>
        </w:tc>
        <w:tc>
          <w:tcPr>
            <w:tcW w:w="1212" w:type="dxa"/>
            <w:vAlign w:val="center"/>
          </w:tcPr>
          <w:p w14:paraId="1EBA508D">
            <w:pPr>
              <w:tabs>
                <w:tab w:val="left" w:pos="5580"/>
              </w:tabs>
              <w:jc w:val="center"/>
              <w:rPr>
                <w:rFonts w:hint="eastAsia" w:eastAsia="宋体"/>
                <w:color w:val="auto"/>
                <w:sz w:val="24"/>
                <w:highlight w:val="none"/>
                <w:lang w:val="en-US" w:eastAsia="zh-CN"/>
              </w:rPr>
            </w:pPr>
            <w:r>
              <w:rPr>
                <w:rFonts w:hint="eastAsia"/>
                <w:color w:val="auto"/>
                <w:sz w:val="24"/>
                <w:highlight w:val="none"/>
                <w:lang w:val="en-US" w:eastAsia="zh-CN"/>
              </w:rPr>
              <w:t>-</w:t>
            </w:r>
          </w:p>
        </w:tc>
        <w:tc>
          <w:tcPr>
            <w:tcW w:w="1692" w:type="dxa"/>
            <w:vAlign w:val="center"/>
          </w:tcPr>
          <w:p w14:paraId="0FC654E9">
            <w:pPr>
              <w:tabs>
                <w:tab w:val="left" w:pos="5580"/>
              </w:tabs>
              <w:jc w:val="center"/>
              <w:rPr>
                <w:rFonts w:hint="eastAsia" w:eastAsia="宋体"/>
                <w:color w:val="auto"/>
                <w:sz w:val="24"/>
                <w:highlight w:val="none"/>
                <w:lang w:val="en-US" w:eastAsia="zh-CN"/>
              </w:rPr>
            </w:pPr>
            <w:r>
              <w:rPr>
                <w:rFonts w:hint="eastAsia"/>
                <w:color w:val="auto"/>
                <w:sz w:val="24"/>
                <w:highlight w:val="none"/>
                <w:lang w:val="en-US" w:eastAsia="zh-CN"/>
              </w:rPr>
              <w:t>-</w:t>
            </w:r>
          </w:p>
        </w:tc>
        <w:tc>
          <w:tcPr>
            <w:tcW w:w="1476" w:type="dxa"/>
            <w:vAlign w:val="center"/>
          </w:tcPr>
          <w:p w14:paraId="49147437">
            <w:pPr>
              <w:tabs>
                <w:tab w:val="left" w:pos="5580"/>
              </w:tabs>
              <w:jc w:val="center"/>
              <w:rPr>
                <w:color w:val="auto"/>
                <w:sz w:val="24"/>
                <w:highlight w:val="none"/>
              </w:rPr>
            </w:pPr>
          </w:p>
        </w:tc>
        <w:tc>
          <w:tcPr>
            <w:tcW w:w="864" w:type="dxa"/>
            <w:vAlign w:val="center"/>
          </w:tcPr>
          <w:p w14:paraId="429A56C3">
            <w:pPr>
              <w:tabs>
                <w:tab w:val="left" w:pos="5580"/>
              </w:tabs>
              <w:jc w:val="center"/>
              <w:rPr>
                <w:rFonts w:hint="eastAsia"/>
                <w:b/>
                <w:color w:val="auto"/>
                <w:sz w:val="24"/>
                <w:highlight w:val="none"/>
                <w:lang w:val="en-US" w:eastAsia="zh-CN"/>
              </w:rPr>
            </w:pPr>
            <w:r>
              <w:rPr>
                <w:rFonts w:hint="eastAsia"/>
                <w:b/>
                <w:color w:val="auto"/>
                <w:sz w:val="24"/>
                <w:highlight w:val="none"/>
                <w:lang w:val="en-US" w:eastAsia="zh-CN"/>
              </w:rPr>
              <w:t>%</w:t>
            </w:r>
          </w:p>
        </w:tc>
        <w:tc>
          <w:tcPr>
            <w:tcW w:w="994" w:type="dxa"/>
            <w:vAlign w:val="center"/>
          </w:tcPr>
          <w:p w14:paraId="26502EF7">
            <w:pPr>
              <w:tabs>
                <w:tab w:val="left" w:pos="5580"/>
              </w:tabs>
              <w:jc w:val="center"/>
              <w:rPr>
                <w:color w:val="auto"/>
                <w:sz w:val="24"/>
                <w:highlight w:val="none"/>
              </w:rPr>
            </w:pPr>
          </w:p>
        </w:tc>
      </w:tr>
    </w:tbl>
    <w:p w14:paraId="530C2BDF">
      <w:pPr>
        <w:autoSpaceDE w:val="0"/>
        <w:autoSpaceDN w:val="0"/>
        <w:adjustRightInd w:val="0"/>
        <w:jc w:val="left"/>
        <w:rPr>
          <w:color w:val="auto"/>
          <w:kern w:val="0"/>
          <w:sz w:val="24"/>
          <w:highlight w:val="none"/>
        </w:rPr>
      </w:pPr>
    </w:p>
    <w:p w14:paraId="3ABA88F5">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162686E1">
      <w:pPr>
        <w:autoSpaceDE w:val="0"/>
        <w:autoSpaceDN w:val="0"/>
        <w:adjustRightInd w:val="0"/>
        <w:ind w:firstLine="480" w:firstLineChars="200"/>
        <w:jc w:val="left"/>
        <w:rPr>
          <w:rFonts w:ascii="Times New Roman" w:hAnsi="Times New Roman" w:cs="Times New Roman"/>
          <w:color w:val="auto"/>
          <w:sz w:val="24"/>
          <w:szCs w:val="20"/>
          <w:highlight w:val="none"/>
        </w:rPr>
      </w:pPr>
      <w:r>
        <w:rPr>
          <w:rFonts w:ascii="Times New Roman" w:hAnsi="Times New Roman" w:cs="Times New Roman"/>
          <w:color w:val="auto"/>
          <w:sz w:val="24"/>
          <w:szCs w:val="20"/>
          <w:highlight w:val="none"/>
        </w:rPr>
        <w:t>2.本表必须按包分别填写。</w:t>
      </w:r>
    </w:p>
    <w:p w14:paraId="2017534A">
      <w:pPr>
        <w:autoSpaceDE w:val="0"/>
        <w:autoSpaceDN w:val="0"/>
        <w:adjustRightInd w:val="0"/>
        <w:ind w:firstLine="480" w:firstLineChars="200"/>
        <w:jc w:val="left"/>
        <w:rPr>
          <w:rFonts w:hint="eastAsia" w:ascii="Times New Roman" w:hAnsi="Times New Roman" w:cs="Times New Roman"/>
          <w:color w:val="auto"/>
          <w:sz w:val="24"/>
          <w:szCs w:val="20"/>
          <w:highlight w:val="none"/>
        </w:rPr>
      </w:pPr>
      <w:r>
        <w:rPr>
          <w:rFonts w:hint="eastAsia" w:ascii="Times New Roman" w:hAnsi="Times New Roman" w:cs="Times New Roman"/>
          <w:color w:val="auto"/>
          <w:sz w:val="24"/>
          <w:szCs w:val="20"/>
          <w:highlight w:val="none"/>
          <w:lang w:val="en-US" w:eastAsia="zh-CN"/>
        </w:rPr>
        <w:t>3.</w:t>
      </w:r>
      <w:r>
        <w:rPr>
          <w:rFonts w:hint="eastAsia" w:ascii="Times New Roman" w:hAnsi="Times New Roman" w:cs="Times New Roman"/>
          <w:color w:val="auto"/>
          <w:sz w:val="24"/>
          <w:szCs w:val="20"/>
          <w:highlight w:val="none"/>
        </w:rPr>
        <w:t>除有特殊说明外，以上“税</w:t>
      </w:r>
      <w:r>
        <w:rPr>
          <w:rFonts w:hint="eastAsia" w:ascii="Times New Roman" w:hAnsi="Times New Roman" w:cs="Times New Roman"/>
          <w:color w:val="auto"/>
          <w:sz w:val="24"/>
          <w:szCs w:val="20"/>
          <w:highlight w:val="none"/>
          <w:lang w:val="en-US" w:eastAsia="zh-CN"/>
        </w:rPr>
        <w:t>率</w:t>
      </w:r>
      <w:r>
        <w:rPr>
          <w:rFonts w:hint="eastAsia" w:ascii="Times New Roman" w:hAnsi="Times New Roman" w:cs="Times New Roman"/>
          <w:color w:val="auto"/>
          <w:sz w:val="24"/>
          <w:szCs w:val="20"/>
          <w:highlight w:val="none"/>
        </w:rPr>
        <w:t>”均指增值税。</w:t>
      </w:r>
    </w:p>
    <w:p w14:paraId="237552E0">
      <w:pPr>
        <w:autoSpaceDE w:val="0"/>
        <w:autoSpaceDN w:val="0"/>
        <w:adjustRightInd w:val="0"/>
        <w:ind w:firstLine="480" w:firstLineChars="200"/>
        <w:jc w:val="left"/>
        <w:rPr>
          <w:rFonts w:hint="default" w:ascii="Times New Roman" w:hAnsi="Times New Roman" w:cs="Times New Roman"/>
          <w:color w:val="auto"/>
          <w:sz w:val="24"/>
          <w:szCs w:val="20"/>
          <w:highlight w:val="none"/>
          <w:lang w:val="en-US"/>
        </w:rPr>
      </w:pPr>
      <w:r>
        <w:rPr>
          <w:rFonts w:hint="eastAsia" w:ascii="Times New Roman" w:hAnsi="Times New Roman" w:cs="Times New Roman"/>
          <w:color w:val="auto"/>
          <w:sz w:val="24"/>
          <w:szCs w:val="20"/>
          <w:highlight w:val="none"/>
          <w:lang w:val="en-US" w:eastAsia="zh-CN"/>
        </w:rPr>
        <w:t>4.</w:t>
      </w:r>
      <w:r>
        <w:rPr>
          <w:rFonts w:hint="eastAsia" w:ascii="Times New Roman" w:hAnsi="Times New Roman" w:cs="Times New Roman"/>
          <w:b/>
          <w:bCs/>
          <w:color w:val="auto"/>
          <w:sz w:val="24"/>
          <w:szCs w:val="20"/>
          <w:highlight w:val="none"/>
          <w:lang w:val="en-US" w:eastAsia="zh-CN"/>
        </w:rPr>
        <w:t>“单价”</w:t>
      </w:r>
      <w:r>
        <w:rPr>
          <w:rFonts w:hint="eastAsia" w:ascii="Times New Roman" w:hAnsi="Times New Roman" w:cs="Times New Roman"/>
          <w:color w:val="auto"/>
          <w:sz w:val="24"/>
          <w:szCs w:val="20"/>
          <w:highlight w:val="none"/>
          <w:lang w:val="en-US" w:eastAsia="zh-CN"/>
        </w:rPr>
        <w:t>包含不限于</w:t>
      </w:r>
      <w:r>
        <w:rPr>
          <w:rFonts w:hint="eastAsia" w:ascii="Times New Roman" w:hAnsi="Times New Roman" w:cs="Times New Roman"/>
          <w:color w:val="auto"/>
          <w:sz w:val="24"/>
          <w:szCs w:val="20"/>
          <w:highlight w:val="none"/>
        </w:rPr>
        <w:t>人员工资、伙食费、值加班费、社会保险费、培训费及福利待遇</w:t>
      </w:r>
      <w:r>
        <w:rPr>
          <w:rFonts w:hint="eastAsia" w:ascii="Times New Roman" w:hAnsi="Times New Roman" w:cs="Times New Roman"/>
          <w:color w:val="auto"/>
          <w:sz w:val="24"/>
          <w:szCs w:val="20"/>
          <w:highlight w:val="none"/>
          <w:lang w:eastAsia="zh-CN"/>
        </w:rPr>
        <w:t>、</w:t>
      </w:r>
      <w:r>
        <w:rPr>
          <w:rFonts w:hint="eastAsia" w:ascii="Times New Roman" w:hAnsi="Times New Roman" w:cs="Times New Roman"/>
          <w:color w:val="auto"/>
          <w:sz w:val="24"/>
          <w:szCs w:val="20"/>
          <w:highlight w:val="none"/>
        </w:rPr>
        <w:t>服装费、管理费</w:t>
      </w:r>
      <w:r>
        <w:rPr>
          <w:rFonts w:hint="eastAsia" w:ascii="Times New Roman" w:hAnsi="Times New Roman" w:cs="Times New Roman"/>
          <w:color w:val="auto"/>
          <w:sz w:val="24"/>
          <w:szCs w:val="20"/>
          <w:highlight w:val="none"/>
          <w:lang w:eastAsia="zh-CN"/>
        </w:rPr>
        <w:t>、</w:t>
      </w:r>
      <w:r>
        <w:rPr>
          <w:rFonts w:hint="eastAsia" w:ascii="Times New Roman" w:hAnsi="Times New Roman" w:cs="Times New Roman"/>
          <w:color w:val="auto"/>
          <w:sz w:val="24"/>
          <w:szCs w:val="20"/>
          <w:highlight w:val="none"/>
          <w:lang w:val="en-US" w:eastAsia="zh-CN"/>
        </w:rPr>
        <w:t>税金、加班费等与本项目相关的一切费用。</w:t>
      </w:r>
    </w:p>
    <w:p w14:paraId="6CFB583A">
      <w:pPr>
        <w:autoSpaceDE w:val="0"/>
        <w:autoSpaceDN w:val="0"/>
        <w:adjustRightInd w:val="0"/>
        <w:ind w:firstLine="480" w:firstLineChars="200"/>
        <w:jc w:val="left"/>
        <w:rPr>
          <w:rFonts w:hint="default" w:ascii="Times New Roman" w:hAnsi="Times New Roman" w:cs="Times New Roman"/>
          <w:color w:val="auto"/>
          <w:sz w:val="24"/>
          <w:szCs w:val="20"/>
          <w:highlight w:val="none"/>
          <w:lang w:val="en-US" w:eastAsia="zh-CN"/>
        </w:rPr>
      </w:pPr>
    </w:p>
    <w:p w14:paraId="2C4CA7D1">
      <w:pPr>
        <w:tabs>
          <w:tab w:val="left" w:pos="5580"/>
        </w:tabs>
        <w:ind w:firstLine="480" w:firstLineChars="200"/>
        <w:rPr>
          <w:color w:val="auto"/>
          <w:sz w:val="24"/>
          <w:szCs w:val="20"/>
          <w:highlight w:val="none"/>
        </w:rPr>
      </w:pPr>
    </w:p>
    <w:p w14:paraId="1FF62CF1">
      <w:pPr>
        <w:autoSpaceDE w:val="0"/>
        <w:autoSpaceDN w:val="0"/>
        <w:adjustRightInd w:val="0"/>
        <w:snapToGrid w:val="0"/>
        <w:spacing w:before="25" w:after="25" w:line="360" w:lineRule="auto"/>
        <w:rPr>
          <w:color w:val="auto"/>
          <w:sz w:val="24"/>
          <w:highlight w:val="none"/>
          <w:lang w:val="zh-CN"/>
        </w:rPr>
      </w:pPr>
    </w:p>
    <w:p w14:paraId="73E8C9B4">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C780182">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BA3A1EE">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0C4E42C">
      <w:pPr>
        <w:widowControl/>
        <w:jc w:val="left"/>
        <w:rPr>
          <w:color w:val="auto"/>
          <w:sz w:val="24"/>
          <w:szCs w:val="20"/>
          <w:highlight w:val="none"/>
        </w:rPr>
      </w:pPr>
      <w:bookmarkStart w:id="831" w:name="_Toc150480796"/>
      <w:bookmarkStart w:id="832" w:name="_Toc305158901"/>
      <w:bookmarkStart w:id="833" w:name="_Toc226965749"/>
      <w:bookmarkStart w:id="834" w:name="_Toc195842924"/>
      <w:bookmarkStart w:id="835" w:name="_Toc142311060"/>
      <w:bookmarkStart w:id="836" w:name="_Toc305158827"/>
      <w:bookmarkStart w:id="837" w:name="_Toc150774763"/>
      <w:bookmarkStart w:id="838" w:name="_Toc264969249"/>
      <w:bookmarkStart w:id="839" w:name="_Toc226965832"/>
      <w:bookmarkStart w:id="840" w:name="_Toc127151558"/>
      <w:bookmarkStart w:id="841" w:name="_Toc226337255"/>
      <w:bookmarkStart w:id="842" w:name="_Toc226309803"/>
      <w:bookmarkStart w:id="843" w:name="_Toc265228397"/>
    </w:p>
    <w:p w14:paraId="23833E46">
      <w:pPr>
        <w:widowControl/>
        <w:jc w:val="left"/>
        <w:rPr>
          <w:color w:val="auto"/>
          <w:sz w:val="24"/>
          <w:szCs w:val="20"/>
          <w:highlight w:val="none"/>
        </w:rPr>
      </w:pPr>
    </w:p>
    <w:p w14:paraId="778E495A">
      <w:pPr>
        <w:numPr>
          <w:ilvl w:val="0"/>
          <w:numId w:val="17"/>
        </w:numPr>
        <w:tabs>
          <w:tab w:val="left" w:pos="360"/>
        </w:tabs>
        <w:snapToGrid w:val="0"/>
        <w:spacing w:line="360" w:lineRule="auto"/>
        <w:outlineLvl w:val="1"/>
        <w:rPr>
          <w:color w:val="auto"/>
          <w:sz w:val="24"/>
          <w:szCs w:val="20"/>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2855FAE5">
      <w:pPr>
        <w:numPr>
          <w:ilvl w:val="0"/>
          <w:numId w:val="17"/>
        </w:numPr>
        <w:tabs>
          <w:tab w:val="left" w:pos="360"/>
        </w:tabs>
        <w:snapToGrid w:val="0"/>
        <w:spacing w:line="360" w:lineRule="auto"/>
        <w:outlineLvl w:val="1"/>
        <w:rPr>
          <w:color w:val="auto"/>
          <w:sz w:val="24"/>
          <w:szCs w:val="20"/>
          <w:highlight w:val="none"/>
        </w:rPr>
      </w:pPr>
      <w:r>
        <w:rPr>
          <w:color w:val="auto"/>
          <w:sz w:val="24"/>
          <w:szCs w:val="20"/>
          <w:highlight w:val="none"/>
        </w:rPr>
        <w:t>投标分项报价表</w:t>
      </w:r>
      <w:bookmarkEnd w:id="831"/>
      <w:bookmarkEnd w:id="832"/>
      <w:bookmarkEnd w:id="833"/>
      <w:bookmarkEnd w:id="834"/>
      <w:bookmarkEnd w:id="835"/>
      <w:bookmarkEnd w:id="836"/>
      <w:bookmarkEnd w:id="837"/>
      <w:bookmarkEnd w:id="838"/>
      <w:bookmarkEnd w:id="839"/>
      <w:bookmarkEnd w:id="840"/>
      <w:bookmarkEnd w:id="841"/>
      <w:bookmarkEnd w:id="842"/>
      <w:bookmarkEnd w:id="843"/>
      <w:r>
        <w:rPr>
          <w:color w:val="auto"/>
          <w:sz w:val="24"/>
          <w:szCs w:val="20"/>
          <w:highlight w:val="none"/>
        </w:rPr>
        <w:t>（实质性格式）</w:t>
      </w:r>
    </w:p>
    <w:p w14:paraId="272B681D">
      <w:pPr>
        <w:spacing w:line="360" w:lineRule="exact"/>
        <w:jc w:val="center"/>
        <w:rPr>
          <w:color w:val="auto"/>
          <w:sz w:val="36"/>
          <w:szCs w:val="36"/>
          <w:highlight w:val="none"/>
        </w:rPr>
      </w:pPr>
    </w:p>
    <w:p w14:paraId="4C966007">
      <w:pPr>
        <w:spacing w:line="360" w:lineRule="exact"/>
        <w:jc w:val="center"/>
        <w:rPr>
          <w:b/>
          <w:color w:val="auto"/>
          <w:sz w:val="36"/>
          <w:szCs w:val="36"/>
          <w:highlight w:val="none"/>
        </w:rPr>
      </w:pPr>
      <w:r>
        <w:rPr>
          <w:b/>
          <w:color w:val="auto"/>
          <w:sz w:val="36"/>
          <w:szCs w:val="36"/>
          <w:highlight w:val="none"/>
        </w:rPr>
        <w:t>投标分项报价表</w:t>
      </w:r>
    </w:p>
    <w:p w14:paraId="04CBCA6D">
      <w:pPr>
        <w:tabs>
          <w:tab w:val="left" w:pos="1800"/>
          <w:tab w:val="left" w:pos="5580"/>
        </w:tabs>
        <w:rPr>
          <w:color w:val="auto"/>
          <w:sz w:val="24"/>
          <w:highlight w:val="none"/>
        </w:rPr>
      </w:pPr>
      <w:r>
        <w:rPr>
          <w:color w:val="auto"/>
          <w:sz w:val="24"/>
          <w:highlight w:val="none"/>
        </w:rPr>
        <w:t>项目编号</w:t>
      </w:r>
      <w:r>
        <w:rPr>
          <w:rFonts w:hint="eastAsia"/>
          <w:color w:val="auto"/>
          <w:sz w:val="24"/>
          <w:szCs w:val="20"/>
          <w:highlight w:val="none"/>
          <w:lang w:val="en-US" w:eastAsia="zh-CN"/>
        </w:rPr>
        <w:t>/包号</w:t>
      </w:r>
      <w:r>
        <w:rPr>
          <w:color w:val="auto"/>
          <w:sz w:val="24"/>
          <w:highlight w:val="none"/>
        </w:rPr>
        <w:t xml:space="preserve">：________ </w:t>
      </w:r>
      <w:r>
        <w:rPr>
          <w:rFonts w:hint="eastAsia"/>
          <w:color w:val="auto"/>
          <w:sz w:val="24"/>
          <w:szCs w:val="20"/>
          <w:highlight w:val="none"/>
          <w:lang w:eastAsia="zh-CN"/>
        </w:rPr>
        <w:t>项目代理编号</w:t>
      </w:r>
      <w:r>
        <w:rPr>
          <w:rFonts w:hint="eastAsia"/>
          <w:color w:val="auto"/>
          <w:sz w:val="24"/>
          <w:szCs w:val="20"/>
          <w:highlight w:val="none"/>
          <w:lang w:val="en-US" w:eastAsia="zh-CN"/>
        </w:rPr>
        <w:t>/包号：</w:t>
      </w:r>
      <w:r>
        <w:rPr>
          <w:color w:val="auto"/>
          <w:sz w:val="24"/>
          <w:highlight w:val="none"/>
        </w:rPr>
        <w:t>_______ 项目名称：__________</w:t>
      </w:r>
    </w:p>
    <w:tbl>
      <w:tblPr>
        <w:tblStyle w:val="251"/>
        <w:tblW w:w="89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2029"/>
        <w:gridCol w:w="1510"/>
        <w:gridCol w:w="1344"/>
        <w:gridCol w:w="1192"/>
        <w:gridCol w:w="2205"/>
      </w:tblGrid>
      <w:tr w14:paraId="6AE1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77" w:type="dxa"/>
            <w:textDirection w:val="tbRlV"/>
            <w:vAlign w:val="center"/>
          </w:tcPr>
          <w:p w14:paraId="45F7DB78">
            <w:pPr>
              <w:spacing w:before="258" w:line="210" w:lineRule="auto"/>
              <w:ind w:left="21"/>
              <w:jc w:val="center"/>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14:textOutline w14:w="1537" w14:cap="flat" w14:cmpd="sng">
                  <w14:solidFill>
                    <w14:srgbClr w14:val="000000"/>
                  </w14:solidFill>
                  <w14:prstDash w14:val="solid"/>
                  <w14:miter w14:val="0"/>
                </w14:textOutline>
              </w:rPr>
              <w:t>序</w:t>
            </w:r>
            <w:r>
              <w:rPr>
                <w:rFonts w:ascii="宋体" w:hAnsi="宋体" w:eastAsia="宋体" w:cs="宋体"/>
                <w:color w:val="auto"/>
                <w:spacing w:val="-16"/>
                <w:sz w:val="24"/>
                <w:szCs w:val="24"/>
                <w:highlight w:val="none"/>
              </w:rPr>
              <w:t xml:space="preserve"> </w:t>
            </w:r>
            <w:r>
              <w:rPr>
                <w:rFonts w:ascii="宋体" w:hAnsi="宋体" w:eastAsia="宋体" w:cs="宋体"/>
                <w:color w:val="auto"/>
                <w:spacing w:val="-16"/>
                <w:sz w:val="24"/>
                <w:szCs w:val="24"/>
                <w:highlight w:val="none"/>
                <w14:textOutline w14:w="1537" w14:cap="flat" w14:cmpd="sng">
                  <w14:solidFill>
                    <w14:srgbClr w14:val="000000"/>
                  </w14:solidFill>
                  <w14:prstDash w14:val="solid"/>
                  <w14:miter w14:val="0"/>
                </w14:textOutline>
              </w:rPr>
              <w:t>号</w:t>
            </w:r>
          </w:p>
        </w:tc>
        <w:tc>
          <w:tcPr>
            <w:tcW w:w="2029" w:type="dxa"/>
            <w:vAlign w:val="center"/>
          </w:tcPr>
          <w:p w14:paraId="64489D38">
            <w:pPr>
              <w:spacing w:before="175" w:line="221" w:lineRule="auto"/>
              <w:ind w:left="115"/>
              <w:jc w:val="center"/>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分</w:t>
            </w:r>
            <w:r>
              <w:rPr>
                <w:rFonts w:ascii="宋体" w:hAnsi="宋体" w:eastAsia="宋体" w:cs="宋体"/>
                <w:color w:val="auto"/>
                <w:spacing w:val="-2"/>
                <w:sz w:val="24"/>
                <w:szCs w:val="24"/>
                <w:highlight w:val="none"/>
                <w14:textOutline w14:w="1537" w14:cap="flat" w14:cmpd="sng">
                  <w14:solidFill>
                    <w14:srgbClr w14:val="000000"/>
                  </w14:solidFill>
                  <w14:prstDash w14:val="solid"/>
                  <w14:miter w14:val="0"/>
                </w14:textOutline>
              </w:rPr>
              <w:t>项名称</w:t>
            </w:r>
          </w:p>
        </w:tc>
        <w:tc>
          <w:tcPr>
            <w:tcW w:w="1510" w:type="dxa"/>
            <w:vAlign w:val="center"/>
          </w:tcPr>
          <w:p w14:paraId="55737A82">
            <w:pPr>
              <w:spacing w:before="175" w:line="219" w:lineRule="auto"/>
              <w:ind w:left="115" w:leftChars="0"/>
              <w:jc w:val="center"/>
              <w:rPr>
                <w:rFonts w:hint="eastAsia" w:ascii="宋体" w:hAnsi="宋体" w:eastAsia="宋体" w:cs="宋体"/>
                <w:color w:val="auto"/>
                <w:spacing w:val="20"/>
                <w:sz w:val="24"/>
                <w:szCs w:val="24"/>
                <w:highlight w:val="none"/>
                <w:lang w:val="en-US" w:eastAsia="zh-CN"/>
                <w14:textOutline w14:w="1537" w14:cap="flat" w14:cmpd="sng">
                  <w14:solidFill>
                    <w14:srgbClr w14:val="000000"/>
                  </w14:solidFill>
                  <w14:prstDash w14:val="solid"/>
                  <w14:miter w14:val="0"/>
                </w14:textOutline>
              </w:rPr>
            </w:pPr>
            <w:r>
              <w:rPr>
                <w:rFonts w:ascii="宋体" w:hAnsi="宋体" w:eastAsia="宋体" w:cs="宋体"/>
                <w:color w:val="auto"/>
                <w:spacing w:val="20"/>
                <w:sz w:val="24"/>
                <w:szCs w:val="24"/>
                <w:highlight w:val="none"/>
                <w14:textOutline w14:w="1537" w14:cap="flat" w14:cmpd="sng">
                  <w14:solidFill>
                    <w14:srgbClr w14:val="000000"/>
                  </w14:solidFill>
                  <w14:prstDash w14:val="solid"/>
                  <w14:miter w14:val="0"/>
                </w14:textOutline>
              </w:rPr>
              <w:t>单价(元)</w:t>
            </w:r>
          </w:p>
        </w:tc>
        <w:tc>
          <w:tcPr>
            <w:tcW w:w="1344" w:type="dxa"/>
            <w:vAlign w:val="center"/>
          </w:tcPr>
          <w:p w14:paraId="30471CFA">
            <w:pPr>
              <w:spacing w:before="175" w:line="220"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1537" w14:cap="flat" w14:cmpd="sng">
                  <w14:solidFill>
                    <w14:srgbClr w14:val="000000"/>
                  </w14:solidFill>
                  <w14:prstDash w14:val="solid"/>
                  <w14:miter w14:val="0"/>
                </w14:textOutline>
              </w:rPr>
              <w:t>数量</w:t>
            </w:r>
          </w:p>
        </w:tc>
        <w:tc>
          <w:tcPr>
            <w:tcW w:w="1192" w:type="dxa"/>
            <w:vAlign w:val="center"/>
          </w:tcPr>
          <w:p w14:paraId="7F0F74E7">
            <w:pPr>
              <w:spacing w:before="175" w:line="219" w:lineRule="auto"/>
              <w:ind w:left="116" w:leftChars="0"/>
              <w:jc w:val="center"/>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1537" w14:cap="flat" w14:cmpd="sng">
                  <w14:solidFill>
                    <w14:srgbClr w14:val="000000"/>
                  </w14:solidFill>
                  <w14:prstDash w14:val="solid"/>
                  <w14:miter w14:val="0"/>
                </w14:textOutline>
              </w:rPr>
              <w:t>合</w:t>
            </w:r>
            <w:r>
              <w:rPr>
                <w:rFonts w:ascii="宋体" w:hAnsi="宋体" w:eastAsia="宋体" w:cs="宋体"/>
                <w:color w:val="auto"/>
                <w:spacing w:val="19"/>
                <w:sz w:val="24"/>
                <w:szCs w:val="24"/>
                <w:highlight w:val="none"/>
                <w14:textOutline w14:w="1537" w14:cap="flat" w14:cmpd="sng">
                  <w14:solidFill>
                    <w14:srgbClr w14:val="000000"/>
                  </w14:solidFill>
                  <w14:prstDash w14:val="solid"/>
                  <w14:miter w14:val="0"/>
                </w14:textOutline>
              </w:rPr>
              <w:t>价(元)</w:t>
            </w:r>
          </w:p>
        </w:tc>
        <w:tc>
          <w:tcPr>
            <w:tcW w:w="2205" w:type="dxa"/>
            <w:vAlign w:val="center"/>
          </w:tcPr>
          <w:p w14:paraId="67940327">
            <w:pPr>
              <w:spacing w:before="175" w:line="219" w:lineRule="auto"/>
              <w:ind w:left="116" w:lef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lang w:val="en-US" w:eastAsia="zh-CN"/>
                <w14:textOutline w14:w="1537" w14:cap="flat" w14:cmpd="sng">
                  <w14:solidFill>
                    <w14:srgbClr w14:val="000000"/>
                  </w14:solidFill>
                  <w14:prstDash w14:val="solid"/>
                  <w14:miter w14:val="0"/>
                </w14:textOutline>
              </w:rPr>
              <w:t>备注/说明</w:t>
            </w:r>
          </w:p>
        </w:tc>
      </w:tr>
      <w:tr w14:paraId="3DC8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77" w:type="dxa"/>
            <w:vAlign w:val="center"/>
          </w:tcPr>
          <w:p w14:paraId="150D6B4B">
            <w:pPr>
              <w:spacing w:before="143" w:line="199" w:lineRule="auto"/>
              <w:ind w:left="252"/>
              <w:jc w:val="center"/>
              <w:rPr>
                <w:rFonts w:ascii="Arial" w:hAnsi="Arial" w:eastAsia="Arial" w:cs="Arial"/>
                <w:color w:val="auto"/>
                <w:sz w:val="24"/>
                <w:szCs w:val="24"/>
                <w:highlight w:val="none"/>
              </w:rPr>
            </w:pPr>
            <w:r>
              <w:rPr>
                <w:rFonts w:ascii="Arial" w:hAnsi="Arial" w:eastAsia="Arial" w:cs="Arial"/>
                <w:color w:val="auto"/>
                <w:sz w:val="24"/>
                <w:szCs w:val="24"/>
                <w:highlight w:val="none"/>
              </w:rPr>
              <w:t>1</w:t>
            </w:r>
          </w:p>
        </w:tc>
        <w:tc>
          <w:tcPr>
            <w:tcW w:w="2029" w:type="dxa"/>
            <w:vAlign w:val="center"/>
          </w:tcPr>
          <w:p w14:paraId="0E198965">
            <w:pPr>
              <w:jc w:val="center"/>
              <w:rPr>
                <w:rFonts w:ascii="Arial"/>
                <w:color w:val="auto"/>
                <w:sz w:val="21"/>
                <w:highlight w:val="none"/>
              </w:rPr>
            </w:pPr>
          </w:p>
        </w:tc>
        <w:tc>
          <w:tcPr>
            <w:tcW w:w="1510" w:type="dxa"/>
            <w:vAlign w:val="center"/>
          </w:tcPr>
          <w:p w14:paraId="022A281E">
            <w:pPr>
              <w:jc w:val="center"/>
              <w:rPr>
                <w:rFonts w:ascii="Arial"/>
                <w:color w:val="auto"/>
                <w:sz w:val="21"/>
                <w:highlight w:val="none"/>
              </w:rPr>
            </w:pPr>
          </w:p>
        </w:tc>
        <w:tc>
          <w:tcPr>
            <w:tcW w:w="1344" w:type="dxa"/>
            <w:vAlign w:val="center"/>
          </w:tcPr>
          <w:p w14:paraId="7A07F9A1">
            <w:pPr>
              <w:jc w:val="center"/>
              <w:rPr>
                <w:rFonts w:ascii="Arial"/>
                <w:color w:val="auto"/>
                <w:sz w:val="21"/>
                <w:highlight w:val="none"/>
              </w:rPr>
            </w:pPr>
          </w:p>
        </w:tc>
        <w:tc>
          <w:tcPr>
            <w:tcW w:w="1192" w:type="dxa"/>
            <w:vAlign w:val="center"/>
          </w:tcPr>
          <w:p w14:paraId="1246D98A">
            <w:pPr>
              <w:jc w:val="center"/>
              <w:rPr>
                <w:rFonts w:ascii="Arial"/>
                <w:color w:val="auto"/>
                <w:sz w:val="21"/>
                <w:highlight w:val="none"/>
              </w:rPr>
            </w:pPr>
          </w:p>
        </w:tc>
        <w:tc>
          <w:tcPr>
            <w:tcW w:w="2205" w:type="dxa"/>
            <w:vAlign w:val="center"/>
          </w:tcPr>
          <w:p w14:paraId="5A268E66">
            <w:pPr>
              <w:jc w:val="center"/>
              <w:rPr>
                <w:rFonts w:ascii="Arial"/>
                <w:color w:val="auto"/>
                <w:sz w:val="21"/>
                <w:highlight w:val="none"/>
              </w:rPr>
            </w:pPr>
          </w:p>
        </w:tc>
      </w:tr>
      <w:tr w14:paraId="3F2DD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77" w:type="dxa"/>
            <w:vAlign w:val="center"/>
          </w:tcPr>
          <w:p w14:paraId="7AC4ECF7">
            <w:pPr>
              <w:spacing w:before="101" w:line="201" w:lineRule="auto"/>
              <w:ind w:left="243"/>
              <w:jc w:val="center"/>
              <w:rPr>
                <w:rFonts w:ascii="Arial" w:hAnsi="Arial" w:eastAsia="Arial" w:cs="Arial"/>
                <w:color w:val="auto"/>
                <w:sz w:val="24"/>
                <w:szCs w:val="24"/>
                <w:highlight w:val="none"/>
              </w:rPr>
            </w:pPr>
            <w:r>
              <w:rPr>
                <w:rFonts w:ascii="Arial" w:hAnsi="Arial" w:eastAsia="Arial" w:cs="Arial"/>
                <w:color w:val="auto"/>
                <w:spacing w:val="1"/>
                <w:sz w:val="24"/>
                <w:szCs w:val="24"/>
                <w:highlight w:val="none"/>
              </w:rPr>
              <w:t>2</w:t>
            </w:r>
          </w:p>
        </w:tc>
        <w:tc>
          <w:tcPr>
            <w:tcW w:w="2029" w:type="dxa"/>
            <w:vAlign w:val="center"/>
          </w:tcPr>
          <w:p w14:paraId="14D9A0F5">
            <w:pPr>
              <w:jc w:val="center"/>
              <w:rPr>
                <w:rFonts w:ascii="Arial"/>
                <w:color w:val="auto"/>
                <w:sz w:val="21"/>
                <w:highlight w:val="none"/>
              </w:rPr>
            </w:pPr>
          </w:p>
        </w:tc>
        <w:tc>
          <w:tcPr>
            <w:tcW w:w="1510" w:type="dxa"/>
            <w:vAlign w:val="center"/>
          </w:tcPr>
          <w:p w14:paraId="51B43CD3">
            <w:pPr>
              <w:jc w:val="center"/>
              <w:rPr>
                <w:rFonts w:ascii="Arial"/>
                <w:color w:val="auto"/>
                <w:sz w:val="21"/>
                <w:highlight w:val="none"/>
              </w:rPr>
            </w:pPr>
          </w:p>
        </w:tc>
        <w:tc>
          <w:tcPr>
            <w:tcW w:w="1344" w:type="dxa"/>
            <w:vAlign w:val="center"/>
          </w:tcPr>
          <w:p w14:paraId="039E4463">
            <w:pPr>
              <w:jc w:val="center"/>
              <w:rPr>
                <w:rFonts w:ascii="Arial"/>
                <w:color w:val="auto"/>
                <w:sz w:val="21"/>
                <w:highlight w:val="none"/>
              </w:rPr>
            </w:pPr>
          </w:p>
        </w:tc>
        <w:tc>
          <w:tcPr>
            <w:tcW w:w="1192" w:type="dxa"/>
            <w:vAlign w:val="center"/>
          </w:tcPr>
          <w:p w14:paraId="59D800DF">
            <w:pPr>
              <w:jc w:val="center"/>
              <w:rPr>
                <w:rFonts w:ascii="Arial"/>
                <w:color w:val="auto"/>
                <w:sz w:val="21"/>
                <w:highlight w:val="none"/>
              </w:rPr>
            </w:pPr>
          </w:p>
        </w:tc>
        <w:tc>
          <w:tcPr>
            <w:tcW w:w="2205" w:type="dxa"/>
            <w:vAlign w:val="center"/>
          </w:tcPr>
          <w:p w14:paraId="458991A0">
            <w:pPr>
              <w:jc w:val="center"/>
              <w:rPr>
                <w:rFonts w:ascii="Arial"/>
                <w:color w:val="auto"/>
                <w:sz w:val="21"/>
                <w:highlight w:val="none"/>
              </w:rPr>
            </w:pPr>
          </w:p>
        </w:tc>
      </w:tr>
      <w:tr w14:paraId="6E83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677" w:type="dxa"/>
            <w:vAlign w:val="center"/>
          </w:tcPr>
          <w:p w14:paraId="368342FC">
            <w:pPr>
              <w:spacing w:before="103" w:line="201" w:lineRule="auto"/>
              <w:ind w:left="244"/>
              <w:jc w:val="center"/>
              <w:rPr>
                <w:rFonts w:ascii="Arial" w:hAnsi="Arial" w:eastAsia="Arial" w:cs="Arial"/>
                <w:color w:val="auto"/>
                <w:sz w:val="24"/>
                <w:szCs w:val="24"/>
                <w:highlight w:val="none"/>
              </w:rPr>
            </w:pPr>
            <w:r>
              <w:rPr>
                <w:rFonts w:ascii="Arial" w:hAnsi="Arial" w:eastAsia="Arial" w:cs="Arial"/>
                <w:color w:val="auto"/>
                <w:sz w:val="24"/>
                <w:szCs w:val="24"/>
                <w:highlight w:val="none"/>
              </w:rPr>
              <w:t>3</w:t>
            </w:r>
          </w:p>
        </w:tc>
        <w:tc>
          <w:tcPr>
            <w:tcW w:w="2029" w:type="dxa"/>
            <w:vAlign w:val="center"/>
          </w:tcPr>
          <w:p w14:paraId="28219E12">
            <w:pPr>
              <w:spacing w:before="254" w:line="80" w:lineRule="exact"/>
              <w:ind w:left="131"/>
              <w:jc w:val="center"/>
              <w:rPr>
                <w:rFonts w:ascii="Arial" w:hAnsi="Arial" w:eastAsia="Arial" w:cs="Arial"/>
                <w:color w:val="auto"/>
                <w:sz w:val="24"/>
                <w:szCs w:val="24"/>
                <w:highlight w:val="none"/>
              </w:rPr>
            </w:pPr>
            <w:r>
              <w:rPr>
                <w:rFonts w:ascii="Arial" w:hAnsi="Arial" w:eastAsia="Arial" w:cs="Arial"/>
                <w:color w:val="auto"/>
                <w:position w:val="1"/>
                <w:sz w:val="24"/>
                <w:szCs w:val="24"/>
                <w:highlight w:val="none"/>
              </w:rPr>
              <w:t>…</w:t>
            </w:r>
          </w:p>
        </w:tc>
        <w:tc>
          <w:tcPr>
            <w:tcW w:w="1510" w:type="dxa"/>
            <w:vAlign w:val="center"/>
          </w:tcPr>
          <w:p w14:paraId="4FD3AE18">
            <w:pPr>
              <w:jc w:val="center"/>
              <w:rPr>
                <w:rFonts w:ascii="Arial"/>
                <w:color w:val="auto"/>
                <w:sz w:val="21"/>
                <w:highlight w:val="none"/>
              </w:rPr>
            </w:pPr>
          </w:p>
        </w:tc>
        <w:tc>
          <w:tcPr>
            <w:tcW w:w="1344" w:type="dxa"/>
            <w:vAlign w:val="center"/>
          </w:tcPr>
          <w:p w14:paraId="38AAC7AA">
            <w:pPr>
              <w:jc w:val="center"/>
              <w:rPr>
                <w:rFonts w:ascii="Arial"/>
                <w:color w:val="auto"/>
                <w:sz w:val="21"/>
                <w:highlight w:val="none"/>
              </w:rPr>
            </w:pPr>
          </w:p>
        </w:tc>
        <w:tc>
          <w:tcPr>
            <w:tcW w:w="1192" w:type="dxa"/>
            <w:vAlign w:val="center"/>
          </w:tcPr>
          <w:p w14:paraId="3F623682">
            <w:pPr>
              <w:jc w:val="center"/>
              <w:rPr>
                <w:rFonts w:ascii="Arial"/>
                <w:color w:val="auto"/>
                <w:sz w:val="21"/>
                <w:highlight w:val="none"/>
              </w:rPr>
            </w:pPr>
          </w:p>
        </w:tc>
        <w:tc>
          <w:tcPr>
            <w:tcW w:w="2205" w:type="dxa"/>
            <w:vAlign w:val="center"/>
          </w:tcPr>
          <w:p w14:paraId="714142AE">
            <w:pPr>
              <w:jc w:val="center"/>
              <w:rPr>
                <w:rFonts w:ascii="Arial"/>
                <w:color w:val="auto"/>
                <w:sz w:val="21"/>
                <w:highlight w:val="none"/>
              </w:rPr>
            </w:pPr>
          </w:p>
        </w:tc>
      </w:tr>
      <w:tr w14:paraId="5B09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560" w:type="dxa"/>
            <w:gridSpan w:val="4"/>
            <w:vAlign w:val="center"/>
          </w:tcPr>
          <w:p w14:paraId="2255A242">
            <w:pPr>
              <w:jc w:val="right"/>
              <w:rPr>
                <w:rFonts w:hint="default" w:ascii="Arial" w:eastAsia="宋体"/>
                <w:color w:val="auto"/>
                <w:sz w:val="21"/>
                <w:highlight w:val="none"/>
                <w:lang w:val="en-US" w:eastAsia="zh-CN"/>
              </w:rPr>
            </w:pPr>
            <w:r>
              <w:rPr>
                <w:rFonts w:hint="eastAsia" w:ascii="Arial"/>
                <w:b/>
                <w:bCs/>
                <w:color w:val="auto"/>
                <w:sz w:val="21"/>
                <w:highlight w:val="none"/>
                <w:lang w:val="en-US" w:eastAsia="zh-CN"/>
              </w:rPr>
              <w:t>总价（元）</w:t>
            </w:r>
          </w:p>
        </w:tc>
        <w:tc>
          <w:tcPr>
            <w:tcW w:w="1192" w:type="dxa"/>
            <w:vAlign w:val="top"/>
          </w:tcPr>
          <w:p w14:paraId="38FEBDCE">
            <w:pPr>
              <w:rPr>
                <w:rFonts w:ascii="Arial"/>
                <w:color w:val="auto"/>
                <w:sz w:val="21"/>
                <w:highlight w:val="none"/>
              </w:rPr>
            </w:pPr>
          </w:p>
        </w:tc>
        <w:tc>
          <w:tcPr>
            <w:tcW w:w="2205" w:type="dxa"/>
            <w:vAlign w:val="top"/>
          </w:tcPr>
          <w:p w14:paraId="1A577EAA">
            <w:pPr>
              <w:rPr>
                <w:rFonts w:ascii="Arial"/>
                <w:color w:val="auto"/>
                <w:sz w:val="21"/>
                <w:highlight w:val="none"/>
              </w:rPr>
            </w:pPr>
          </w:p>
        </w:tc>
      </w:tr>
    </w:tbl>
    <w:p w14:paraId="05AC58DD">
      <w:pPr>
        <w:adjustRightInd w:val="0"/>
        <w:snapToGrid w:val="0"/>
        <w:spacing w:before="240" w:beforeLines="100" w:after="240" w:afterLines="100"/>
        <w:jc w:val="left"/>
        <w:rPr>
          <w:b/>
          <w:i/>
          <w:color w:val="auto"/>
          <w:sz w:val="24"/>
          <w:highlight w:val="none"/>
        </w:rPr>
      </w:pPr>
    </w:p>
    <w:p w14:paraId="4650A954">
      <w:pPr>
        <w:tabs>
          <w:tab w:val="left" w:pos="1800"/>
          <w:tab w:val="left" w:pos="5580"/>
        </w:tabs>
        <w:jc w:val="left"/>
        <w:rPr>
          <w:color w:val="auto"/>
          <w:sz w:val="24"/>
          <w:highlight w:val="none"/>
        </w:rPr>
      </w:pPr>
    </w:p>
    <w:p w14:paraId="38952637">
      <w:pPr>
        <w:tabs>
          <w:tab w:val="left" w:pos="1800"/>
          <w:tab w:val="left" w:pos="5580"/>
        </w:tabs>
        <w:jc w:val="left"/>
        <w:rPr>
          <w:color w:val="auto"/>
          <w:sz w:val="24"/>
          <w:highlight w:val="none"/>
        </w:rPr>
      </w:pPr>
      <w:r>
        <w:rPr>
          <w:color w:val="auto"/>
          <w:sz w:val="24"/>
          <w:highlight w:val="none"/>
        </w:rPr>
        <w:t>注：1.本表应按包</w:t>
      </w:r>
      <w:r>
        <w:rPr>
          <w:rFonts w:hint="eastAsia"/>
          <w:color w:val="auto"/>
          <w:sz w:val="24"/>
          <w:highlight w:val="none"/>
          <w:lang w:eastAsia="zh-CN"/>
        </w:rPr>
        <w:t>（如有）</w:t>
      </w:r>
      <w:r>
        <w:rPr>
          <w:color w:val="auto"/>
          <w:sz w:val="24"/>
          <w:highlight w:val="none"/>
        </w:rPr>
        <w:t>分别填写。</w:t>
      </w:r>
    </w:p>
    <w:p w14:paraId="54663D62">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2.如果不提供分项报价将视为没有实质性响应招标文件。</w:t>
      </w:r>
    </w:p>
    <w:p w14:paraId="30C3D47E">
      <w:pPr>
        <w:tabs>
          <w:tab w:val="left" w:pos="1800"/>
          <w:tab w:val="left" w:pos="5580"/>
        </w:tabs>
        <w:ind w:firstLine="480" w:firstLineChars="200"/>
        <w:jc w:val="left"/>
        <w:rPr>
          <w:color w:val="auto"/>
          <w:sz w:val="24"/>
          <w:highlight w:val="none"/>
        </w:rPr>
      </w:pPr>
      <w:r>
        <w:rPr>
          <w:color w:val="auto"/>
          <w:sz w:val="24"/>
          <w:highlight w:val="none"/>
        </w:rPr>
        <w:t>3.上述各项的详细规格（如有），可另页描述。</w:t>
      </w:r>
    </w:p>
    <w:p w14:paraId="162B1947">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7F66650A">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34F855C8">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4E944BD">
      <w:pPr>
        <w:numPr>
          <w:ilvl w:val="0"/>
          <w:numId w:val="17"/>
        </w:numPr>
        <w:tabs>
          <w:tab w:val="left" w:pos="360"/>
        </w:tabs>
        <w:snapToGrid w:val="0"/>
        <w:spacing w:line="360" w:lineRule="auto"/>
        <w:outlineLvl w:val="1"/>
        <w:rPr>
          <w:color w:val="auto"/>
          <w:sz w:val="24"/>
          <w:szCs w:val="20"/>
          <w:highlight w:val="none"/>
        </w:rPr>
        <w:sectPr>
          <w:headerReference r:id="rId24" w:type="default"/>
          <w:footerReference r:id="rId25"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bookmarkStart w:id="844" w:name="_Toc305158830"/>
      <w:bookmarkStart w:id="845" w:name="_Toc265228400"/>
      <w:bookmarkStart w:id="846" w:name="_Toc127151562"/>
      <w:bookmarkStart w:id="847" w:name="_Toc195842927"/>
      <w:bookmarkStart w:id="848" w:name="_Toc226309806"/>
      <w:bookmarkStart w:id="849" w:name="_Toc226965752"/>
      <w:bookmarkStart w:id="850" w:name="_Toc150480798"/>
      <w:bookmarkStart w:id="851" w:name="_Toc264969252"/>
      <w:bookmarkStart w:id="852" w:name="_Toc142311062"/>
      <w:bookmarkStart w:id="853" w:name="_Toc150774765"/>
      <w:bookmarkStart w:id="854" w:name="_Toc305158904"/>
      <w:bookmarkStart w:id="855" w:name="_Toc226337258"/>
      <w:bookmarkStart w:id="856" w:name="_Toc226965835"/>
      <w:bookmarkStart w:id="857" w:name="_Toc142311061"/>
      <w:bookmarkStart w:id="858" w:name="_Toc150774764"/>
      <w:bookmarkStart w:id="859" w:name="_Toc150480797"/>
      <w:bookmarkStart w:id="860" w:name="_Toc226965751"/>
      <w:bookmarkStart w:id="861" w:name="_Toc305158829"/>
      <w:bookmarkStart w:id="862" w:name="_Toc305158903"/>
      <w:bookmarkStart w:id="863" w:name="_Toc127151561"/>
      <w:bookmarkStart w:id="864" w:name="_Toc226965834"/>
      <w:bookmarkStart w:id="865" w:name="_Toc226337257"/>
      <w:bookmarkStart w:id="866" w:name="_Toc195842926"/>
      <w:bookmarkStart w:id="867" w:name="_Toc264969251"/>
      <w:bookmarkStart w:id="868" w:name="_Toc226309805"/>
      <w:bookmarkStart w:id="869" w:name="_Toc265228399"/>
    </w:p>
    <w:p w14:paraId="56AF2E92">
      <w:pPr>
        <w:numPr>
          <w:ilvl w:val="0"/>
          <w:numId w:val="17"/>
        </w:numPr>
        <w:tabs>
          <w:tab w:val="left" w:pos="360"/>
        </w:tabs>
        <w:snapToGrid w:val="0"/>
        <w:spacing w:line="360" w:lineRule="auto"/>
        <w:outlineLvl w:val="1"/>
        <w:rPr>
          <w:color w:val="auto"/>
          <w:sz w:val="24"/>
          <w:szCs w:val="20"/>
          <w:highlight w:val="none"/>
        </w:rPr>
      </w:pPr>
      <w:r>
        <w:rPr>
          <w:color w:val="auto"/>
          <w:sz w:val="24"/>
          <w:szCs w:val="20"/>
          <w:highlight w:val="none"/>
        </w:rPr>
        <w:t>合同条款偏离表</w:t>
      </w:r>
      <w:bookmarkEnd w:id="844"/>
      <w:bookmarkEnd w:id="845"/>
      <w:bookmarkEnd w:id="846"/>
      <w:bookmarkEnd w:id="847"/>
      <w:bookmarkEnd w:id="848"/>
      <w:bookmarkEnd w:id="849"/>
      <w:bookmarkEnd w:id="850"/>
      <w:bookmarkEnd w:id="851"/>
      <w:bookmarkEnd w:id="852"/>
      <w:bookmarkEnd w:id="853"/>
      <w:bookmarkEnd w:id="854"/>
      <w:bookmarkEnd w:id="855"/>
      <w:bookmarkEnd w:id="856"/>
      <w:r>
        <w:rPr>
          <w:color w:val="auto"/>
          <w:sz w:val="24"/>
          <w:szCs w:val="20"/>
          <w:highlight w:val="none"/>
        </w:rPr>
        <w:t>（实质性格式）</w:t>
      </w:r>
    </w:p>
    <w:p w14:paraId="144787A8">
      <w:pPr>
        <w:spacing w:line="360" w:lineRule="auto"/>
        <w:rPr>
          <w:color w:val="auto"/>
          <w:sz w:val="24"/>
          <w:szCs w:val="20"/>
          <w:highlight w:val="none"/>
        </w:rPr>
      </w:pPr>
    </w:p>
    <w:p w14:paraId="167DFBAE">
      <w:pPr>
        <w:tabs>
          <w:tab w:val="left" w:pos="2775"/>
          <w:tab w:val="center" w:pos="4153"/>
        </w:tabs>
        <w:autoSpaceDE w:val="0"/>
        <w:autoSpaceDN w:val="0"/>
        <w:adjustRightInd w:val="0"/>
        <w:spacing w:line="360" w:lineRule="auto"/>
        <w:jc w:val="center"/>
        <w:rPr>
          <w:b/>
          <w:color w:val="auto"/>
          <w:sz w:val="36"/>
          <w:szCs w:val="36"/>
          <w:highlight w:val="none"/>
        </w:rPr>
      </w:pPr>
      <w:r>
        <w:rPr>
          <w:b/>
          <w:color w:val="auto"/>
          <w:sz w:val="36"/>
          <w:szCs w:val="36"/>
          <w:highlight w:val="none"/>
        </w:rPr>
        <w:t>合同条款偏离表</w:t>
      </w:r>
    </w:p>
    <w:p w14:paraId="6F7DD1CC">
      <w:pPr>
        <w:spacing w:line="360" w:lineRule="auto"/>
        <w:rPr>
          <w:color w:val="auto"/>
          <w:sz w:val="24"/>
          <w:szCs w:val="20"/>
          <w:highlight w:val="none"/>
        </w:rPr>
      </w:pPr>
    </w:p>
    <w:p w14:paraId="55BC0C03">
      <w:pPr>
        <w:tabs>
          <w:tab w:val="left" w:pos="1800"/>
          <w:tab w:val="left" w:pos="5580"/>
        </w:tabs>
        <w:spacing w:line="360" w:lineRule="auto"/>
        <w:jc w:val="left"/>
        <w:rPr>
          <w:color w:val="auto"/>
          <w:sz w:val="24"/>
          <w:highlight w:val="none"/>
        </w:rPr>
      </w:pPr>
      <w:r>
        <w:rPr>
          <w:color w:val="auto"/>
          <w:sz w:val="24"/>
          <w:highlight w:val="none"/>
        </w:rPr>
        <w:t xml:space="preserve">项目编号：________ </w:t>
      </w:r>
      <w:r>
        <w:rPr>
          <w:rFonts w:hint="eastAsia"/>
          <w:color w:val="auto"/>
          <w:sz w:val="24"/>
          <w:szCs w:val="20"/>
          <w:highlight w:val="none"/>
          <w:lang w:eastAsia="zh-CN"/>
        </w:rPr>
        <w:t>项目代理编号</w:t>
      </w:r>
      <w:r>
        <w:rPr>
          <w:rFonts w:hint="eastAsia"/>
          <w:color w:val="auto"/>
          <w:sz w:val="24"/>
          <w:szCs w:val="20"/>
          <w:highlight w:val="none"/>
          <w:lang w:val="en-US" w:eastAsia="zh-CN"/>
        </w:rPr>
        <w:t>：</w:t>
      </w:r>
      <w:r>
        <w:rPr>
          <w:color w:val="auto"/>
          <w:sz w:val="24"/>
          <w:highlight w:val="none"/>
        </w:rPr>
        <w:t>_______     项目名称：_____________</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2"/>
        <w:gridCol w:w="1676"/>
        <w:gridCol w:w="1676"/>
        <w:gridCol w:w="1877"/>
        <w:gridCol w:w="1133"/>
      </w:tblGrid>
      <w:tr w14:paraId="3FE2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A6CAE6">
            <w:pPr>
              <w:adjustRightInd w:val="0"/>
              <w:snapToGrid w:val="0"/>
              <w:jc w:val="center"/>
              <w:rPr>
                <w:color w:val="auto"/>
                <w:sz w:val="24"/>
                <w:highlight w:val="none"/>
              </w:rPr>
            </w:pPr>
            <w:bookmarkStart w:id="870" w:name="_Hlk144279231"/>
            <w:r>
              <w:rPr>
                <w:color w:val="auto"/>
                <w:sz w:val="24"/>
                <w:highlight w:val="none"/>
              </w:rPr>
              <w:t>序号</w:t>
            </w:r>
          </w:p>
        </w:tc>
        <w:tc>
          <w:tcPr>
            <w:tcW w:w="1772" w:type="dxa"/>
            <w:vAlign w:val="center"/>
          </w:tcPr>
          <w:p w14:paraId="39442C50">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1676" w:type="dxa"/>
            <w:vAlign w:val="center"/>
          </w:tcPr>
          <w:p w14:paraId="5561C7CE">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1676" w:type="dxa"/>
            <w:vAlign w:val="center"/>
          </w:tcPr>
          <w:p w14:paraId="08800734">
            <w:pPr>
              <w:adjustRightInd w:val="0"/>
              <w:snapToGrid w:val="0"/>
              <w:jc w:val="center"/>
              <w:rPr>
                <w:color w:val="auto"/>
                <w:sz w:val="24"/>
                <w:highlight w:val="none"/>
              </w:rPr>
            </w:pPr>
            <w:r>
              <w:rPr>
                <w:color w:val="auto"/>
                <w:sz w:val="24"/>
                <w:highlight w:val="none"/>
              </w:rPr>
              <w:t>投标文件内容</w:t>
            </w:r>
          </w:p>
        </w:tc>
        <w:tc>
          <w:tcPr>
            <w:tcW w:w="1877" w:type="dxa"/>
            <w:vAlign w:val="center"/>
          </w:tcPr>
          <w:p w14:paraId="3A667BE0">
            <w:pPr>
              <w:adjustRightInd w:val="0"/>
              <w:snapToGrid w:val="0"/>
              <w:jc w:val="center"/>
              <w:rPr>
                <w:color w:val="auto"/>
                <w:sz w:val="24"/>
                <w:highlight w:val="none"/>
              </w:rPr>
            </w:pPr>
            <w:r>
              <w:rPr>
                <w:color w:val="auto"/>
                <w:sz w:val="24"/>
                <w:highlight w:val="none"/>
              </w:rPr>
              <w:t>偏离情况</w:t>
            </w:r>
          </w:p>
        </w:tc>
        <w:tc>
          <w:tcPr>
            <w:tcW w:w="1133" w:type="dxa"/>
            <w:vAlign w:val="center"/>
          </w:tcPr>
          <w:p w14:paraId="29411524">
            <w:pPr>
              <w:adjustRightInd w:val="0"/>
              <w:snapToGrid w:val="0"/>
              <w:jc w:val="center"/>
              <w:rPr>
                <w:color w:val="auto"/>
                <w:sz w:val="24"/>
                <w:highlight w:val="none"/>
              </w:rPr>
            </w:pPr>
            <w:r>
              <w:rPr>
                <w:color w:val="auto"/>
                <w:sz w:val="24"/>
                <w:highlight w:val="none"/>
              </w:rPr>
              <w:t>说明</w:t>
            </w:r>
          </w:p>
        </w:tc>
      </w:tr>
      <w:tr w14:paraId="1F3E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E942C7C">
            <w:pPr>
              <w:adjustRightInd w:val="0"/>
              <w:snapToGrid w:val="0"/>
              <w:jc w:val="left"/>
              <w:rPr>
                <w:bCs/>
                <w:color w:val="auto"/>
                <w:sz w:val="24"/>
                <w:highlight w:val="none"/>
              </w:rPr>
            </w:pPr>
            <w:r>
              <w:rPr>
                <w:b/>
                <w:color w:val="auto"/>
                <w:sz w:val="24"/>
                <w:highlight w:val="none"/>
              </w:rPr>
              <w:t>对本项目合同条款的偏离情况</w:t>
            </w:r>
            <w:r>
              <w:rPr>
                <w:bCs/>
                <w:color w:val="auto"/>
                <w:sz w:val="24"/>
                <w:highlight w:val="none"/>
              </w:rPr>
              <w:t>（</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投标无效</w:t>
            </w:r>
            <w:r>
              <w:rPr>
                <w:bCs/>
                <w:color w:val="auto"/>
                <w:sz w:val="24"/>
                <w:highlight w:val="none"/>
              </w:rPr>
              <w:t>）：</w:t>
            </w:r>
          </w:p>
          <w:p w14:paraId="19C126D9">
            <w:pPr>
              <w:adjustRightInd w:val="0"/>
              <w:snapToGrid w:val="0"/>
              <w:jc w:val="left"/>
              <w:rPr>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p>
          <w:p w14:paraId="7829B7E0">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r>
              <w:rPr>
                <w:rFonts w:hint="eastAsia"/>
                <w:color w:val="auto"/>
                <w:sz w:val="24"/>
                <w:highlight w:val="none"/>
              </w:rPr>
              <w:t>，否则</w:t>
            </w:r>
            <w:r>
              <w:rPr>
                <w:rFonts w:hint="eastAsia"/>
                <w:b/>
                <w:bCs/>
                <w:color w:val="auto"/>
                <w:sz w:val="24"/>
                <w:highlight w:val="none"/>
              </w:rPr>
              <w:t>投标无效</w:t>
            </w:r>
            <w:r>
              <w:rPr>
                <w:color w:val="auto"/>
                <w:sz w:val="24"/>
                <w:highlight w:val="none"/>
              </w:rPr>
              <w:t>；对合同条款中的所有要求，除本表列明的偏离外，均视作供应商已对之理解和响应。）</w:t>
            </w:r>
          </w:p>
        </w:tc>
      </w:tr>
      <w:tr w14:paraId="1A54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AE19F97">
            <w:pPr>
              <w:adjustRightInd w:val="0"/>
              <w:snapToGrid w:val="0"/>
              <w:jc w:val="center"/>
              <w:rPr>
                <w:color w:val="auto"/>
                <w:sz w:val="24"/>
                <w:highlight w:val="none"/>
              </w:rPr>
            </w:pPr>
          </w:p>
        </w:tc>
        <w:tc>
          <w:tcPr>
            <w:tcW w:w="1772" w:type="dxa"/>
            <w:vAlign w:val="center"/>
          </w:tcPr>
          <w:p w14:paraId="4D652B6C">
            <w:pPr>
              <w:adjustRightInd w:val="0"/>
              <w:snapToGrid w:val="0"/>
              <w:jc w:val="center"/>
              <w:rPr>
                <w:color w:val="auto"/>
                <w:sz w:val="24"/>
                <w:highlight w:val="none"/>
              </w:rPr>
            </w:pPr>
          </w:p>
        </w:tc>
        <w:tc>
          <w:tcPr>
            <w:tcW w:w="1676" w:type="dxa"/>
            <w:vAlign w:val="center"/>
          </w:tcPr>
          <w:p w14:paraId="20426B5A">
            <w:pPr>
              <w:adjustRightInd w:val="0"/>
              <w:snapToGrid w:val="0"/>
              <w:jc w:val="center"/>
              <w:rPr>
                <w:color w:val="auto"/>
                <w:sz w:val="24"/>
                <w:highlight w:val="none"/>
              </w:rPr>
            </w:pPr>
          </w:p>
        </w:tc>
        <w:tc>
          <w:tcPr>
            <w:tcW w:w="1676" w:type="dxa"/>
            <w:vAlign w:val="center"/>
          </w:tcPr>
          <w:p w14:paraId="01E43E60">
            <w:pPr>
              <w:adjustRightInd w:val="0"/>
              <w:snapToGrid w:val="0"/>
              <w:jc w:val="center"/>
              <w:rPr>
                <w:color w:val="auto"/>
                <w:sz w:val="24"/>
                <w:highlight w:val="none"/>
              </w:rPr>
            </w:pPr>
          </w:p>
        </w:tc>
        <w:tc>
          <w:tcPr>
            <w:tcW w:w="1877" w:type="dxa"/>
            <w:vAlign w:val="center"/>
          </w:tcPr>
          <w:p w14:paraId="7FBE4533">
            <w:pPr>
              <w:adjustRightInd w:val="0"/>
              <w:snapToGrid w:val="0"/>
              <w:jc w:val="center"/>
              <w:rPr>
                <w:color w:val="auto"/>
                <w:sz w:val="24"/>
                <w:highlight w:val="none"/>
              </w:rPr>
            </w:pPr>
          </w:p>
        </w:tc>
        <w:tc>
          <w:tcPr>
            <w:tcW w:w="1133" w:type="dxa"/>
            <w:vAlign w:val="center"/>
          </w:tcPr>
          <w:p w14:paraId="3DEC76E7">
            <w:pPr>
              <w:adjustRightInd w:val="0"/>
              <w:snapToGrid w:val="0"/>
              <w:jc w:val="center"/>
              <w:rPr>
                <w:color w:val="auto"/>
                <w:sz w:val="24"/>
                <w:highlight w:val="none"/>
              </w:rPr>
            </w:pPr>
          </w:p>
        </w:tc>
      </w:tr>
      <w:tr w14:paraId="15F9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6EC10F1">
            <w:pPr>
              <w:adjustRightInd w:val="0"/>
              <w:snapToGrid w:val="0"/>
              <w:jc w:val="center"/>
              <w:rPr>
                <w:color w:val="auto"/>
                <w:sz w:val="24"/>
                <w:highlight w:val="none"/>
              </w:rPr>
            </w:pPr>
          </w:p>
        </w:tc>
        <w:tc>
          <w:tcPr>
            <w:tcW w:w="1772" w:type="dxa"/>
            <w:vAlign w:val="center"/>
          </w:tcPr>
          <w:p w14:paraId="14C05D01">
            <w:pPr>
              <w:adjustRightInd w:val="0"/>
              <w:snapToGrid w:val="0"/>
              <w:jc w:val="center"/>
              <w:rPr>
                <w:color w:val="auto"/>
                <w:sz w:val="24"/>
                <w:highlight w:val="none"/>
              </w:rPr>
            </w:pPr>
          </w:p>
        </w:tc>
        <w:tc>
          <w:tcPr>
            <w:tcW w:w="1676" w:type="dxa"/>
            <w:vAlign w:val="center"/>
          </w:tcPr>
          <w:p w14:paraId="2352B27B">
            <w:pPr>
              <w:adjustRightInd w:val="0"/>
              <w:snapToGrid w:val="0"/>
              <w:jc w:val="center"/>
              <w:rPr>
                <w:color w:val="auto"/>
                <w:sz w:val="24"/>
                <w:highlight w:val="none"/>
              </w:rPr>
            </w:pPr>
          </w:p>
        </w:tc>
        <w:tc>
          <w:tcPr>
            <w:tcW w:w="1676" w:type="dxa"/>
            <w:vAlign w:val="center"/>
          </w:tcPr>
          <w:p w14:paraId="6365AF51">
            <w:pPr>
              <w:adjustRightInd w:val="0"/>
              <w:snapToGrid w:val="0"/>
              <w:jc w:val="center"/>
              <w:rPr>
                <w:color w:val="auto"/>
                <w:sz w:val="24"/>
                <w:highlight w:val="none"/>
              </w:rPr>
            </w:pPr>
          </w:p>
        </w:tc>
        <w:tc>
          <w:tcPr>
            <w:tcW w:w="1877" w:type="dxa"/>
            <w:vAlign w:val="center"/>
          </w:tcPr>
          <w:p w14:paraId="65F9309F">
            <w:pPr>
              <w:adjustRightInd w:val="0"/>
              <w:snapToGrid w:val="0"/>
              <w:jc w:val="center"/>
              <w:rPr>
                <w:color w:val="auto"/>
                <w:sz w:val="24"/>
                <w:highlight w:val="none"/>
              </w:rPr>
            </w:pPr>
          </w:p>
        </w:tc>
        <w:tc>
          <w:tcPr>
            <w:tcW w:w="1133" w:type="dxa"/>
            <w:vAlign w:val="center"/>
          </w:tcPr>
          <w:p w14:paraId="340314C1">
            <w:pPr>
              <w:adjustRightInd w:val="0"/>
              <w:snapToGrid w:val="0"/>
              <w:jc w:val="center"/>
              <w:rPr>
                <w:color w:val="auto"/>
                <w:sz w:val="24"/>
                <w:highlight w:val="none"/>
              </w:rPr>
            </w:pPr>
          </w:p>
        </w:tc>
      </w:tr>
      <w:tr w14:paraId="4EB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1A8A516">
            <w:pPr>
              <w:adjustRightInd w:val="0"/>
              <w:snapToGrid w:val="0"/>
              <w:jc w:val="center"/>
              <w:rPr>
                <w:color w:val="auto"/>
                <w:sz w:val="24"/>
                <w:highlight w:val="none"/>
              </w:rPr>
            </w:pPr>
          </w:p>
        </w:tc>
        <w:tc>
          <w:tcPr>
            <w:tcW w:w="1772" w:type="dxa"/>
            <w:vAlign w:val="center"/>
          </w:tcPr>
          <w:p w14:paraId="0E534862">
            <w:pPr>
              <w:adjustRightInd w:val="0"/>
              <w:snapToGrid w:val="0"/>
              <w:jc w:val="center"/>
              <w:rPr>
                <w:color w:val="auto"/>
                <w:sz w:val="24"/>
                <w:highlight w:val="none"/>
              </w:rPr>
            </w:pPr>
          </w:p>
        </w:tc>
        <w:tc>
          <w:tcPr>
            <w:tcW w:w="1676" w:type="dxa"/>
            <w:vAlign w:val="center"/>
          </w:tcPr>
          <w:p w14:paraId="6376D2C4">
            <w:pPr>
              <w:adjustRightInd w:val="0"/>
              <w:snapToGrid w:val="0"/>
              <w:jc w:val="center"/>
              <w:rPr>
                <w:color w:val="auto"/>
                <w:sz w:val="24"/>
                <w:highlight w:val="none"/>
              </w:rPr>
            </w:pPr>
          </w:p>
        </w:tc>
        <w:tc>
          <w:tcPr>
            <w:tcW w:w="1676" w:type="dxa"/>
            <w:vAlign w:val="center"/>
          </w:tcPr>
          <w:p w14:paraId="6AEF0C3A">
            <w:pPr>
              <w:adjustRightInd w:val="0"/>
              <w:snapToGrid w:val="0"/>
              <w:jc w:val="center"/>
              <w:rPr>
                <w:color w:val="auto"/>
                <w:sz w:val="24"/>
                <w:highlight w:val="none"/>
              </w:rPr>
            </w:pPr>
          </w:p>
        </w:tc>
        <w:tc>
          <w:tcPr>
            <w:tcW w:w="1877" w:type="dxa"/>
            <w:vAlign w:val="center"/>
          </w:tcPr>
          <w:p w14:paraId="28FEBED1">
            <w:pPr>
              <w:adjustRightInd w:val="0"/>
              <w:snapToGrid w:val="0"/>
              <w:jc w:val="center"/>
              <w:rPr>
                <w:color w:val="auto"/>
                <w:sz w:val="24"/>
                <w:highlight w:val="none"/>
              </w:rPr>
            </w:pPr>
          </w:p>
        </w:tc>
        <w:tc>
          <w:tcPr>
            <w:tcW w:w="1133" w:type="dxa"/>
            <w:vAlign w:val="center"/>
          </w:tcPr>
          <w:p w14:paraId="6C9EFA8E">
            <w:pPr>
              <w:adjustRightInd w:val="0"/>
              <w:snapToGrid w:val="0"/>
              <w:jc w:val="center"/>
              <w:rPr>
                <w:color w:val="auto"/>
                <w:sz w:val="24"/>
                <w:highlight w:val="none"/>
              </w:rPr>
            </w:pPr>
          </w:p>
        </w:tc>
      </w:tr>
      <w:tr w14:paraId="2C8E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0078CE70">
            <w:pPr>
              <w:adjustRightInd w:val="0"/>
              <w:snapToGrid w:val="0"/>
              <w:jc w:val="center"/>
              <w:rPr>
                <w:color w:val="auto"/>
                <w:sz w:val="24"/>
                <w:highlight w:val="none"/>
              </w:rPr>
            </w:pPr>
          </w:p>
        </w:tc>
        <w:tc>
          <w:tcPr>
            <w:tcW w:w="1772" w:type="dxa"/>
            <w:vAlign w:val="center"/>
          </w:tcPr>
          <w:p w14:paraId="6328D9EB">
            <w:pPr>
              <w:adjustRightInd w:val="0"/>
              <w:snapToGrid w:val="0"/>
              <w:jc w:val="center"/>
              <w:rPr>
                <w:color w:val="auto"/>
                <w:sz w:val="24"/>
                <w:highlight w:val="none"/>
              </w:rPr>
            </w:pPr>
          </w:p>
        </w:tc>
        <w:tc>
          <w:tcPr>
            <w:tcW w:w="1676" w:type="dxa"/>
            <w:vAlign w:val="center"/>
          </w:tcPr>
          <w:p w14:paraId="59B854B3">
            <w:pPr>
              <w:adjustRightInd w:val="0"/>
              <w:snapToGrid w:val="0"/>
              <w:jc w:val="center"/>
              <w:rPr>
                <w:color w:val="auto"/>
                <w:sz w:val="24"/>
                <w:highlight w:val="none"/>
              </w:rPr>
            </w:pPr>
          </w:p>
        </w:tc>
        <w:tc>
          <w:tcPr>
            <w:tcW w:w="1676" w:type="dxa"/>
            <w:vAlign w:val="center"/>
          </w:tcPr>
          <w:p w14:paraId="69FFCC03">
            <w:pPr>
              <w:adjustRightInd w:val="0"/>
              <w:snapToGrid w:val="0"/>
              <w:jc w:val="center"/>
              <w:rPr>
                <w:color w:val="auto"/>
                <w:sz w:val="24"/>
                <w:highlight w:val="none"/>
              </w:rPr>
            </w:pPr>
          </w:p>
        </w:tc>
        <w:tc>
          <w:tcPr>
            <w:tcW w:w="1877" w:type="dxa"/>
            <w:vAlign w:val="center"/>
          </w:tcPr>
          <w:p w14:paraId="597C6A70">
            <w:pPr>
              <w:adjustRightInd w:val="0"/>
              <w:snapToGrid w:val="0"/>
              <w:jc w:val="center"/>
              <w:rPr>
                <w:color w:val="auto"/>
                <w:sz w:val="24"/>
                <w:highlight w:val="none"/>
              </w:rPr>
            </w:pPr>
          </w:p>
        </w:tc>
        <w:tc>
          <w:tcPr>
            <w:tcW w:w="1133" w:type="dxa"/>
            <w:vAlign w:val="center"/>
          </w:tcPr>
          <w:p w14:paraId="64180BE0">
            <w:pPr>
              <w:adjustRightInd w:val="0"/>
              <w:snapToGrid w:val="0"/>
              <w:jc w:val="center"/>
              <w:rPr>
                <w:color w:val="auto"/>
                <w:sz w:val="24"/>
                <w:highlight w:val="none"/>
              </w:rPr>
            </w:pPr>
          </w:p>
        </w:tc>
      </w:tr>
      <w:bookmarkEnd w:id="870"/>
    </w:tbl>
    <w:p w14:paraId="24E1739E">
      <w:pPr>
        <w:tabs>
          <w:tab w:val="left" w:pos="1800"/>
          <w:tab w:val="left" w:pos="5580"/>
        </w:tabs>
        <w:jc w:val="left"/>
        <w:rPr>
          <w:color w:val="auto"/>
          <w:sz w:val="24"/>
          <w:highlight w:val="none"/>
        </w:rPr>
      </w:pPr>
    </w:p>
    <w:p w14:paraId="16D5C539">
      <w:pPr>
        <w:tabs>
          <w:tab w:val="left" w:pos="1800"/>
          <w:tab w:val="left" w:pos="5580"/>
        </w:tabs>
        <w:jc w:val="left"/>
        <w:rPr>
          <w:color w:val="auto"/>
          <w:sz w:val="24"/>
          <w:highlight w:val="none"/>
        </w:rPr>
      </w:pPr>
      <w:r>
        <w:rPr>
          <w:color w:val="auto"/>
          <w:sz w:val="24"/>
          <w:highlight w:val="none"/>
        </w:rPr>
        <w:t>注：“偏离情况”列应据实填写“正偏离”或“负偏离”。</w:t>
      </w:r>
    </w:p>
    <w:p w14:paraId="3043D877">
      <w:pPr>
        <w:spacing w:line="360" w:lineRule="auto"/>
        <w:rPr>
          <w:color w:val="auto"/>
          <w:sz w:val="24"/>
          <w:szCs w:val="20"/>
          <w:highlight w:val="none"/>
        </w:rPr>
      </w:pPr>
    </w:p>
    <w:p w14:paraId="322962A4">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8379236">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742C16A3">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53EB962">
      <w:pPr>
        <w:numPr>
          <w:ilvl w:val="0"/>
          <w:numId w:val="17"/>
        </w:numPr>
        <w:tabs>
          <w:tab w:val="left" w:pos="360"/>
        </w:tabs>
        <w:snapToGrid w:val="0"/>
        <w:spacing w:line="360" w:lineRule="auto"/>
        <w:outlineLvl w:val="1"/>
        <w:rPr>
          <w:color w:val="auto"/>
          <w:sz w:val="24"/>
          <w:szCs w:val="20"/>
          <w:highlight w:val="none"/>
        </w:rPr>
      </w:pPr>
      <w:r>
        <w:rPr>
          <w:color w:val="auto"/>
          <w:sz w:val="24"/>
          <w:szCs w:val="20"/>
          <w:highlight w:val="none"/>
        </w:rPr>
        <w:br w:type="page"/>
      </w:r>
      <w:bookmarkEnd w:id="857"/>
      <w:bookmarkEnd w:id="858"/>
      <w:bookmarkEnd w:id="859"/>
      <w:bookmarkEnd w:id="860"/>
      <w:bookmarkEnd w:id="861"/>
      <w:bookmarkEnd w:id="862"/>
      <w:bookmarkEnd w:id="863"/>
      <w:bookmarkEnd w:id="864"/>
      <w:bookmarkEnd w:id="865"/>
      <w:bookmarkEnd w:id="866"/>
      <w:bookmarkEnd w:id="867"/>
      <w:bookmarkEnd w:id="868"/>
      <w:bookmarkEnd w:id="869"/>
      <w:r>
        <w:rPr>
          <w:color w:val="auto"/>
          <w:sz w:val="24"/>
          <w:szCs w:val="20"/>
          <w:highlight w:val="none"/>
        </w:rPr>
        <w:t>采购需求偏离表（实质性格式）</w:t>
      </w:r>
    </w:p>
    <w:p w14:paraId="4F0D7790">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1B910A3A">
      <w:pPr>
        <w:tabs>
          <w:tab w:val="left" w:pos="1800"/>
          <w:tab w:val="left" w:pos="5580"/>
        </w:tabs>
        <w:spacing w:line="360" w:lineRule="auto"/>
        <w:jc w:val="left"/>
        <w:rPr>
          <w:color w:val="auto"/>
          <w:sz w:val="24"/>
          <w:highlight w:val="none"/>
          <w:u w:val="single"/>
        </w:rPr>
      </w:pPr>
      <w:r>
        <w:rPr>
          <w:color w:val="auto"/>
          <w:sz w:val="24"/>
          <w:highlight w:val="none"/>
        </w:rPr>
        <w:t xml:space="preserve">项目编号：________ </w:t>
      </w:r>
      <w:r>
        <w:rPr>
          <w:rFonts w:hint="eastAsia"/>
          <w:color w:val="auto"/>
          <w:sz w:val="24"/>
          <w:szCs w:val="20"/>
          <w:highlight w:val="none"/>
          <w:lang w:eastAsia="zh-CN"/>
        </w:rPr>
        <w:t>项目代理编号</w:t>
      </w:r>
      <w:r>
        <w:rPr>
          <w:rFonts w:hint="eastAsia"/>
          <w:color w:val="auto"/>
          <w:sz w:val="24"/>
          <w:szCs w:val="20"/>
          <w:highlight w:val="none"/>
          <w:lang w:val="en-US" w:eastAsia="zh-CN"/>
        </w:rPr>
        <w:t>：</w:t>
      </w:r>
      <w:r>
        <w:rPr>
          <w:color w:val="auto"/>
          <w:sz w:val="24"/>
          <w:highlight w:val="none"/>
        </w:rPr>
        <w:t>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93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E41AB86">
            <w:pPr>
              <w:adjustRightInd w:val="0"/>
              <w:snapToGrid w:val="0"/>
              <w:jc w:val="center"/>
              <w:rPr>
                <w:color w:val="auto"/>
                <w:sz w:val="24"/>
                <w:highlight w:val="none"/>
              </w:rPr>
            </w:pPr>
            <w:r>
              <w:rPr>
                <w:color w:val="auto"/>
                <w:sz w:val="24"/>
                <w:highlight w:val="none"/>
              </w:rPr>
              <w:t>序号</w:t>
            </w:r>
          </w:p>
        </w:tc>
        <w:tc>
          <w:tcPr>
            <w:tcW w:w="1482" w:type="dxa"/>
            <w:vAlign w:val="center"/>
          </w:tcPr>
          <w:p w14:paraId="403AB7B5">
            <w:pPr>
              <w:adjustRightInd w:val="0"/>
              <w:snapToGrid w:val="0"/>
              <w:jc w:val="center"/>
              <w:rPr>
                <w:color w:val="auto"/>
                <w:sz w:val="24"/>
                <w:highlight w:val="none"/>
              </w:rPr>
            </w:pPr>
            <w:r>
              <w:rPr>
                <w:color w:val="auto"/>
                <w:sz w:val="24"/>
                <w:highlight w:val="none"/>
              </w:rPr>
              <w:t>招标文件条目号(页码)</w:t>
            </w:r>
          </w:p>
        </w:tc>
        <w:tc>
          <w:tcPr>
            <w:tcW w:w="2384" w:type="dxa"/>
            <w:vAlign w:val="center"/>
          </w:tcPr>
          <w:p w14:paraId="75FC7E09">
            <w:pPr>
              <w:adjustRightInd w:val="0"/>
              <w:snapToGrid w:val="0"/>
              <w:jc w:val="center"/>
              <w:rPr>
                <w:color w:val="auto"/>
                <w:sz w:val="24"/>
                <w:highlight w:val="none"/>
              </w:rPr>
            </w:pPr>
            <w:r>
              <w:rPr>
                <w:color w:val="auto"/>
                <w:sz w:val="24"/>
                <w:highlight w:val="none"/>
              </w:rPr>
              <w:t>招标文件要求</w:t>
            </w:r>
          </w:p>
        </w:tc>
        <w:tc>
          <w:tcPr>
            <w:tcW w:w="2126" w:type="dxa"/>
            <w:vAlign w:val="center"/>
          </w:tcPr>
          <w:p w14:paraId="336CE523">
            <w:pPr>
              <w:adjustRightInd w:val="0"/>
              <w:snapToGrid w:val="0"/>
              <w:jc w:val="center"/>
              <w:rPr>
                <w:color w:val="auto"/>
                <w:sz w:val="24"/>
                <w:highlight w:val="none"/>
              </w:rPr>
            </w:pPr>
            <w:r>
              <w:rPr>
                <w:color w:val="auto"/>
                <w:sz w:val="24"/>
                <w:highlight w:val="none"/>
              </w:rPr>
              <w:t>投标响应内容</w:t>
            </w:r>
          </w:p>
        </w:tc>
        <w:tc>
          <w:tcPr>
            <w:tcW w:w="1875" w:type="dxa"/>
            <w:vAlign w:val="center"/>
          </w:tcPr>
          <w:p w14:paraId="18173644">
            <w:pPr>
              <w:adjustRightInd w:val="0"/>
              <w:snapToGrid w:val="0"/>
              <w:jc w:val="center"/>
              <w:rPr>
                <w:color w:val="auto"/>
                <w:sz w:val="24"/>
                <w:highlight w:val="none"/>
              </w:rPr>
            </w:pPr>
            <w:r>
              <w:rPr>
                <w:color w:val="auto"/>
                <w:sz w:val="24"/>
                <w:highlight w:val="none"/>
              </w:rPr>
              <w:t>偏离情况</w:t>
            </w:r>
          </w:p>
        </w:tc>
        <w:tc>
          <w:tcPr>
            <w:tcW w:w="1009" w:type="dxa"/>
            <w:vAlign w:val="center"/>
          </w:tcPr>
          <w:p w14:paraId="4A8C37C7">
            <w:pPr>
              <w:adjustRightInd w:val="0"/>
              <w:snapToGrid w:val="0"/>
              <w:jc w:val="center"/>
              <w:rPr>
                <w:color w:val="auto"/>
                <w:sz w:val="24"/>
                <w:highlight w:val="none"/>
              </w:rPr>
            </w:pPr>
            <w:r>
              <w:rPr>
                <w:color w:val="auto"/>
                <w:sz w:val="24"/>
                <w:highlight w:val="none"/>
              </w:rPr>
              <w:t>说明</w:t>
            </w:r>
          </w:p>
        </w:tc>
      </w:tr>
      <w:tr w14:paraId="5CDB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CED8D0">
            <w:pPr>
              <w:adjustRightInd w:val="0"/>
              <w:snapToGrid w:val="0"/>
              <w:jc w:val="center"/>
              <w:rPr>
                <w:color w:val="auto"/>
                <w:sz w:val="24"/>
                <w:highlight w:val="none"/>
              </w:rPr>
            </w:pPr>
          </w:p>
        </w:tc>
        <w:tc>
          <w:tcPr>
            <w:tcW w:w="1482" w:type="dxa"/>
            <w:vAlign w:val="center"/>
          </w:tcPr>
          <w:p w14:paraId="1D4295DA">
            <w:pPr>
              <w:adjustRightInd w:val="0"/>
              <w:snapToGrid w:val="0"/>
              <w:jc w:val="center"/>
              <w:rPr>
                <w:color w:val="auto"/>
                <w:sz w:val="24"/>
                <w:highlight w:val="none"/>
              </w:rPr>
            </w:pPr>
          </w:p>
        </w:tc>
        <w:tc>
          <w:tcPr>
            <w:tcW w:w="2384" w:type="dxa"/>
            <w:vAlign w:val="center"/>
          </w:tcPr>
          <w:p w14:paraId="45474665">
            <w:pPr>
              <w:adjustRightInd w:val="0"/>
              <w:snapToGrid w:val="0"/>
              <w:jc w:val="center"/>
              <w:rPr>
                <w:color w:val="auto"/>
                <w:sz w:val="24"/>
                <w:highlight w:val="none"/>
              </w:rPr>
            </w:pPr>
          </w:p>
        </w:tc>
        <w:tc>
          <w:tcPr>
            <w:tcW w:w="2126" w:type="dxa"/>
            <w:vAlign w:val="center"/>
          </w:tcPr>
          <w:p w14:paraId="6750805A">
            <w:pPr>
              <w:adjustRightInd w:val="0"/>
              <w:snapToGrid w:val="0"/>
              <w:jc w:val="center"/>
              <w:rPr>
                <w:color w:val="auto"/>
                <w:sz w:val="24"/>
                <w:highlight w:val="none"/>
              </w:rPr>
            </w:pPr>
          </w:p>
        </w:tc>
        <w:tc>
          <w:tcPr>
            <w:tcW w:w="1875" w:type="dxa"/>
            <w:vAlign w:val="center"/>
          </w:tcPr>
          <w:p w14:paraId="61308859">
            <w:pPr>
              <w:adjustRightInd w:val="0"/>
              <w:snapToGrid w:val="0"/>
              <w:jc w:val="center"/>
              <w:rPr>
                <w:color w:val="auto"/>
                <w:sz w:val="24"/>
                <w:highlight w:val="none"/>
              </w:rPr>
            </w:pPr>
          </w:p>
        </w:tc>
        <w:tc>
          <w:tcPr>
            <w:tcW w:w="1009" w:type="dxa"/>
            <w:vAlign w:val="center"/>
          </w:tcPr>
          <w:p w14:paraId="3720B098">
            <w:pPr>
              <w:adjustRightInd w:val="0"/>
              <w:snapToGrid w:val="0"/>
              <w:jc w:val="center"/>
              <w:rPr>
                <w:color w:val="auto"/>
                <w:sz w:val="24"/>
                <w:highlight w:val="none"/>
              </w:rPr>
            </w:pPr>
          </w:p>
        </w:tc>
      </w:tr>
      <w:tr w14:paraId="28E6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39E1E7">
            <w:pPr>
              <w:adjustRightInd w:val="0"/>
              <w:snapToGrid w:val="0"/>
              <w:jc w:val="center"/>
              <w:rPr>
                <w:color w:val="auto"/>
                <w:sz w:val="24"/>
                <w:highlight w:val="none"/>
              </w:rPr>
            </w:pPr>
          </w:p>
        </w:tc>
        <w:tc>
          <w:tcPr>
            <w:tcW w:w="1482" w:type="dxa"/>
            <w:vAlign w:val="center"/>
          </w:tcPr>
          <w:p w14:paraId="41F9A530">
            <w:pPr>
              <w:adjustRightInd w:val="0"/>
              <w:snapToGrid w:val="0"/>
              <w:jc w:val="center"/>
              <w:rPr>
                <w:color w:val="auto"/>
                <w:sz w:val="24"/>
                <w:highlight w:val="none"/>
              </w:rPr>
            </w:pPr>
          </w:p>
        </w:tc>
        <w:tc>
          <w:tcPr>
            <w:tcW w:w="2384" w:type="dxa"/>
            <w:vAlign w:val="center"/>
          </w:tcPr>
          <w:p w14:paraId="5DA0ADF6">
            <w:pPr>
              <w:adjustRightInd w:val="0"/>
              <w:snapToGrid w:val="0"/>
              <w:jc w:val="center"/>
              <w:rPr>
                <w:color w:val="auto"/>
                <w:sz w:val="24"/>
                <w:highlight w:val="none"/>
              </w:rPr>
            </w:pPr>
          </w:p>
        </w:tc>
        <w:tc>
          <w:tcPr>
            <w:tcW w:w="2126" w:type="dxa"/>
            <w:vAlign w:val="center"/>
          </w:tcPr>
          <w:p w14:paraId="58B298BA">
            <w:pPr>
              <w:adjustRightInd w:val="0"/>
              <w:snapToGrid w:val="0"/>
              <w:jc w:val="center"/>
              <w:rPr>
                <w:color w:val="auto"/>
                <w:sz w:val="24"/>
                <w:highlight w:val="none"/>
              </w:rPr>
            </w:pPr>
          </w:p>
        </w:tc>
        <w:tc>
          <w:tcPr>
            <w:tcW w:w="1875" w:type="dxa"/>
            <w:vAlign w:val="center"/>
          </w:tcPr>
          <w:p w14:paraId="2A33EAF7">
            <w:pPr>
              <w:adjustRightInd w:val="0"/>
              <w:snapToGrid w:val="0"/>
              <w:jc w:val="center"/>
              <w:rPr>
                <w:color w:val="auto"/>
                <w:sz w:val="24"/>
                <w:highlight w:val="none"/>
              </w:rPr>
            </w:pPr>
          </w:p>
        </w:tc>
        <w:tc>
          <w:tcPr>
            <w:tcW w:w="1009" w:type="dxa"/>
            <w:vAlign w:val="center"/>
          </w:tcPr>
          <w:p w14:paraId="2B77FA2A">
            <w:pPr>
              <w:adjustRightInd w:val="0"/>
              <w:snapToGrid w:val="0"/>
              <w:jc w:val="center"/>
              <w:rPr>
                <w:color w:val="auto"/>
                <w:sz w:val="24"/>
                <w:highlight w:val="none"/>
              </w:rPr>
            </w:pPr>
          </w:p>
        </w:tc>
      </w:tr>
      <w:tr w14:paraId="7662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3B96A5">
            <w:pPr>
              <w:adjustRightInd w:val="0"/>
              <w:snapToGrid w:val="0"/>
              <w:jc w:val="center"/>
              <w:rPr>
                <w:color w:val="auto"/>
                <w:sz w:val="24"/>
                <w:highlight w:val="none"/>
              </w:rPr>
            </w:pPr>
          </w:p>
        </w:tc>
        <w:tc>
          <w:tcPr>
            <w:tcW w:w="1482" w:type="dxa"/>
            <w:vAlign w:val="center"/>
          </w:tcPr>
          <w:p w14:paraId="2971B69A">
            <w:pPr>
              <w:adjustRightInd w:val="0"/>
              <w:snapToGrid w:val="0"/>
              <w:jc w:val="center"/>
              <w:rPr>
                <w:color w:val="auto"/>
                <w:sz w:val="24"/>
                <w:highlight w:val="none"/>
              </w:rPr>
            </w:pPr>
          </w:p>
        </w:tc>
        <w:tc>
          <w:tcPr>
            <w:tcW w:w="2384" w:type="dxa"/>
            <w:vAlign w:val="center"/>
          </w:tcPr>
          <w:p w14:paraId="11D7AF59">
            <w:pPr>
              <w:adjustRightInd w:val="0"/>
              <w:snapToGrid w:val="0"/>
              <w:jc w:val="center"/>
              <w:rPr>
                <w:color w:val="auto"/>
                <w:sz w:val="24"/>
                <w:highlight w:val="none"/>
              </w:rPr>
            </w:pPr>
          </w:p>
        </w:tc>
        <w:tc>
          <w:tcPr>
            <w:tcW w:w="2126" w:type="dxa"/>
            <w:vAlign w:val="center"/>
          </w:tcPr>
          <w:p w14:paraId="71506FB0">
            <w:pPr>
              <w:adjustRightInd w:val="0"/>
              <w:snapToGrid w:val="0"/>
              <w:jc w:val="center"/>
              <w:rPr>
                <w:color w:val="auto"/>
                <w:sz w:val="24"/>
                <w:highlight w:val="none"/>
              </w:rPr>
            </w:pPr>
          </w:p>
        </w:tc>
        <w:tc>
          <w:tcPr>
            <w:tcW w:w="1875" w:type="dxa"/>
            <w:vAlign w:val="center"/>
          </w:tcPr>
          <w:p w14:paraId="69F3C3EA">
            <w:pPr>
              <w:adjustRightInd w:val="0"/>
              <w:snapToGrid w:val="0"/>
              <w:jc w:val="center"/>
              <w:rPr>
                <w:color w:val="auto"/>
                <w:sz w:val="24"/>
                <w:highlight w:val="none"/>
              </w:rPr>
            </w:pPr>
          </w:p>
        </w:tc>
        <w:tc>
          <w:tcPr>
            <w:tcW w:w="1009" w:type="dxa"/>
            <w:vAlign w:val="center"/>
          </w:tcPr>
          <w:p w14:paraId="0ED19546">
            <w:pPr>
              <w:adjustRightInd w:val="0"/>
              <w:snapToGrid w:val="0"/>
              <w:jc w:val="center"/>
              <w:rPr>
                <w:color w:val="auto"/>
                <w:sz w:val="24"/>
                <w:highlight w:val="none"/>
              </w:rPr>
            </w:pPr>
          </w:p>
        </w:tc>
      </w:tr>
      <w:tr w14:paraId="54B6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E6725D">
            <w:pPr>
              <w:adjustRightInd w:val="0"/>
              <w:snapToGrid w:val="0"/>
              <w:jc w:val="center"/>
              <w:rPr>
                <w:color w:val="auto"/>
                <w:sz w:val="24"/>
                <w:highlight w:val="none"/>
              </w:rPr>
            </w:pPr>
          </w:p>
        </w:tc>
        <w:tc>
          <w:tcPr>
            <w:tcW w:w="1482" w:type="dxa"/>
            <w:vAlign w:val="center"/>
          </w:tcPr>
          <w:p w14:paraId="561D0FE3">
            <w:pPr>
              <w:adjustRightInd w:val="0"/>
              <w:snapToGrid w:val="0"/>
              <w:jc w:val="center"/>
              <w:rPr>
                <w:color w:val="auto"/>
                <w:sz w:val="24"/>
                <w:highlight w:val="none"/>
              </w:rPr>
            </w:pPr>
          </w:p>
        </w:tc>
        <w:tc>
          <w:tcPr>
            <w:tcW w:w="2384" w:type="dxa"/>
            <w:vAlign w:val="center"/>
          </w:tcPr>
          <w:p w14:paraId="0AD2665E">
            <w:pPr>
              <w:adjustRightInd w:val="0"/>
              <w:snapToGrid w:val="0"/>
              <w:jc w:val="center"/>
              <w:rPr>
                <w:color w:val="auto"/>
                <w:sz w:val="24"/>
                <w:highlight w:val="none"/>
              </w:rPr>
            </w:pPr>
          </w:p>
        </w:tc>
        <w:tc>
          <w:tcPr>
            <w:tcW w:w="2126" w:type="dxa"/>
            <w:vAlign w:val="center"/>
          </w:tcPr>
          <w:p w14:paraId="1A658711">
            <w:pPr>
              <w:adjustRightInd w:val="0"/>
              <w:snapToGrid w:val="0"/>
              <w:jc w:val="center"/>
              <w:rPr>
                <w:color w:val="auto"/>
                <w:sz w:val="24"/>
                <w:highlight w:val="none"/>
              </w:rPr>
            </w:pPr>
          </w:p>
        </w:tc>
        <w:tc>
          <w:tcPr>
            <w:tcW w:w="1875" w:type="dxa"/>
            <w:vAlign w:val="center"/>
          </w:tcPr>
          <w:p w14:paraId="34C659C0">
            <w:pPr>
              <w:adjustRightInd w:val="0"/>
              <w:snapToGrid w:val="0"/>
              <w:jc w:val="center"/>
              <w:rPr>
                <w:color w:val="auto"/>
                <w:sz w:val="24"/>
                <w:highlight w:val="none"/>
              </w:rPr>
            </w:pPr>
          </w:p>
        </w:tc>
        <w:tc>
          <w:tcPr>
            <w:tcW w:w="1009" w:type="dxa"/>
            <w:vAlign w:val="center"/>
          </w:tcPr>
          <w:p w14:paraId="159BF08E">
            <w:pPr>
              <w:adjustRightInd w:val="0"/>
              <w:snapToGrid w:val="0"/>
              <w:jc w:val="center"/>
              <w:rPr>
                <w:color w:val="auto"/>
                <w:sz w:val="24"/>
                <w:highlight w:val="none"/>
              </w:rPr>
            </w:pPr>
          </w:p>
        </w:tc>
      </w:tr>
      <w:tr w14:paraId="0627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85F0F8">
            <w:pPr>
              <w:adjustRightInd w:val="0"/>
              <w:snapToGrid w:val="0"/>
              <w:jc w:val="center"/>
              <w:rPr>
                <w:color w:val="auto"/>
                <w:sz w:val="24"/>
                <w:highlight w:val="none"/>
              </w:rPr>
            </w:pPr>
          </w:p>
        </w:tc>
        <w:tc>
          <w:tcPr>
            <w:tcW w:w="1482" w:type="dxa"/>
            <w:vAlign w:val="center"/>
          </w:tcPr>
          <w:p w14:paraId="784794EA">
            <w:pPr>
              <w:adjustRightInd w:val="0"/>
              <w:snapToGrid w:val="0"/>
              <w:jc w:val="center"/>
              <w:rPr>
                <w:color w:val="auto"/>
                <w:sz w:val="24"/>
                <w:highlight w:val="none"/>
              </w:rPr>
            </w:pPr>
          </w:p>
        </w:tc>
        <w:tc>
          <w:tcPr>
            <w:tcW w:w="2384" w:type="dxa"/>
            <w:vAlign w:val="center"/>
          </w:tcPr>
          <w:p w14:paraId="247FB69D">
            <w:pPr>
              <w:adjustRightInd w:val="0"/>
              <w:snapToGrid w:val="0"/>
              <w:jc w:val="center"/>
              <w:rPr>
                <w:color w:val="auto"/>
                <w:sz w:val="24"/>
                <w:highlight w:val="none"/>
              </w:rPr>
            </w:pPr>
          </w:p>
        </w:tc>
        <w:tc>
          <w:tcPr>
            <w:tcW w:w="2126" w:type="dxa"/>
            <w:vAlign w:val="center"/>
          </w:tcPr>
          <w:p w14:paraId="1251FB7C">
            <w:pPr>
              <w:adjustRightInd w:val="0"/>
              <w:snapToGrid w:val="0"/>
              <w:jc w:val="center"/>
              <w:rPr>
                <w:color w:val="auto"/>
                <w:sz w:val="24"/>
                <w:highlight w:val="none"/>
              </w:rPr>
            </w:pPr>
          </w:p>
        </w:tc>
        <w:tc>
          <w:tcPr>
            <w:tcW w:w="1875" w:type="dxa"/>
            <w:vAlign w:val="center"/>
          </w:tcPr>
          <w:p w14:paraId="465964C1">
            <w:pPr>
              <w:adjustRightInd w:val="0"/>
              <w:snapToGrid w:val="0"/>
              <w:jc w:val="center"/>
              <w:rPr>
                <w:color w:val="auto"/>
                <w:sz w:val="24"/>
                <w:highlight w:val="none"/>
              </w:rPr>
            </w:pPr>
          </w:p>
        </w:tc>
        <w:tc>
          <w:tcPr>
            <w:tcW w:w="1009" w:type="dxa"/>
            <w:vAlign w:val="center"/>
          </w:tcPr>
          <w:p w14:paraId="5137FA78">
            <w:pPr>
              <w:adjustRightInd w:val="0"/>
              <w:snapToGrid w:val="0"/>
              <w:jc w:val="center"/>
              <w:rPr>
                <w:color w:val="auto"/>
                <w:sz w:val="24"/>
                <w:highlight w:val="none"/>
              </w:rPr>
            </w:pPr>
          </w:p>
        </w:tc>
      </w:tr>
      <w:tr w14:paraId="4D10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4C94DB">
            <w:pPr>
              <w:adjustRightInd w:val="0"/>
              <w:snapToGrid w:val="0"/>
              <w:jc w:val="center"/>
              <w:rPr>
                <w:color w:val="auto"/>
                <w:sz w:val="24"/>
                <w:highlight w:val="none"/>
              </w:rPr>
            </w:pPr>
          </w:p>
        </w:tc>
        <w:tc>
          <w:tcPr>
            <w:tcW w:w="1482" w:type="dxa"/>
            <w:vAlign w:val="center"/>
          </w:tcPr>
          <w:p w14:paraId="368CFC07">
            <w:pPr>
              <w:adjustRightInd w:val="0"/>
              <w:snapToGrid w:val="0"/>
              <w:jc w:val="center"/>
              <w:rPr>
                <w:color w:val="auto"/>
                <w:sz w:val="24"/>
                <w:highlight w:val="none"/>
              </w:rPr>
            </w:pPr>
          </w:p>
        </w:tc>
        <w:tc>
          <w:tcPr>
            <w:tcW w:w="2384" w:type="dxa"/>
            <w:vAlign w:val="center"/>
          </w:tcPr>
          <w:p w14:paraId="47081147">
            <w:pPr>
              <w:adjustRightInd w:val="0"/>
              <w:snapToGrid w:val="0"/>
              <w:jc w:val="center"/>
              <w:rPr>
                <w:color w:val="auto"/>
                <w:sz w:val="24"/>
                <w:highlight w:val="none"/>
              </w:rPr>
            </w:pPr>
          </w:p>
        </w:tc>
        <w:tc>
          <w:tcPr>
            <w:tcW w:w="2126" w:type="dxa"/>
            <w:vAlign w:val="center"/>
          </w:tcPr>
          <w:p w14:paraId="05C29743">
            <w:pPr>
              <w:adjustRightInd w:val="0"/>
              <w:snapToGrid w:val="0"/>
              <w:jc w:val="center"/>
              <w:rPr>
                <w:color w:val="auto"/>
                <w:sz w:val="24"/>
                <w:highlight w:val="none"/>
              </w:rPr>
            </w:pPr>
          </w:p>
        </w:tc>
        <w:tc>
          <w:tcPr>
            <w:tcW w:w="1875" w:type="dxa"/>
            <w:vAlign w:val="center"/>
          </w:tcPr>
          <w:p w14:paraId="3BC330D1">
            <w:pPr>
              <w:adjustRightInd w:val="0"/>
              <w:snapToGrid w:val="0"/>
              <w:jc w:val="center"/>
              <w:rPr>
                <w:color w:val="auto"/>
                <w:sz w:val="24"/>
                <w:highlight w:val="none"/>
              </w:rPr>
            </w:pPr>
          </w:p>
        </w:tc>
        <w:tc>
          <w:tcPr>
            <w:tcW w:w="1009" w:type="dxa"/>
            <w:vAlign w:val="center"/>
          </w:tcPr>
          <w:p w14:paraId="6D019D5A">
            <w:pPr>
              <w:adjustRightInd w:val="0"/>
              <w:snapToGrid w:val="0"/>
              <w:jc w:val="center"/>
              <w:rPr>
                <w:color w:val="auto"/>
                <w:sz w:val="24"/>
                <w:highlight w:val="none"/>
              </w:rPr>
            </w:pPr>
          </w:p>
        </w:tc>
      </w:tr>
    </w:tbl>
    <w:p w14:paraId="4457515C">
      <w:pPr>
        <w:tabs>
          <w:tab w:val="left" w:pos="1800"/>
          <w:tab w:val="left" w:pos="5580"/>
        </w:tabs>
        <w:spacing w:line="360" w:lineRule="auto"/>
        <w:ind w:firstLine="360" w:firstLineChars="150"/>
        <w:jc w:val="left"/>
        <w:rPr>
          <w:color w:val="auto"/>
          <w:sz w:val="24"/>
          <w:highlight w:val="none"/>
          <w:u w:val="single"/>
        </w:rPr>
      </w:pPr>
    </w:p>
    <w:p w14:paraId="7D05E8F8">
      <w:pPr>
        <w:tabs>
          <w:tab w:val="left" w:pos="1800"/>
          <w:tab w:val="left" w:pos="5580"/>
        </w:tabs>
        <w:spacing w:line="360" w:lineRule="auto"/>
        <w:ind w:firstLine="360" w:firstLineChars="150"/>
        <w:jc w:val="left"/>
        <w:rPr>
          <w:color w:val="auto"/>
          <w:sz w:val="24"/>
          <w:highlight w:val="none"/>
          <w:u w:val="single"/>
        </w:rPr>
      </w:pPr>
    </w:p>
    <w:p w14:paraId="0F6C58B3">
      <w:pPr>
        <w:tabs>
          <w:tab w:val="left" w:pos="1800"/>
          <w:tab w:val="left" w:pos="5580"/>
        </w:tabs>
        <w:jc w:val="left"/>
        <w:rPr>
          <w:color w:val="auto"/>
          <w:sz w:val="24"/>
          <w:highlight w:val="none"/>
        </w:rPr>
      </w:pPr>
      <w:r>
        <w:rPr>
          <w:color w:val="auto"/>
          <w:sz w:val="24"/>
          <w:highlight w:val="none"/>
        </w:rPr>
        <w:t>注：</w:t>
      </w:r>
    </w:p>
    <w:p w14:paraId="56F94857">
      <w:pPr>
        <w:tabs>
          <w:tab w:val="left" w:pos="1800"/>
          <w:tab w:val="left" w:pos="5580"/>
        </w:tabs>
        <w:jc w:val="left"/>
        <w:rPr>
          <w:color w:val="auto"/>
          <w:sz w:val="24"/>
          <w:highlight w:val="none"/>
        </w:rPr>
      </w:pPr>
      <w:r>
        <w:rPr>
          <w:color w:val="auto"/>
          <w:sz w:val="24"/>
          <w:highlight w:val="none"/>
        </w:rPr>
        <w:t>1. 对招标文件中的所有商务、技术要求，除本表所列明的所有偏离外，均视作供应商已对之理解和响应。此表中若无任何文字说明，内容为空白的，</w:t>
      </w:r>
      <w:r>
        <w:rPr>
          <w:b/>
          <w:color w:val="auto"/>
          <w:sz w:val="24"/>
          <w:highlight w:val="none"/>
        </w:rPr>
        <w:t>投标无效。</w:t>
      </w:r>
    </w:p>
    <w:p w14:paraId="77D35842">
      <w:pPr>
        <w:tabs>
          <w:tab w:val="left" w:pos="1800"/>
          <w:tab w:val="left" w:pos="5580"/>
        </w:tabs>
        <w:jc w:val="left"/>
        <w:rPr>
          <w:color w:val="auto"/>
          <w:sz w:val="24"/>
          <w:highlight w:val="none"/>
        </w:rPr>
      </w:pPr>
      <w:r>
        <w:rPr>
          <w:color w:val="auto"/>
          <w:sz w:val="24"/>
          <w:highlight w:val="none"/>
        </w:rPr>
        <w:t>2.“偏离情况”列应据实填写“无偏离”、“正偏离”或“负偏离”。</w:t>
      </w:r>
    </w:p>
    <w:p w14:paraId="6C53BF0A">
      <w:pPr>
        <w:tabs>
          <w:tab w:val="left" w:pos="1800"/>
          <w:tab w:val="left" w:pos="5580"/>
        </w:tabs>
        <w:jc w:val="left"/>
        <w:rPr>
          <w:color w:val="auto"/>
          <w:sz w:val="24"/>
          <w:highlight w:val="none"/>
        </w:rPr>
      </w:pPr>
    </w:p>
    <w:p w14:paraId="0E607463">
      <w:pPr>
        <w:tabs>
          <w:tab w:val="left" w:pos="1800"/>
          <w:tab w:val="left" w:pos="5580"/>
        </w:tabs>
        <w:jc w:val="left"/>
        <w:rPr>
          <w:color w:val="auto"/>
          <w:sz w:val="24"/>
          <w:highlight w:val="none"/>
        </w:rPr>
      </w:pPr>
    </w:p>
    <w:p w14:paraId="3506FD91">
      <w:pPr>
        <w:rPr>
          <w:color w:val="auto"/>
          <w:sz w:val="24"/>
          <w:szCs w:val="20"/>
          <w:highlight w:val="none"/>
        </w:rPr>
      </w:pPr>
    </w:p>
    <w:p w14:paraId="26B636E8">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13B6865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35B640C4">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BEF41D4">
      <w:pPr>
        <w:numPr>
          <w:ilvl w:val="0"/>
          <w:numId w:val="17"/>
        </w:numPr>
        <w:tabs>
          <w:tab w:val="left" w:pos="360"/>
        </w:tabs>
        <w:snapToGrid w:val="0"/>
        <w:spacing w:line="360" w:lineRule="auto"/>
        <w:outlineLvl w:val="1"/>
        <w:rPr>
          <w:color w:val="auto"/>
          <w:sz w:val="24"/>
          <w:szCs w:val="20"/>
          <w:highlight w:val="none"/>
        </w:rPr>
      </w:pPr>
      <w:r>
        <w:rPr>
          <w:color w:val="auto"/>
          <w:sz w:val="24"/>
          <w:szCs w:val="20"/>
          <w:highlight w:val="none"/>
        </w:rPr>
        <w:br w:type="page"/>
      </w:r>
      <w:r>
        <w:rPr>
          <w:color w:val="auto"/>
          <w:sz w:val="24"/>
          <w:szCs w:val="20"/>
          <w:highlight w:val="none"/>
        </w:rPr>
        <w:t>招标文件要求提供或投标人认为应附的其他材料</w:t>
      </w:r>
    </w:p>
    <w:p w14:paraId="70C3F780">
      <w:pPr>
        <w:widowControl/>
        <w:jc w:val="left"/>
        <w:rPr>
          <w:b/>
          <w:color w:val="auto"/>
          <w:sz w:val="36"/>
          <w:szCs w:val="36"/>
          <w:highlight w:val="none"/>
        </w:rPr>
      </w:pPr>
    </w:p>
    <w:p w14:paraId="63F1406C">
      <w:pPr>
        <w:rPr>
          <w:b/>
          <w:color w:val="auto"/>
          <w:sz w:val="36"/>
          <w:szCs w:val="36"/>
          <w:highlight w:val="none"/>
        </w:rPr>
      </w:pPr>
      <w:r>
        <w:rPr>
          <w:b/>
          <w:color w:val="auto"/>
          <w:sz w:val="36"/>
          <w:szCs w:val="36"/>
          <w:highlight w:val="none"/>
        </w:rPr>
        <w:br w:type="page"/>
      </w:r>
    </w:p>
    <w:p w14:paraId="7806B427">
      <w:pPr>
        <w:spacing w:before="78" w:line="360" w:lineRule="auto"/>
        <w:ind w:left="15"/>
        <w:rPr>
          <w:rFonts w:hint="eastAsia" w:ascii="宋体" w:hAnsi="宋体" w:eastAsia="宋体" w:cs="宋体"/>
          <w:b/>
          <w:bCs/>
          <w:color w:val="auto"/>
          <w:spacing w:val="1"/>
          <w:sz w:val="24"/>
          <w:szCs w:val="24"/>
          <w:highlight w:val="none"/>
        </w:rPr>
      </w:pPr>
      <w:r>
        <w:rPr>
          <w:rFonts w:hint="eastAsia" w:ascii="宋体" w:hAnsi="宋体" w:cs="宋体"/>
          <w:b/>
          <w:bCs/>
          <w:color w:val="auto"/>
          <w:spacing w:val="1"/>
          <w:sz w:val="24"/>
          <w:szCs w:val="24"/>
          <w:highlight w:val="none"/>
          <w:lang w:val="en-US" w:eastAsia="zh-CN"/>
        </w:rPr>
        <w:t>8</w:t>
      </w:r>
      <w:r>
        <w:rPr>
          <w:rFonts w:hint="eastAsia" w:ascii="宋体" w:hAnsi="宋体" w:eastAsia="宋体" w:cs="宋体"/>
          <w:b/>
          <w:bCs/>
          <w:color w:val="auto"/>
          <w:spacing w:val="1"/>
          <w:sz w:val="24"/>
          <w:szCs w:val="24"/>
          <w:highlight w:val="none"/>
          <w:lang w:val="en-US" w:eastAsia="zh-CN"/>
        </w:rPr>
        <w:t xml:space="preserve">  </w:t>
      </w:r>
      <w:r>
        <w:rPr>
          <w:rFonts w:hint="eastAsia" w:ascii="宋体" w:hAnsi="宋体" w:eastAsia="宋体" w:cs="宋体"/>
          <w:b/>
          <w:bCs/>
          <w:color w:val="auto"/>
          <w:spacing w:val="1"/>
          <w:sz w:val="24"/>
          <w:szCs w:val="24"/>
          <w:highlight w:val="none"/>
        </w:rPr>
        <w:t>中标服务费承诺书</w:t>
      </w:r>
    </w:p>
    <w:p w14:paraId="45BC71F8">
      <w:pPr>
        <w:pStyle w:val="12"/>
        <w:rPr>
          <w:rFonts w:ascii="Times New Roman" w:hAnsi="Times New Roman" w:eastAsia="宋体" w:cs="Times New Roman"/>
          <w:color w:val="auto"/>
          <w:kern w:val="2"/>
          <w:szCs w:val="20"/>
          <w:highlight w:val="none"/>
        </w:rPr>
      </w:pPr>
    </w:p>
    <w:p w14:paraId="594EF556">
      <w:pPr>
        <w:pStyle w:val="12"/>
        <w:jc w:val="center"/>
        <w:rPr>
          <w:rFonts w:ascii="Times New Roman" w:hAnsi="Times New Roman" w:eastAsia="宋体" w:cs="Times New Roman"/>
          <w:color w:val="auto"/>
          <w:kern w:val="2"/>
          <w:szCs w:val="20"/>
          <w:highlight w:val="none"/>
        </w:rPr>
      </w:pPr>
      <w:r>
        <w:rPr>
          <w:rFonts w:hint="eastAsia" w:ascii="Times New Roman" w:hAnsi="Times New Roman" w:eastAsia="宋体" w:cs="Times New Roman"/>
          <w:color w:val="auto"/>
          <w:kern w:val="2"/>
          <w:szCs w:val="20"/>
          <w:highlight w:val="none"/>
        </w:rPr>
        <w:t>中标服务费承诺书（格式）</w:t>
      </w:r>
    </w:p>
    <w:p w14:paraId="316D9E33">
      <w:pPr>
        <w:rPr>
          <w:color w:val="auto"/>
          <w:highlight w:val="none"/>
        </w:rPr>
      </w:pPr>
    </w:p>
    <w:p w14:paraId="07E62C2F">
      <w:pPr>
        <w:spacing w:line="480" w:lineRule="auto"/>
        <w:rPr>
          <w:rFonts w:hint="eastAsia" w:ascii="宋体" w:hAnsi="宋体"/>
          <w:color w:val="auto"/>
          <w:sz w:val="24"/>
          <w:highlight w:val="none"/>
        </w:rPr>
      </w:pPr>
    </w:p>
    <w:p w14:paraId="6E084E2A">
      <w:pPr>
        <w:spacing w:line="480" w:lineRule="auto"/>
        <w:ind w:left="638" w:leftChars="304" w:firstLine="0"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eastAsia="宋体"/>
          <w:color w:val="auto"/>
          <w:sz w:val="24"/>
          <w:highlight w:val="none"/>
          <w:u w:val="single"/>
          <w:lang w:val="en-US" w:eastAsia="zh-CN"/>
        </w:rPr>
        <w:t>国信招标集团股份有限公司</w:t>
      </w:r>
    </w:p>
    <w:p w14:paraId="27AAF509">
      <w:pPr>
        <w:widowControl/>
        <w:spacing w:line="360" w:lineRule="auto"/>
        <w:ind w:left="636" w:leftChars="303" w:firstLine="480" w:firstLineChars="200"/>
        <w:jc w:val="left"/>
        <w:rPr>
          <w:rFonts w:ascii="宋体" w:hAnsi="宋体" w:cs="宋体"/>
          <w:color w:val="auto"/>
          <w:kern w:val="0"/>
          <w:sz w:val="24"/>
          <w:highlight w:val="none"/>
        </w:rPr>
      </w:pPr>
      <w:r>
        <w:rPr>
          <w:rFonts w:hint="eastAsia" w:ascii="宋体" w:hAnsi="宋体"/>
          <w:color w:val="auto"/>
          <w:sz w:val="24"/>
          <w:highlight w:val="none"/>
        </w:rPr>
        <w:t>我们在贵公司组织的</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项目（项目编号：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eastAsia="zh-CN"/>
        </w:rPr>
        <w:t>，</w:t>
      </w:r>
      <w:r>
        <w:rPr>
          <w:rFonts w:hint="eastAsia" w:ascii="宋体" w:hAnsi="宋体" w:eastAsia="宋体"/>
          <w:color w:val="auto"/>
          <w:sz w:val="24"/>
          <w:highlight w:val="none"/>
          <w:u w:val="none"/>
          <w:lang w:val="en-US" w:eastAsia="zh-CN"/>
        </w:rPr>
        <w:t>项目代理编号：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w:t>
      </w:r>
      <w:r>
        <w:rPr>
          <w:rFonts w:hint="eastAsia" w:ascii="宋体" w:hAnsi="宋体" w:eastAsia="宋体"/>
          <w:color w:val="auto"/>
          <w:sz w:val="24"/>
          <w:highlight w:val="none"/>
          <w:lang w:val="en-US" w:eastAsia="zh-CN"/>
        </w:rPr>
        <w:t>公开招标</w:t>
      </w:r>
      <w:r>
        <w:rPr>
          <w:rFonts w:hint="eastAsia" w:ascii="宋体" w:hAnsi="宋体"/>
          <w:color w:val="auto"/>
          <w:sz w:val="24"/>
          <w:highlight w:val="none"/>
        </w:rPr>
        <w:t>中若获</w:t>
      </w:r>
      <w:r>
        <w:rPr>
          <w:rFonts w:hint="eastAsia" w:ascii="宋体" w:hAnsi="宋体" w:eastAsia="宋体"/>
          <w:color w:val="auto"/>
          <w:sz w:val="24"/>
          <w:highlight w:val="none"/>
          <w:lang w:val="en-US" w:eastAsia="zh-CN"/>
        </w:rPr>
        <w:t>中标</w:t>
      </w:r>
      <w:r>
        <w:rPr>
          <w:rFonts w:hint="eastAsia" w:ascii="宋体" w:hAnsi="宋体"/>
          <w:color w:val="auto"/>
          <w:sz w:val="24"/>
          <w:highlight w:val="none"/>
        </w:rPr>
        <w:t>，我们保证在领取</w:t>
      </w:r>
      <w:r>
        <w:rPr>
          <w:rFonts w:hint="eastAsia" w:ascii="宋体" w:hAnsi="宋体" w:eastAsia="宋体"/>
          <w:color w:val="auto"/>
          <w:sz w:val="24"/>
          <w:highlight w:val="none"/>
          <w:lang w:val="en-US" w:eastAsia="zh-CN"/>
        </w:rPr>
        <w:t>中标</w:t>
      </w:r>
      <w:r>
        <w:rPr>
          <w:rFonts w:hint="eastAsia" w:ascii="宋体" w:hAnsi="宋体"/>
          <w:color w:val="auto"/>
          <w:sz w:val="24"/>
          <w:highlight w:val="none"/>
        </w:rPr>
        <w:t>通知书时按照</w:t>
      </w:r>
      <w:r>
        <w:rPr>
          <w:rFonts w:hint="eastAsia" w:ascii="宋体" w:hAnsi="宋体" w:eastAsia="宋体"/>
          <w:color w:val="auto"/>
          <w:sz w:val="24"/>
          <w:highlight w:val="none"/>
          <w:lang w:val="en-US" w:eastAsia="zh-CN"/>
        </w:rPr>
        <w:t>招标</w:t>
      </w:r>
      <w:r>
        <w:rPr>
          <w:rFonts w:hint="eastAsia" w:ascii="宋体" w:hAnsi="宋体"/>
          <w:color w:val="auto"/>
          <w:sz w:val="24"/>
          <w:highlight w:val="none"/>
        </w:rPr>
        <w:t>文件的规定，以支票、电汇或现金，向贵公司一次性支付应该交纳的</w:t>
      </w:r>
      <w:r>
        <w:rPr>
          <w:rFonts w:hint="eastAsia" w:ascii="宋体" w:hAnsi="宋体" w:eastAsia="宋体"/>
          <w:color w:val="auto"/>
          <w:sz w:val="24"/>
          <w:highlight w:val="none"/>
          <w:lang w:val="en-US" w:eastAsia="zh-CN"/>
        </w:rPr>
        <w:t>中标</w:t>
      </w:r>
      <w:r>
        <w:rPr>
          <w:rFonts w:hint="eastAsia" w:ascii="宋体" w:hAnsi="宋体"/>
          <w:color w:val="auto"/>
          <w:sz w:val="24"/>
          <w:highlight w:val="none"/>
        </w:rPr>
        <w:t>服务费用。</w:t>
      </w:r>
    </w:p>
    <w:p w14:paraId="1FC3F1F1">
      <w:pPr>
        <w:spacing w:line="360" w:lineRule="auto"/>
        <w:ind w:left="637" w:leftChars="228" w:hanging="158" w:hangingChars="66"/>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特此承诺</w:t>
      </w:r>
      <w:r>
        <w:rPr>
          <w:rFonts w:hint="eastAsia" w:ascii="宋体" w:hAnsi="宋体" w:eastAsia="宋体"/>
          <w:color w:val="auto"/>
          <w:sz w:val="24"/>
          <w:highlight w:val="none"/>
          <w:lang w:eastAsia="zh-CN"/>
        </w:rPr>
        <w:t>！</w:t>
      </w:r>
    </w:p>
    <w:p w14:paraId="7C8C9ADF">
      <w:pPr>
        <w:spacing w:line="360" w:lineRule="auto"/>
        <w:rPr>
          <w:rFonts w:ascii="宋体" w:hAnsi="宋体"/>
          <w:color w:val="auto"/>
          <w:sz w:val="24"/>
          <w:highlight w:val="none"/>
        </w:rPr>
      </w:pPr>
    </w:p>
    <w:p w14:paraId="1F7CBA12">
      <w:pPr>
        <w:spacing w:before="78" w:line="492" w:lineRule="exact"/>
        <w:ind w:left="304" w:firstLine="496" w:firstLineChars="200"/>
        <w:rPr>
          <w:rFonts w:ascii="Arial" w:hAnsi="Arial" w:eastAsia="Arial" w:cs="Arial"/>
          <w:color w:val="auto"/>
          <w:sz w:val="24"/>
          <w:szCs w:val="24"/>
          <w:highlight w:val="none"/>
        </w:rPr>
      </w:pPr>
      <w:r>
        <w:rPr>
          <w:rFonts w:hint="eastAsia" w:ascii="宋体" w:hAnsi="宋体" w:eastAsia="宋体" w:cs="宋体"/>
          <w:color w:val="auto"/>
          <w:spacing w:val="4"/>
          <w:position w:val="19"/>
          <w:sz w:val="24"/>
          <w:szCs w:val="24"/>
          <w:highlight w:val="none"/>
          <w:lang w:val="en-US" w:eastAsia="zh-CN"/>
        </w:rPr>
        <w:t>投标人</w:t>
      </w:r>
      <w:r>
        <w:rPr>
          <w:rFonts w:ascii="宋体" w:hAnsi="宋体" w:eastAsia="宋体" w:cs="宋体"/>
          <w:color w:val="auto"/>
          <w:spacing w:val="3"/>
          <w:position w:val="19"/>
          <w:sz w:val="24"/>
          <w:szCs w:val="24"/>
          <w:highlight w:val="none"/>
        </w:rPr>
        <w:t>名</w:t>
      </w:r>
      <w:r>
        <w:rPr>
          <w:rFonts w:ascii="宋体" w:hAnsi="宋体" w:eastAsia="宋体" w:cs="宋体"/>
          <w:color w:val="auto"/>
          <w:spacing w:val="2"/>
          <w:position w:val="19"/>
          <w:sz w:val="24"/>
          <w:szCs w:val="24"/>
          <w:highlight w:val="none"/>
        </w:rPr>
        <w:t>称(加盖公章)：</w:t>
      </w:r>
      <w:r>
        <w:rPr>
          <w:rFonts w:ascii="Arial" w:hAnsi="Arial" w:eastAsia="Arial" w:cs="Arial"/>
          <w:color w:val="auto"/>
          <w:spacing w:val="2"/>
          <w:position w:val="19"/>
          <w:sz w:val="24"/>
          <w:szCs w:val="24"/>
          <w:highlight w:val="none"/>
        </w:rPr>
        <w:t>________________________</w:t>
      </w:r>
    </w:p>
    <w:p w14:paraId="0F044AE9">
      <w:pPr>
        <w:spacing w:before="1" w:line="218" w:lineRule="auto"/>
        <w:ind w:left="346" w:firstLine="376"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pacing w:val="-26"/>
          <w:sz w:val="24"/>
          <w:szCs w:val="24"/>
          <w:highlight w:val="none"/>
        </w:rPr>
        <w:t>日</w:t>
      </w:r>
      <w:r>
        <w:rPr>
          <w:rFonts w:ascii="宋体" w:hAnsi="宋体" w:eastAsia="宋体" w:cs="宋体"/>
          <w:color w:val="auto"/>
          <w:spacing w:val="-17"/>
          <w:sz w:val="24"/>
          <w:szCs w:val="24"/>
          <w:highlight w:val="none"/>
        </w:rPr>
        <w:t xml:space="preserve">期： </w:t>
      </w:r>
      <w:r>
        <w:rPr>
          <w:rFonts w:ascii="Arial" w:hAnsi="Arial" w:eastAsia="Arial" w:cs="Arial"/>
          <w:color w:val="auto"/>
          <w:spacing w:val="-17"/>
          <w:sz w:val="24"/>
          <w:szCs w:val="24"/>
          <w:highlight w:val="none"/>
        </w:rPr>
        <w:t>____</w:t>
      </w:r>
      <w:r>
        <w:rPr>
          <w:rFonts w:ascii="宋体" w:hAnsi="宋体" w:eastAsia="宋体" w:cs="宋体"/>
          <w:color w:val="auto"/>
          <w:spacing w:val="-17"/>
          <w:sz w:val="24"/>
          <w:szCs w:val="24"/>
          <w:highlight w:val="none"/>
        </w:rPr>
        <w:t>年</w:t>
      </w:r>
      <w:r>
        <w:rPr>
          <w:rFonts w:ascii="Arial" w:hAnsi="Arial" w:eastAsia="Arial" w:cs="Arial"/>
          <w:color w:val="auto"/>
          <w:spacing w:val="-17"/>
          <w:sz w:val="24"/>
          <w:szCs w:val="24"/>
          <w:highlight w:val="none"/>
        </w:rPr>
        <w:t>____</w:t>
      </w:r>
      <w:r>
        <w:rPr>
          <w:rFonts w:ascii="宋体" w:hAnsi="宋体" w:eastAsia="宋体" w:cs="宋体"/>
          <w:color w:val="auto"/>
          <w:spacing w:val="-17"/>
          <w:sz w:val="24"/>
          <w:szCs w:val="24"/>
          <w:highlight w:val="none"/>
        </w:rPr>
        <w:t>月</w:t>
      </w:r>
      <w:r>
        <w:rPr>
          <w:rFonts w:ascii="Arial" w:hAnsi="Arial" w:eastAsia="Arial" w:cs="Arial"/>
          <w:color w:val="auto"/>
          <w:spacing w:val="-17"/>
          <w:sz w:val="24"/>
          <w:szCs w:val="24"/>
          <w:highlight w:val="none"/>
        </w:rPr>
        <w:t xml:space="preserve">____ </w:t>
      </w:r>
      <w:r>
        <w:rPr>
          <w:rFonts w:ascii="宋体" w:hAnsi="宋体" w:eastAsia="宋体" w:cs="宋体"/>
          <w:color w:val="auto"/>
          <w:spacing w:val="-17"/>
          <w:sz w:val="24"/>
          <w:szCs w:val="24"/>
          <w:highlight w:val="none"/>
        </w:rPr>
        <w:t>日</w:t>
      </w:r>
    </w:p>
    <w:p w14:paraId="7BC32576">
      <w:pPr>
        <w:pStyle w:val="12"/>
        <w:rPr>
          <w:color w:val="auto"/>
          <w:highlight w:val="none"/>
        </w:rPr>
      </w:pPr>
    </w:p>
    <w:p w14:paraId="0499471A">
      <w:pPr>
        <w:rPr>
          <w:color w:val="auto"/>
          <w:highlight w:val="none"/>
        </w:rPr>
      </w:pPr>
      <w:r>
        <w:rPr>
          <w:color w:val="auto"/>
          <w:highlight w:val="none"/>
        </w:rPr>
        <w:br w:type="page"/>
      </w:r>
    </w:p>
    <w:p w14:paraId="5FBCF6BE">
      <w:pPr>
        <w:pStyle w:val="56"/>
        <w:spacing w:line="360" w:lineRule="auto"/>
        <w:ind w:left="0" w:leftChars="0" w:firstLine="0" w:firstLineChars="0"/>
        <w:outlineLvl w:val="9"/>
        <w:rPr>
          <w:rFonts w:hint="eastAsia" w:hAnsi="宋体" w:eastAsia="宋体" w:cs="宋体"/>
          <w:b/>
          <w:bCs/>
          <w:color w:val="auto"/>
          <w:sz w:val="32"/>
          <w:szCs w:val="32"/>
          <w:highlight w:val="none"/>
          <w:lang w:eastAsia="zh-CN"/>
        </w:rPr>
      </w:pPr>
      <w:r>
        <w:rPr>
          <w:rFonts w:hint="eastAsia" w:eastAsia="宋体"/>
          <w:b/>
          <w:bCs/>
          <w:color w:val="auto"/>
          <w:sz w:val="32"/>
          <w:szCs w:val="22"/>
          <w:highlight w:val="none"/>
          <w:lang w:val="en-US" w:eastAsia="zh-CN"/>
        </w:rPr>
        <w:t>附件：</w:t>
      </w:r>
      <w:r>
        <w:rPr>
          <w:rFonts w:hint="eastAsia" w:eastAsia="宋体"/>
          <w:b/>
          <w:bCs/>
          <w:color w:val="auto"/>
          <w:sz w:val="24"/>
          <w:szCs w:val="22"/>
          <w:highlight w:val="none"/>
          <w:lang w:val="en-US" w:eastAsia="zh-CN"/>
        </w:rPr>
        <w:t xml:space="preserve"> </w:t>
      </w:r>
      <w:r>
        <w:rPr>
          <w:rFonts w:hint="eastAsia" w:hAnsi="宋体" w:cs="宋体"/>
          <w:b/>
          <w:bCs/>
          <w:color w:val="auto"/>
          <w:sz w:val="32"/>
          <w:szCs w:val="32"/>
          <w:highlight w:val="none"/>
          <w:shd w:val="clear" w:color="auto" w:fill="FFFFFF"/>
          <w:lang w:bidi="ar"/>
        </w:rPr>
        <w:t>关于印发中小企业划型标准规定的通知</w:t>
      </w:r>
      <w:r>
        <w:rPr>
          <w:rFonts w:hint="eastAsia" w:hAnsi="宋体" w:cs="宋体"/>
          <w:b/>
          <w:bCs/>
          <w:color w:val="auto"/>
          <w:sz w:val="32"/>
          <w:szCs w:val="32"/>
          <w:highlight w:val="none"/>
          <w:shd w:val="clear" w:color="auto" w:fill="FFFFFF"/>
          <w:lang w:eastAsia="zh-CN" w:bidi="ar"/>
        </w:rPr>
        <w:t>（</w:t>
      </w:r>
      <w:r>
        <w:rPr>
          <w:rFonts w:hint="eastAsia" w:hAnsi="宋体" w:cs="宋体"/>
          <w:b/>
          <w:bCs/>
          <w:color w:val="auto"/>
          <w:sz w:val="32"/>
          <w:szCs w:val="32"/>
          <w:highlight w:val="none"/>
          <w:shd w:val="clear" w:color="auto" w:fill="FFFFFF"/>
          <w:lang w:val="en-US" w:eastAsia="zh-CN" w:bidi="ar"/>
        </w:rPr>
        <w:t>投标人不用将此附件编制在投标文件中</w:t>
      </w:r>
      <w:r>
        <w:rPr>
          <w:rFonts w:hint="eastAsia" w:hAnsi="宋体" w:cs="宋体"/>
          <w:b/>
          <w:bCs/>
          <w:color w:val="auto"/>
          <w:sz w:val="32"/>
          <w:szCs w:val="32"/>
          <w:highlight w:val="none"/>
          <w:shd w:val="clear" w:color="auto" w:fill="FFFFFF"/>
          <w:lang w:eastAsia="zh-CN" w:bidi="ar"/>
        </w:rPr>
        <w:t>）</w:t>
      </w:r>
    </w:p>
    <w:p w14:paraId="4A02275F">
      <w:pPr>
        <w:widowControl/>
        <w:spacing w:line="750" w:lineRule="atLeast"/>
        <w:jc w:val="center"/>
        <w:textAlignment w:val="baseline"/>
        <w:rPr>
          <w:rFonts w:ascii="宋体" w:hAnsi="宋体" w:cs="宋体"/>
          <w:color w:val="auto"/>
          <w:sz w:val="24"/>
          <w:highlight w:val="none"/>
        </w:rPr>
      </w:pPr>
      <w:r>
        <w:rPr>
          <w:rFonts w:hint="eastAsia" w:ascii="宋体" w:hAnsi="宋体" w:cs="宋体"/>
          <w:color w:val="auto"/>
          <w:sz w:val="24"/>
          <w:highlight w:val="none"/>
          <w:shd w:val="clear" w:color="auto" w:fill="FFFFFF"/>
        </w:rPr>
        <w:t>工信部联企业〔2011〕300号</w:t>
      </w:r>
    </w:p>
    <w:p w14:paraId="22138241">
      <w:pPr>
        <w:pStyle w:val="38"/>
        <w:spacing w:before="0" w:beforeAutospacing="0" w:after="0" w:afterAutospacing="0" w:line="560" w:lineRule="atLeast"/>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各省、自治区、直辖市人民政府，国务院各部委、各直属机构及有关单位：</w:t>
      </w:r>
    </w:p>
    <w:p w14:paraId="56C5D5FB">
      <w:pPr>
        <w:pStyle w:val="38"/>
        <w:spacing w:before="0" w:beforeAutospacing="0" w:after="0" w:afterAutospacing="0" w:line="560" w:lineRule="atLeast"/>
        <w:textAlignment w:val="baseline"/>
        <w:rPr>
          <w:color w:val="auto"/>
          <w:highlight w:val="none"/>
        </w:rPr>
      </w:pPr>
      <w:r>
        <w:rPr>
          <w:rFonts w:hint="eastAsia"/>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435A634">
      <w:pPr>
        <w:pStyle w:val="38"/>
        <w:spacing w:before="0" w:beforeAutospacing="0" w:after="0" w:afterAutospacing="0" w:line="560" w:lineRule="atLeast"/>
        <w:jc w:val="right"/>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工业和信息化部</w:t>
      </w:r>
    </w:p>
    <w:p w14:paraId="22B54094">
      <w:pPr>
        <w:pStyle w:val="38"/>
        <w:spacing w:before="0" w:beforeAutospacing="0" w:after="0" w:afterAutospacing="0" w:line="560" w:lineRule="atLeast"/>
        <w:jc w:val="right"/>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国家统计局</w:t>
      </w:r>
    </w:p>
    <w:p w14:paraId="4E0764CD">
      <w:pPr>
        <w:pStyle w:val="38"/>
        <w:spacing w:before="0" w:beforeAutospacing="0" w:after="0" w:afterAutospacing="0" w:line="560" w:lineRule="atLeast"/>
        <w:jc w:val="right"/>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国家发展和改革委员会</w:t>
      </w:r>
    </w:p>
    <w:p w14:paraId="10B2B290">
      <w:pPr>
        <w:pStyle w:val="38"/>
        <w:spacing w:before="0" w:beforeAutospacing="0" w:after="0" w:afterAutospacing="0" w:line="560" w:lineRule="atLeast"/>
        <w:jc w:val="right"/>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财政部</w:t>
      </w:r>
    </w:p>
    <w:p w14:paraId="4A7D4059">
      <w:pPr>
        <w:pStyle w:val="38"/>
        <w:spacing w:before="0" w:beforeAutospacing="0" w:after="0" w:afterAutospacing="0" w:line="560" w:lineRule="atLeast"/>
        <w:jc w:val="right"/>
        <w:textAlignment w:val="baseline"/>
        <w:rPr>
          <w:color w:val="auto"/>
          <w:highlight w:val="none"/>
        </w:rPr>
      </w:pPr>
      <w:r>
        <w:rPr>
          <w:rFonts w:hint="eastAsia"/>
          <w:color w:val="auto"/>
          <w:highlight w:val="none"/>
          <w:shd w:val="clear" w:color="auto" w:fill="FFFFFF"/>
        </w:rPr>
        <w:t>二○一一年六月十八日</w:t>
      </w:r>
    </w:p>
    <w:p w14:paraId="403822C4">
      <w:pPr>
        <w:pStyle w:val="38"/>
        <w:spacing w:before="0" w:beforeAutospacing="0" w:after="0" w:afterAutospacing="0" w:line="560" w:lineRule="atLeast"/>
        <w:jc w:val="center"/>
        <w:textAlignment w:val="baseline"/>
        <w:rPr>
          <w:rStyle w:val="47"/>
          <w:rFonts w:hint="eastAsia" w:cs="宋体"/>
          <w:color w:val="auto"/>
          <w:highlight w:val="none"/>
          <w:shd w:val="clear" w:color="auto" w:fill="FFFFFF"/>
        </w:rPr>
      </w:pPr>
    </w:p>
    <w:p w14:paraId="245F964B">
      <w:pPr>
        <w:pStyle w:val="38"/>
        <w:spacing w:before="0" w:beforeAutospacing="0" w:after="0" w:afterAutospacing="0" w:line="360" w:lineRule="auto"/>
        <w:jc w:val="center"/>
        <w:textAlignment w:val="baseline"/>
        <w:outlineLvl w:val="9"/>
        <w:rPr>
          <w:color w:val="auto"/>
          <w:highlight w:val="none"/>
        </w:rPr>
      </w:pPr>
      <w:r>
        <w:rPr>
          <w:rStyle w:val="47"/>
          <w:rFonts w:hint="eastAsia" w:cs="宋体"/>
          <w:color w:val="auto"/>
          <w:highlight w:val="none"/>
          <w:shd w:val="clear" w:color="auto" w:fill="FFFFFF"/>
        </w:rPr>
        <w:t>中小企业划型标准规定</w:t>
      </w:r>
    </w:p>
    <w:p w14:paraId="7C19F036">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一、根据《中华人民共和国中小企业促进法》和《国务院关于进一步促进中小企业发展的若干意见》(国发〔2009〕36号)，制定本规定。</w:t>
      </w:r>
    </w:p>
    <w:p w14:paraId="4120E5A7">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二、中小企业划分为中型、小型、微型三种类型，具体标准根据企业从业人员、营业收入、资产总额等指标，结合行业特点制定。</w:t>
      </w:r>
    </w:p>
    <w:p w14:paraId="547EC63E">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A67F94">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四、各行业划型标准为：</w:t>
      </w:r>
    </w:p>
    <w:p w14:paraId="0FD09A05">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07BE0CFF">
      <w:pPr>
        <w:pStyle w:val="38"/>
        <w:spacing w:before="0" w:beforeAutospacing="0" w:after="0" w:afterAutospacing="0" w:line="360" w:lineRule="auto"/>
        <w:textAlignment w:val="baseline"/>
        <w:rPr>
          <w:rFonts w:hint="eastAsia" w:eastAsia="宋体"/>
          <w:b/>
          <w:bCs/>
          <w:color w:val="auto"/>
          <w:highlight w:val="none"/>
          <w:shd w:val="clear" w:color="auto" w:fill="FFFFFF"/>
          <w:lang w:eastAsia="zh-CN"/>
        </w:rPr>
      </w:pPr>
      <w:r>
        <w:rPr>
          <w:rFonts w:hint="eastAsia"/>
          <w:b/>
          <w:bCs/>
          <w:color w:val="auto"/>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C1FF6D9">
      <w:pPr>
        <w:pStyle w:val="38"/>
        <w:spacing w:before="0" w:beforeAutospacing="0" w:after="0" w:afterAutospacing="0" w:line="360" w:lineRule="auto"/>
        <w:textAlignment w:val="baseline"/>
        <w:rPr>
          <w:rFonts w:hint="eastAsia" w:eastAsia="宋体"/>
          <w:b w:val="0"/>
          <w:bCs w:val="0"/>
          <w:color w:val="auto"/>
          <w:highlight w:val="none"/>
          <w:shd w:val="clear" w:color="auto" w:fill="FFFFFF"/>
          <w:lang w:eastAsia="zh-CN"/>
        </w:rPr>
      </w:pPr>
      <w:r>
        <w:rPr>
          <w:rFonts w:hint="eastAsia"/>
          <w:b w:val="0"/>
          <w:bCs w:val="0"/>
          <w:color w:val="auto"/>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0C987E">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530050">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5019F1">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4D54C6">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3A7D26">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C0CFD30">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3B1DB8">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D1FF38">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1785E3">
      <w:pPr>
        <w:pStyle w:val="38"/>
        <w:spacing w:before="0" w:beforeAutospacing="0" w:after="0" w:afterAutospacing="0" w:line="360" w:lineRule="auto"/>
        <w:textAlignment w:val="baseline"/>
        <w:rPr>
          <w:rFonts w:hint="eastAsia" w:eastAsia="宋体"/>
          <w:b w:val="0"/>
          <w:bCs w:val="0"/>
          <w:color w:val="auto"/>
          <w:highlight w:val="none"/>
          <w:shd w:val="clear" w:color="auto" w:fill="FFFFFF"/>
          <w:lang w:eastAsia="zh-CN"/>
        </w:rPr>
      </w:pPr>
      <w:r>
        <w:rPr>
          <w:rFonts w:hint="eastAsia"/>
          <w:b w:val="0"/>
          <w:bCs w:val="0"/>
          <w:color w:val="auto"/>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9F2A21">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212626">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BF917B0">
      <w:pPr>
        <w:pStyle w:val="38"/>
        <w:spacing w:before="0" w:beforeAutospacing="0" w:after="0" w:afterAutospacing="0" w:line="360" w:lineRule="auto"/>
        <w:textAlignment w:val="baseline"/>
        <w:rPr>
          <w:rFonts w:hint="eastAsia" w:eastAsia="宋体"/>
          <w:b w:val="0"/>
          <w:bCs w:val="0"/>
          <w:color w:val="auto"/>
          <w:highlight w:val="none"/>
          <w:shd w:val="clear" w:color="auto" w:fill="FFFFFF"/>
          <w:lang w:eastAsia="zh-CN"/>
        </w:rPr>
      </w:pPr>
      <w:r>
        <w:rPr>
          <w:rFonts w:hint="eastAsia"/>
          <w:b w:val="0"/>
          <w:bCs w:val="0"/>
          <w:color w:val="auto"/>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AD2509">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736317D1">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五、企业类型的划分以统计部门的统计数据为依据。</w:t>
      </w:r>
    </w:p>
    <w:p w14:paraId="67423E7C">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六、本规定适用于在中华人民共和国境内依法设立的各类所有制和各种组织形式的企业。个体工商户和本规定以外的行业，参照本规定进行划型。</w:t>
      </w:r>
    </w:p>
    <w:p w14:paraId="47C0D2CF">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1FE0D1D9">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八、本规定由工业和信息化部、国家统计局会同有关部门根据《国民经济行业分类》修订情况和企业发展变化情况适时修订。</w:t>
      </w:r>
    </w:p>
    <w:p w14:paraId="0ABBBE2B">
      <w:pPr>
        <w:pStyle w:val="38"/>
        <w:spacing w:before="0" w:beforeAutospacing="0" w:after="0" w:afterAutospacing="0" w:line="360" w:lineRule="auto"/>
        <w:textAlignment w:val="baseline"/>
        <w:rPr>
          <w:rFonts w:hint="eastAsia" w:eastAsia="宋体"/>
          <w:color w:val="auto"/>
          <w:highlight w:val="none"/>
          <w:shd w:val="clear" w:color="auto" w:fill="FFFFFF"/>
          <w:lang w:eastAsia="zh-CN"/>
        </w:rPr>
      </w:pPr>
      <w:r>
        <w:rPr>
          <w:rFonts w:hint="eastAsia"/>
          <w:color w:val="auto"/>
          <w:highlight w:val="none"/>
          <w:shd w:val="clear" w:color="auto" w:fill="FFFFFF"/>
        </w:rPr>
        <w:t>　　九、本规定由工业和信息化部、国家统计局会同有关部门负责解释。</w:t>
      </w:r>
    </w:p>
    <w:p w14:paraId="2F0D38C8">
      <w:pPr>
        <w:pStyle w:val="12"/>
        <w:spacing w:line="360" w:lineRule="auto"/>
        <w:ind w:left="0" w:leftChars="0" w:firstLine="0" w:firstLineChars="0"/>
        <w:rPr>
          <w:rFonts w:hint="eastAsia" w:eastAsia="宋体"/>
          <w:color w:val="auto"/>
          <w:sz w:val="24"/>
          <w:highlight w:val="none"/>
          <w:lang w:val="en-US" w:eastAsia="zh-CN"/>
        </w:rPr>
      </w:pPr>
      <w:r>
        <w:rPr>
          <w:rFonts w:hint="eastAsia"/>
          <w:color w:val="auto"/>
          <w:highlight w:val="none"/>
          <w:shd w:val="clear" w:color="auto" w:fill="FFFFFF"/>
        </w:rPr>
        <w:t>　　十、本规定自发布之日起执行，原国家经贸委、原国家计委、财政部和国家统计局2003年颁布的《中小企业标准暂行规定》同时废止。</w:t>
      </w:r>
    </w:p>
    <w:p w14:paraId="24E4669B">
      <w:pPr>
        <w:spacing w:line="360" w:lineRule="auto"/>
        <w:rPr>
          <w:color w:val="auto"/>
          <w:highlight w:val="none"/>
        </w:rPr>
      </w:pPr>
    </w:p>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656"/>
      <w:docPartObj>
        <w:docPartGallery w:val="autotext"/>
      </w:docPartObj>
    </w:sdtPr>
    <w:sdtContent>
      <w:p w14:paraId="634219D0">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780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63C4BD1">
    <w:pPr>
      <w:pStyle w:val="29"/>
      <w:ind w:right="360"/>
    </w:pPr>
  </w:p>
  <w:p w14:paraId="438D126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AB50">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675C4">
    <w:pPr>
      <w:spacing w:line="201"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24500">
                          <w:pPr>
                            <w:pStyle w:val="2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76524500">
                    <w:pPr>
                      <w:pStyle w:val="2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18D5">
    <w:pPr>
      <w:pStyle w:val="29"/>
      <w:framePr w:wrap="around" w:vAnchor="text" w:hAnchor="margin" w:xAlign="right" w:y="1"/>
      <w:rPr>
        <w:rStyle w:val="48"/>
      </w:rPr>
    </w:pPr>
  </w:p>
  <w:p w14:paraId="1DDF7434">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EF0C">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706132F">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4102">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300C4">
    <w:pPr>
      <w:spacing w:line="201" w:lineRule="auto"/>
      <w:ind w:left="4547"/>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14E54">
                          <w:pPr>
                            <w:pStyle w:val="2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30914E54">
                    <w:pPr>
                      <w:pStyle w:val="2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0A4D">
    <w:pPr>
      <w:pStyle w:val="2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F241AD">
                          <w:pPr>
                            <w:pStyle w:val="2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3F241AD">
                    <w:pPr>
                      <w:pStyle w:val="2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DFDB">
    <w:pPr>
      <w:spacing w:line="201"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9056B">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A89056B">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D734">
    <w:pPr>
      <w:spacing w:line="201" w:lineRule="auto"/>
      <w:ind w:left="4435"/>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06A6C">
                          <w:pPr>
                            <w:pStyle w:val="2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3006A6C">
                    <w:pPr>
                      <w:pStyle w:val="2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37CC7">
    <w:pPr>
      <w:spacing w:line="201" w:lineRule="auto"/>
      <w:ind w:left="4430"/>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E8646">
                          <w:pPr>
                            <w:pStyle w:val="2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05E8646">
                    <w:pPr>
                      <w:pStyle w:val="2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1322">
    <w:pPr>
      <w:pStyle w:val="30"/>
      <w:jc w:val="right"/>
    </w:pPr>
    <w:r>
      <w:rPr>
        <w:rFonts w:hint="eastAsia"/>
      </w:rPr>
      <w:t>北京市政府</w:t>
    </w:r>
    <w:r>
      <w:t>采购</w:t>
    </w:r>
    <w:r>
      <w:rPr>
        <w:rFonts w:hint="eastAsia"/>
      </w:rPr>
      <w:t>项目公开招标文件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5B9C">
    <w:pPr>
      <w:pStyle w:val="3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5FCD">
    <w:pPr>
      <w:spacing w:line="219" w:lineRule="auto"/>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60" name="IM 52"/>
          <wp:cNvGraphicFramePr/>
          <a:graphic xmlns:a="http://schemas.openxmlformats.org/drawingml/2006/main">
            <a:graphicData uri="http://schemas.openxmlformats.org/drawingml/2006/picture">
              <pic:pic xmlns:pic="http://schemas.openxmlformats.org/drawingml/2006/picture">
                <pic:nvPicPr>
                  <pic:cNvPr id="60" name="IM 52"/>
                  <pic:cNvPicPr/>
                </pic:nvPicPr>
                <pic:blipFill>
                  <a:blip r:embed="rId1"/>
                  <a:stretch>
                    <a:fillRect/>
                  </a:stretch>
                </pic:blipFill>
                <pic:spPr>
                  <a:xfrm>
                    <a:off x="0" y="0"/>
                    <a:ext cx="5760627" cy="8441"/>
                  </a:xfrm>
                  <a:prstGeom prst="rect">
                    <a:avLst/>
                  </a:prstGeom>
                </pic:spPr>
              </pic:pic>
            </a:graphicData>
          </a:graphic>
        </wp:anchor>
      </w:drawing>
    </w:r>
    <w:r>
      <w:rPr>
        <w:rFonts w:ascii="宋体" w:hAnsi="宋体" w:eastAsia="宋体" w:cs="宋体"/>
        <w:spacing w:val="-1"/>
        <w:sz w:val="18"/>
        <w:szCs w:val="18"/>
      </w:rPr>
      <w:t>北京市政府采购项目公</w:t>
    </w:r>
    <w:r>
      <w:rPr>
        <w:rFonts w:ascii="宋体" w:hAnsi="宋体" w:eastAsia="宋体" w:cs="宋体"/>
        <w:sz w:val="18"/>
        <w:szCs w:val="18"/>
      </w:rPr>
      <w:t>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3D0D2">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5A01">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9A079">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0DF9">
    <w:pPr>
      <w:spacing w:line="219" w:lineRule="auto"/>
      <w:ind w:right="452"/>
      <w:jc w:val="right"/>
      <w:rPr>
        <w:rFonts w:ascii="宋体" w:hAnsi="宋体" w:eastAsia="宋体" w:cs="宋体"/>
        <w:sz w:val="18"/>
        <w:szCs w:val="18"/>
      </w:rPr>
    </w:pPr>
    <w:r>
      <w:drawing>
        <wp:anchor distT="0" distB="0" distL="0" distR="0" simplePos="0" relativeHeight="25166848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
                  <a:stretch>
                    <a:fillRect/>
                  </a:stretch>
                </pic:blipFill>
                <pic:spPr>
                  <a:xfrm>
                    <a:off x="0" y="0"/>
                    <a:ext cx="5760627" cy="8441"/>
                  </a:xfrm>
                  <a:prstGeom prst="rect">
                    <a:avLst/>
                  </a:prstGeom>
                </pic:spPr>
              </pic:pic>
            </a:graphicData>
          </a:graphic>
        </wp:anchor>
      </w:drawing>
    </w:r>
    <w:r>
      <w:rPr>
        <w:rFonts w:ascii="宋体" w:hAnsi="宋体" w:eastAsia="宋体" w:cs="宋体"/>
        <w:spacing w:val="-1"/>
        <w:sz w:val="18"/>
        <w:szCs w:val="18"/>
      </w:rPr>
      <w:t>北京市政府采购项目竞</w:t>
    </w:r>
    <w:r>
      <w:rPr>
        <w:rFonts w:ascii="宋体" w:hAnsi="宋体" w:eastAsia="宋体" w:cs="宋体"/>
        <w:sz w:val="18"/>
        <w:szCs w:val="18"/>
      </w:rPr>
      <w:t>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41C8">
    <w:pPr>
      <w:spacing w:line="219" w:lineRule="auto"/>
      <w:ind w:right="1"/>
      <w:jc w:val="right"/>
      <w:rPr>
        <w:rFonts w:ascii="宋体" w:hAnsi="宋体" w:eastAsia="宋体" w:cs="宋体"/>
        <w:sz w:val="18"/>
        <w:szCs w:val="18"/>
      </w:rPr>
    </w:pPr>
    <w: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4" name="IM 32"/>
          <wp:cNvGraphicFramePr/>
          <a:graphic xmlns:a="http://schemas.openxmlformats.org/drawingml/2006/main">
            <a:graphicData uri="http://schemas.openxmlformats.org/drawingml/2006/picture">
              <pic:pic xmlns:pic="http://schemas.openxmlformats.org/drawingml/2006/picture">
                <pic:nvPicPr>
                  <pic:cNvPr id="34" name="IM 32"/>
                  <pic:cNvPicPr/>
                </pic:nvPicPr>
                <pic:blipFill>
                  <a:blip r:embed="rId1"/>
                  <a:stretch>
                    <a:fillRect/>
                  </a:stretch>
                </pic:blipFill>
                <pic:spPr>
                  <a:xfrm>
                    <a:off x="0" y="0"/>
                    <a:ext cx="5760627" cy="8441"/>
                  </a:xfrm>
                  <a:prstGeom prst="rect">
                    <a:avLst/>
                  </a:prstGeom>
                </pic:spPr>
              </pic:pic>
            </a:graphicData>
          </a:graphic>
        </wp:anchor>
      </w:drawing>
    </w:r>
    <w:r>
      <w:rPr>
        <w:rFonts w:ascii="宋体" w:hAnsi="宋体" w:eastAsia="宋体" w:cs="宋体"/>
        <w:spacing w:val="-1"/>
        <w:sz w:val="18"/>
        <w:szCs w:val="18"/>
      </w:rPr>
      <w:t>北京市政府采购项目公</w:t>
    </w:r>
    <w:r>
      <w:rPr>
        <w:rFonts w:ascii="宋体" w:hAnsi="宋体" w:eastAsia="宋体" w:cs="宋体"/>
        <w:sz w:val="18"/>
        <w:szCs w:val="18"/>
      </w:rPr>
      <w:t>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81B8">
    <w:pPr>
      <w:spacing w:line="219" w:lineRule="auto"/>
      <w:ind w:right="61"/>
      <w:jc w:val="right"/>
      <w:rPr>
        <w:rFonts w:ascii="宋体" w:hAnsi="宋体" w:eastAsia="宋体" w:cs="宋体"/>
        <w:sz w:val="18"/>
        <w:szCs w:val="18"/>
      </w:rPr>
    </w:pPr>
    <w:r>
      <w:drawing>
        <wp:anchor distT="0" distB="0" distL="0" distR="0" simplePos="0" relativeHeight="25166336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8" name="IM 35"/>
          <wp:cNvGraphicFramePr/>
          <a:graphic xmlns:a="http://schemas.openxmlformats.org/drawingml/2006/main">
            <a:graphicData uri="http://schemas.openxmlformats.org/drawingml/2006/picture">
              <pic:pic xmlns:pic="http://schemas.openxmlformats.org/drawingml/2006/picture">
                <pic:nvPicPr>
                  <pic:cNvPr id="38" name="IM 35"/>
                  <pic:cNvPicPr/>
                </pic:nvPicPr>
                <pic:blipFill>
                  <a:blip r:embed="rId1"/>
                  <a:stretch>
                    <a:fillRect/>
                  </a:stretch>
                </pic:blipFill>
                <pic:spPr>
                  <a:xfrm>
                    <a:off x="0" y="0"/>
                    <a:ext cx="5760627" cy="8441"/>
                  </a:xfrm>
                  <a:prstGeom prst="rect">
                    <a:avLst/>
                  </a:prstGeom>
                </pic:spPr>
              </pic:pic>
            </a:graphicData>
          </a:graphic>
        </wp:anchor>
      </w:drawing>
    </w:r>
    <w:r>
      <w:rPr>
        <w:rFonts w:ascii="宋体" w:hAnsi="宋体" w:eastAsia="宋体" w:cs="宋体"/>
        <w:spacing w:val="-1"/>
        <w:sz w:val="18"/>
        <w:szCs w:val="18"/>
      </w:rPr>
      <w:t>北京市政府采购项目公</w:t>
    </w:r>
    <w:r>
      <w:rPr>
        <w:rFonts w:ascii="宋体" w:hAnsi="宋体" w:eastAsia="宋体" w:cs="宋体"/>
        <w:sz w:val="18"/>
        <w:szCs w:val="18"/>
      </w:rPr>
      <w:t>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46A9">
    <w:pPr>
      <w:spacing w:line="219" w:lineRule="auto"/>
      <w:ind w:right="56"/>
      <w:jc w:val="right"/>
      <w:rPr>
        <w:rFonts w:ascii="宋体" w:hAnsi="宋体" w:eastAsia="宋体" w:cs="宋体"/>
        <w:sz w:val="18"/>
        <w:szCs w:val="18"/>
      </w:rPr>
    </w:pPr>
    <w:r>
      <w:drawing>
        <wp:anchor distT="0" distB="0" distL="0" distR="0" simplePos="0" relativeHeight="25166438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43" name="IM 40"/>
          <wp:cNvGraphicFramePr/>
          <a:graphic xmlns:a="http://schemas.openxmlformats.org/drawingml/2006/main">
            <a:graphicData uri="http://schemas.openxmlformats.org/drawingml/2006/picture">
              <pic:pic xmlns:pic="http://schemas.openxmlformats.org/drawingml/2006/picture">
                <pic:nvPicPr>
                  <pic:cNvPr id="43" name="IM 40"/>
                  <pic:cNvPicPr/>
                </pic:nvPicPr>
                <pic:blipFill>
                  <a:blip r:embed="rId1"/>
                  <a:stretch>
                    <a:fillRect/>
                  </a:stretch>
                </pic:blipFill>
                <pic:spPr>
                  <a:xfrm>
                    <a:off x="0" y="0"/>
                    <a:ext cx="5760627" cy="8441"/>
                  </a:xfrm>
                  <a:prstGeom prst="rect">
                    <a:avLst/>
                  </a:prstGeom>
                </pic:spPr>
              </pic:pic>
            </a:graphicData>
          </a:graphic>
        </wp:anchor>
      </w:drawing>
    </w:r>
    <w:r>
      <w:rPr>
        <w:rFonts w:ascii="宋体" w:hAnsi="宋体" w:eastAsia="宋体" w:cs="宋体"/>
        <w:spacing w:val="-1"/>
        <w:sz w:val="18"/>
        <w:szCs w:val="18"/>
      </w:rPr>
      <w:t>北京市政府采购项目公</w:t>
    </w:r>
    <w:r>
      <w:rPr>
        <w:rFonts w:ascii="宋体" w:hAnsi="宋体" w:eastAsia="宋体" w:cs="宋体"/>
        <w:sz w:val="18"/>
        <w:szCs w:val="18"/>
      </w:rPr>
      <w:t>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CBEE">
    <w:pPr>
      <w:pStyle w:val="30"/>
    </w:pPr>
  </w:p>
  <w:p w14:paraId="0BE357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9DC53"/>
    <w:multiLevelType w:val="singleLevel"/>
    <w:tmpl w:val="FC99DC53"/>
    <w:lvl w:ilvl="0" w:tentative="0">
      <w:start w:val="1"/>
      <w:numFmt w:val="decimal"/>
      <w:lvlText w:val="%1."/>
      <w:lvlJc w:val="left"/>
      <w:pPr>
        <w:ind w:left="425" w:hanging="425"/>
      </w:pPr>
      <w:rPr>
        <w:rFonts w:hint="default"/>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3144A2C"/>
    <w:multiLevelType w:val="singleLevel"/>
    <w:tmpl w:val="43144A2C"/>
    <w:lvl w:ilvl="0" w:tentative="0">
      <w:start w:val="2"/>
      <w:numFmt w:val="decimal"/>
      <w:lvlText w:val="%1."/>
      <w:lvlJc w:val="left"/>
      <w:pPr>
        <w:tabs>
          <w:tab w:val="left" w:pos="312"/>
        </w:tabs>
      </w:pPr>
    </w:lvl>
  </w:abstractNum>
  <w:abstractNum w:abstractNumId="1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4"/>
  </w:num>
  <w:num w:numId="9">
    <w:abstractNumId w:val="0"/>
  </w:num>
  <w:num w:numId="10">
    <w:abstractNumId w:val="1"/>
  </w:num>
  <w:num w:numId="11">
    <w:abstractNumId w:val="7"/>
  </w:num>
  <w:num w:numId="12">
    <w:abstractNumId w:val="13"/>
  </w:num>
  <w:num w:numId="13">
    <w:abstractNumId w:val="10"/>
  </w:num>
  <w:num w:numId="14">
    <w:abstractNumId w:val="16"/>
  </w:num>
  <w:num w:numId="15">
    <w:abstractNumId w:val="15"/>
  </w:num>
  <w:num w:numId="16">
    <w:abstractNumId w:val="11"/>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沉浸">
    <w15:presenceInfo w15:providerId="WPS Office" w15:userId="3422758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TY5M2NhN2EyNDQ5N2RmYjQ3ZmU1MDBiNmJiMTk4Mj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5B"/>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40D81"/>
    <w:rsid w:val="03333214"/>
    <w:rsid w:val="03DC4843"/>
    <w:rsid w:val="05025F47"/>
    <w:rsid w:val="05BE1EA3"/>
    <w:rsid w:val="06D62CB4"/>
    <w:rsid w:val="06E62C47"/>
    <w:rsid w:val="0701797F"/>
    <w:rsid w:val="08085CB3"/>
    <w:rsid w:val="08395955"/>
    <w:rsid w:val="08B960C3"/>
    <w:rsid w:val="0A060150"/>
    <w:rsid w:val="0A817B14"/>
    <w:rsid w:val="0B660C1A"/>
    <w:rsid w:val="0C121EF3"/>
    <w:rsid w:val="0C6E7715"/>
    <w:rsid w:val="0CCE4285"/>
    <w:rsid w:val="10286625"/>
    <w:rsid w:val="11601CBA"/>
    <w:rsid w:val="12914860"/>
    <w:rsid w:val="13200693"/>
    <w:rsid w:val="14223741"/>
    <w:rsid w:val="16F22866"/>
    <w:rsid w:val="17F93E0B"/>
    <w:rsid w:val="187670F0"/>
    <w:rsid w:val="1AAF6852"/>
    <w:rsid w:val="1C2B67AD"/>
    <w:rsid w:val="1C455CA5"/>
    <w:rsid w:val="1CDF0421"/>
    <w:rsid w:val="1D2C69D2"/>
    <w:rsid w:val="20733ECA"/>
    <w:rsid w:val="20950206"/>
    <w:rsid w:val="20F47330"/>
    <w:rsid w:val="20F57ACA"/>
    <w:rsid w:val="23795082"/>
    <w:rsid w:val="239E00B4"/>
    <w:rsid w:val="23DE751B"/>
    <w:rsid w:val="251E74A4"/>
    <w:rsid w:val="26543904"/>
    <w:rsid w:val="271B4232"/>
    <w:rsid w:val="27843CE5"/>
    <w:rsid w:val="2C5E6FE5"/>
    <w:rsid w:val="2CF20F8B"/>
    <w:rsid w:val="2D254329"/>
    <w:rsid w:val="2D7A61BD"/>
    <w:rsid w:val="2F20265F"/>
    <w:rsid w:val="3069676E"/>
    <w:rsid w:val="31983D36"/>
    <w:rsid w:val="31AB5D1B"/>
    <w:rsid w:val="32300AE3"/>
    <w:rsid w:val="32EB653A"/>
    <w:rsid w:val="35174982"/>
    <w:rsid w:val="353B5F13"/>
    <w:rsid w:val="36CD22BB"/>
    <w:rsid w:val="36D3520A"/>
    <w:rsid w:val="3854630F"/>
    <w:rsid w:val="391F1878"/>
    <w:rsid w:val="39817213"/>
    <w:rsid w:val="398378A1"/>
    <w:rsid w:val="3A2A8C6C"/>
    <w:rsid w:val="3B3C613D"/>
    <w:rsid w:val="3BCB6780"/>
    <w:rsid w:val="3BD3202C"/>
    <w:rsid w:val="3BD40D23"/>
    <w:rsid w:val="3DDB0D82"/>
    <w:rsid w:val="3EF55FDA"/>
    <w:rsid w:val="3FAF25E6"/>
    <w:rsid w:val="3FF25E1F"/>
    <w:rsid w:val="40C6674B"/>
    <w:rsid w:val="42832E2D"/>
    <w:rsid w:val="42CD0A98"/>
    <w:rsid w:val="431A0C09"/>
    <w:rsid w:val="47957479"/>
    <w:rsid w:val="480E2158"/>
    <w:rsid w:val="4B4F0B9C"/>
    <w:rsid w:val="4B65373A"/>
    <w:rsid w:val="4B7579FC"/>
    <w:rsid w:val="4CA4233D"/>
    <w:rsid w:val="4CC96874"/>
    <w:rsid w:val="4D00163A"/>
    <w:rsid w:val="4D0C50B0"/>
    <w:rsid w:val="4D7B2EBF"/>
    <w:rsid w:val="4D8A3B03"/>
    <w:rsid w:val="4F0F5BE3"/>
    <w:rsid w:val="51A26C9F"/>
    <w:rsid w:val="52422029"/>
    <w:rsid w:val="52783ED9"/>
    <w:rsid w:val="529F24A2"/>
    <w:rsid w:val="55040901"/>
    <w:rsid w:val="557355CF"/>
    <w:rsid w:val="56DF05DE"/>
    <w:rsid w:val="57FC6189"/>
    <w:rsid w:val="57FF774C"/>
    <w:rsid w:val="58860F84"/>
    <w:rsid w:val="5C4222A2"/>
    <w:rsid w:val="5D7E3FFE"/>
    <w:rsid w:val="5DBB0BB4"/>
    <w:rsid w:val="5E5E4943"/>
    <w:rsid w:val="5EB47E0E"/>
    <w:rsid w:val="5F073306"/>
    <w:rsid w:val="5F5F73B9"/>
    <w:rsid w:val="5FA67805"/>
    <w:rsid w:val="5FFF970B"/>
    <w:rsid w:val="603A5F3F"/>
    <w:rsid w:val="60CE3C8F"/>
    <w:rsid w:val="61393C01"/>
    <w:rsid w:val="62A70D07"/>
    <w:rsid w:val="63187E2A"/>
    <w:rsid w:val="63711917"/>
    <w:rsid w:val="655842F3"/>
    <w:rsid w:val="67073990"/>
    <w:rsid w:val="6734105D"/>
    <w:rsid w:val="6838144E"/>
    <w:rsid w:val="687E31AB"/>
    <w:rsid w:val="68AA7398"/>
    <w:rsid w:val="692132AD"/>
    <w:rsid w:val="69B55D5F"/>
    <w:rsid w:val="6B3C40F1"/>
    <w:rsid w:val="6D627E4B"/>
    <w:rsid w:val="6E121024"/>
    <w:rsid w:val="6F113E53"/>
    <w:rsid w:val="6F2F210F"/>
    <w:rsid w:val="705120FE"/>
    <w:rsid w:val="724D41D7"/>
    <w:rsid w:val="72CC7C01"/>
    <w:rsid w:val="73AB277F"/>
    <w:rsid w:val="73D24373"/>
    <w:rsid w:val="73DF3B98"/>
    <w:rsid w:val="742C597A"/>
    <w:rsid w:val="74944905"/>
    <w:rsid w:val="7551460F"/>
    <w:rsid w:val="773109EF"/>
    <w:rsid w:val="7771BBCC"/>
    <w:rsid w:val="77FFCD45"/>
    <w:rsid w:val="7ABE2CDE"/>
    <w:rsid w:val="7B0E1F59"/>
    <w:rsid w:val="7B7D757C"/>
    <w:rsid w:val="7BFFB9B2"/>
    <w:rsid w:val="7CB53A7A"/>
    <w:rsid w:val="7D4D169E"/>
    <w:rsid w:val="7D7FE227"/>
    <w:rsid w:val="7EA100F1"/>
    <w:rsid w:val="7EAF349D"/>
    <w:rsid w:val="7FDE856F"/>
    <w:rsid w:val="7FF71083"/>
    <w:rsid w:val="CF8C78CB"/>
    <w:rsid w:val="D0BF1688"/>
    <w:rsid w:val="D37EEAC0"/>
    <w:rsid w:val="D9FF5538"/>
    <w:rsid w:val="EAFF0DE5"/>
    <w:rsid w:val="EF37061D"/>
    <w:rsid w:val="FAFD4527"/>
    <w:rsid w:val="FEFF3C84"/>
    <w:rsid w:val="FFF9A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5"/>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next w:val="18"/>
    <w:link w:val="240"/>
    <w:qFormat/>
    <w:uiPriority w:val="0"/>
    <w:pPr>
      <w:tabs>
        <w:tab w:val="left" w:pos="567"/>
      </w:tabs>
      <w:spacing w:before="120" w:line="22" w:lineRule="atLeast"/>
    </w:pPr>
    <w:rPr>
      <w:rFonts w:ascii="宋体" w:hAnsi="宋体"/>
      <w:sz w:val="24"/>
    </w:rPr>
  </w:style>
  <w:style w:type="paragraph" w:customStyle="1" w:styleId="18">
    <w:name w:val="Intense Quote"/>
    <w:next w:val="1"/>
    <w:qFormat/>
    <w:uiPriority w:val="0"/>
    <w:pPr>
      <w:wordWrap w:val="0"/>
      <w:spacing w:before="360" w:after="360"/>
      <w:ind w:left="950" w:right="950"/>
      <w:jc w:val="center"/>
    </w:pPr>
    <w:rPr>
      <w:rFonts w:ascii="宋体" w:hAnsi="宋体" w:eastAsia="Times New Roman" w:cs="Times New Roman"/>
      <w:i/>
      <w:sz w:val="21"/>
      <w:szCs w:val="22"/>
      <w:lang w:val="en-US" w:eastAsia="zh-CN" w:bidi="ar-SA"/>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1"/>
    <w:qFormat/>
    <w:uiPriority w:val="0"/>
    <w:pPr>
      <w:jc w:val="center"/>
      <w:outlineLvl w:val="0"/>
    </w:pPr>
    <w:rPr>
      <w:b/>
      <w:sz w:val="32"/>
      <w:szCs w:val="20"/>
    </w:rPr>
  </w:style>
  <w:style w:type="paragraph" w:styleId="41">
    <w:name w:val="annotation subject"/>
    <w:basedOn w:val="15"/>
    <w:next w:val="15"/>
    <w:link w:val="246"/>
    <w:qFormat/>
    <w:uiPriority w:val="0"/>
    <w:rPr>
      <w:b/>
      <w:bCs/>
    </w:rPr>
  </w:style>
  <w:style w:type="paragraph" w:styleId="42">
    <w:name w:val="Body Text First Indent 2"/>
    <w:basedOn w:val="19"/>
    <w:link w:val="247"/>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3 Char"/>
    <w:qFormat/>
    <w:uiPriority w:val="0"/>
    <w:rPr>
      <w:rFonts w:ascii="宋体" w:eastAsia="宋体"/>
      <w:b/>
      <w:sz w:val="24"/>
      <w:u w:val="single"/>
      <w:lang w:val="en-US" w:eastAsia="zh-CN" w:bidi="ar-SA"/>
    </w:rPr>
  </w:style>
  <w:style w:type="paragraph" w:customStyle="1" w:styleId="55">
    <w:name w:val="样式1"/>
    <w:basedOn w:val="2"/>
    <w:qFormat/>
    <w:uiPriority w:val="99"/>
    <w:pPr>
      <w:tabs>
        <w:tab w:val="left" w:pos="1418"/>
      </w:tabs>
      <w:spacing w:line="400" w:lineRule="exact"/>
    </w:pPr>
    <w:rPr>
      <w:rFonts w:ascii="黑体" w:hAnsi="黑体"/>
      <w:szCs w:val="32"/>
    </w:rPr>
  </w:style>
  <w:style w:type="paragraph" w:customStyle="1" w:styleId="56">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6"/>
    <w:qFormat/>
    <w:uiPriority w:val="0"/>
  </w:style>
  <w:style w:type="character" w:customStyle="1" w:styleId="64">
    <w:name w:val="locality"/>
    <w:basedOn w:val="46"/>
    <w:qFormat/>
    <w:uiPriority w:val="0"/>
  </w:style>
  <w:style w:type="character" w:customStyle="1" w:styleId="65">
    <w:name w:val="正文缩进 字符"/>
    <w:link w:val="12"/>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0"/>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9"/>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12"/>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12"/>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0"/>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6"/>
    <w:link w:val="24"/>
    <w:qFormat/>
    <w:uiPriority w:val="0"/>
    <w:rPr>
      <w:rFonts w:hint="eastAsia" w:ascii="宋体" w:hAnsi="Courier New" w:eastAsia="宋体" w:cs="宋体"/>
      <w:kern w:val="2"/>
      <w:sz w:val="21"/>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6"/>
    <w:link w:val="2"/>
    <w:qFormat/>
    <w:uiPriority w:val="0"/>
    <w:rPr>
      <w:rFonts w:ascii="宋体"/>
      <w:b/>
      <w:kern w:val="44"/>
      <w:sz w:val="32"/>
    </w:rPr>
  </w:style>
  <w:style w:type="character" w:customStyle="1" w:styleId="232">
    <w:name w:val="标题 4 字符"/>
    <w:basedOn w:val="46"/>
    <w:link w:val="5"/>
    <w:qFormat/>
    <w:uiPriority w:val="0"/>
    <w:rPr>
      <w:sz w:val="24"/>
    </w:rPr>
  </w:style>
  <w:style w:type="character" w:customStyle="1" w:styleId="233">
    <w:name w:val="标题 5 字符"/>
    <w:basedOn w:val="46"/>
    <w:link w:val="6"/>
    <w:qFormat/>
    <w:uiPriority w:val="0"/>
    <w:rPr>
      <w:b/>
      <w:sz w:val="28"/>
    </w:rPr>
  </w:style>
  <w:style w:type="character" w:customStyle="1" w:styleId="234">
    <w:name w:val="标题 6 字符"/>
    <w:basedOn w:val="46"/>
    <w:link w:val="7"/>
    <w:qFormat/>
    <w:uiPriority w:val="0"/>
    <w:rPr>
      <w:rFonts w:ascii="Arial" w:hAnsi="Arial" w:eastAsia="黑体"/>
      <w:b/>
      <w:sz w:val="24"/>
    </w:rPr>
  </w:style>
  <w:style w:type="character" w:customStyle="1" w:styleId="235">
    <w:name w:val="标题 7 字符"/>
    <w:basedOn w:val="46"/>
    <w:link w:val="8"/>
    <w:qFormat/>
    <w:uiPriority w:val="0"/>
    <w:rPr>
      <w:b/>
      <w:sz w:val="24"/>
    </w:rPr>
  </w:style>
  <w:style w:type="character" w:customStyle="1" w:styleId="236">
    <w:name w:val="标题 8 字符"/>
    <w:basedOn w:val="46"/>
    <w:link w:val="9"/>
    <w:qFormat/>
    <w:uiPriority w:val="0"/>
    <w:rPr>
      <w:rFonts w:ascii="Arial" w:hAnsi="Arial" w:eastAsia="黑体"/>
      <w:sz w:val="24"/>
    </w:rPr>
  </w:style>
  <w:style w:type="character" w:customStyle="1" w:styleId="237">
    <w:name w:val="标题 9 字符"/>
    <w:basedOn w:val="46"/>
    <w:link w:val="10"/>
    <w:qFormat/>
    <w:uiPriority w:val="0"/>
    <w:rPr>
      <w:rFonts w:ascii="Arial" w:hAnsi="Arial" w:eastAsia="黑体"/>
      <w:sz w:val="21"/>
    </w:rPr>
  </w:style>
  <w:style w:type="character" w:customStyle="1" w:styleId="238">
    <w:name w:val="文档结构图 字符"/>
    <w:basedOn w:val="46"/>
    <w:link w:val="14"/>
    <w:qFormat/>
    <w:uiPriority w:val="0"/>
    <w:rPr>
      <w:kern w:val="2"/>
      <w:sz w:val="21"/>
      <w:szCs w:val="24"/>
      <w:shd w:val="clear" w:color="auto" w:fill="000080"/>
    </w:rPr>
  </w:style>
  <w:style w:type="character" w:customStyle="1" w:styleId="239">
    <w:name w:val="正文文本 3 字符"/>
    <w:basedOn w:val="46"/>
    <w:link w:val="16"/>
    <w:qFormat/>
    <w:uiPriority w:val="0"/>
    <w:rPr>
      <w:kern w:val="2"/>
      <w:sz w:val="16"/>
      <w:szCs w:val="16"/>
    </w:rPr>
  </w:style>
  <w:style w:type="character" w:customStyle="1" w:styleId="240">
    <w:name w:val="正文文本 字符"/>
    <w:basedOn w:val="46"/>
    <w:link w:val="17"/>
    <w:qFormat/>
    <w:uiPriority w:val="0"/>
    <w:rPr>
      <w:rFonts w:ascii="宋体" w:hAnsi="宋体"/>
      <w:kern w:val="2"/>
      <w:sz w:val="24"/>
      <w:szCs w:val="24"/>
    </w:rPr>
  </w:style>
  <w:style w:type="character" w:customStyle="1" w:styleId="241">
    <w:name w:val="日期 字符"/>
    <w:basedOn w:val="46"/>
    <w:link w:val="26"/>
    <w:qFormat/>
    <w:uiPriority w:val="0"/>
    <w:rPr>
      <w:rFonts w:ascii="仿宋_GB2312" w:hAnsi="宋体" w:eastAsia="仿宋_GB2312"/>
      <w:color w:val="000000"/>
      <w:kern w:val="2"/>
      <w:sz w:val="24"/>
      <w:szCs w:val="24"/>
    </w:rPr>
  </w:style>
  <w:style w:type="character" w:customStyle="1" w:styleId="242">
    <w:name w:val="正文文本缩进 2 字符"/>
    <w:basedOn w:val="46"/>
    <w:link w:val="27"/>
    <w:qFormat/>
    <w:uiPriority w:val="0"/>
    <w:rPr>
      <w:rFonts w:ascii="仿宋_GB2312" w:eastAsia="仿宋_GB2312"/>
      <w:kern w:val="2"/>
      <w:sz w:val="24"/>
      <w:szCs w:val="24"/>
    </w:rPr>
  </w:style>
  <w:style w:type="character" w:customStyle="1" w:styleId="243">
    <w:name w:val="批注框文本 字符"/>
    <w:basedOn w:val="46"/>
    <w:link w:val="28"/>
    <w:qFormat/>
    <w:uiPriority w:val="0"/>
    <w:rPr>
      <w:kern w:val="2"/>
      <w:sz w:val="18"/>
      <w:szCs w:val="18"/>
    </w:rPr>
  </w:style>
  <w:style w:type="character" w:customStyle="1" w:styleId="244">
    <w:name w:val="正文文本缩进 3 字符"/>
    <w:basedOn w:val="46"/>
    <w:link w:val="34"/>
    <w:qFormat/>
    <w:uiPriority w:val="0"/>
    <w:rPr>
      <w:rFonts w:ascii="宋体"/>
      <w:sz w:val="24"/>
    </w:rPr>
  </w:style>
  <w:style w:type="character" w:customStyle="1" w:styleId="245">
    <w:name w:val="HTML 预设格式 字符"/>
    <w:basedOn w:val="46"/>
    <w:link w:val="37"/>
    <w:qFormat/>
    <w:uiPriority w:val="0"/>
    <w:rPr>
      <w:rFonts w:ascii="宋体" w:hAnsi="宋体" w:cs="宋体"/>
      <w:sz w:val="24"/>
      <w:szCs w:val="24"/>
    </w:rPr>
  </w:style>
  <w:style w:type="character" w:customStyle="1" w:styleId="246">
    <w:name w:val="批注主题 字符"/>
    <w:basedOn w:val="197"/>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70"/>
    <w:link w:val="42"/>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unhideWhenUsed/>
    <w:qFormat/>
    <w:uiPriority w:val="0"/>
    <w:tblPr>
      <w:tblCellMar>
        <w:top w:w="0" w:type="dxa"/>
        <w:left w:w="0" w:type="dxa"/>
        <w:bottom w:w="0" w:type="dxa"/>
        <w:right w:w="0" w:type="dxa"/>
      </w:tblCellMar>
    </w:tblPr>
  </w:style>
  <w:style w:type="paragraph" w:customStyle="1" w:styleId="252">
    <w:name w:val="0"/>
    <w:basedOn w:val="1"/>
    <w:qFormat/>
    <w:uiPriority w:val="0"/>
    <w:pPr>
      <w:widowControl/>
      <w:snapToGrid w:val="0"/>
      <w:spacing w:before="156" w:after="156" w:line="360" w:lineRule="auto"/>
    </w:pPr>
    <w:rPr>
      <w:kern w:val="0"/>
      <w:sz w:val="24"/>
    </w:rPr>
  </w:style>
  <w:style w:type="character" w:customStyle="1" w:styleId="253">
    <w:name w:val="font11"/>
    <w:qFormat/>
    <w:uiPriority w:val="0"/>
    <w:rPr>
      <w:rFonts w:hint="eastAsia" w:ascii="宋体" w:hAnsi="宋体" w:eastAsia="宋体" w:cs="宋体"/>
      <w:b/>
      <w:bCs/>
      <w:color w:val="000000"/>
      <w:sz w:val="24"/>
      <w:szCs w:val="24"/>
      <w:u w:val="none"/>
    </w:rPr>
  </w:style>
  <w:style w:type="character" w:customStyle="1" w:styleId="254">
    <w:name w:val="font41"/>
    <w:qFormat/>
    <w:uiPriority w:val="0"/>
    <w:rPr>
      <w:rFonts w:hint="eastAsia" w:ascii="宋体" w:hAnsi="宋体" w:eastAsia="宋体" w:cs="宋体"/>
      <w:color w:val="000000"/>
      <w:sz w:val="24"/>
      <w:szCs w:val="24"/>
      <w:u w:val="none"/>
    </w:rPr>
  </w:style>
  <w:style w:type="character" w:customStyle="1" w:styleId="255">
    <w:name w:val="font51"/>
    <w:qFormat/>
    <w:uiPriority w:val="0"/>
    <w:rPr>
      <w:rFonts w:hint="eastAsia" w:ascii="宋体" w:hAnsi="宋体" w:eastAsia="宋体" w:cs="宋体"/>
      <w:color w:val="000000"/>
      <w:sz w:val="24"/>
      <w:szCs w:val="24"/>
      <w:u w:val="none"/>
    </w:rPr>
  </w:style>
  <w:style w:type="character" w:customStyle="1" w:styleId="256">
    <w:name w:val="not([class*=suffix])"/>
    <w:basedOn w:val="46"/>
    <w:qFormat/>
    <w:uiPriority w:val="0"/>
  </w:style>
  <w:style w:type="character" w:customStyle="1" w:styleId="257">
    <w:name w:val="not([class*=suffix])1"/>
    <w:basedOn w:val="46"/>
    <w:qFormat/>
    <w:uiPriority w:val="0"/>
    <w:rPr>
      <w:sz w:val="15"/>
      <w:szCs w:val="15"/>
    </w:rPr>
  </w:style>
  <w:style w:type="paragraph" w:customStyle="1" w:styleId="258">
    <w:name w:val="_Style 13"/>
    <w:qFormat/>
    <w:uiPriority w:val="0"/>
    <w:pPr>
      <w:spacing w:before="120" w:after="120" w:line="288" w:lineRule="auto"/>
      <w:ind w:left="0"/>
      <w:jc w:val="left"/>
    </w:pPr>
    <w:rPr>
      <w:rFonts w:ascii="Arial" w:hAnsi="Arial" w:eastAsia="等线" w:cs="Arial"/>
      <w:sz w:val="22"/>
      <w:szCs w:val="22"/>
    </w:rPr>
  </w:style>
  <w:style w:type="paragraph" w:customStyle="1" w:styleId="259">
    <w:name w:val="列出段落3"/>
    <w:basedOn w:val="1"/>
    <w:qFormat/>
    <w:uiPriority w:val="99"/>
    <w:pPr>
      <w:ind w:firstLine="420" w:firstLineChars="200"/>
    </w:pPr>
    <w:rPr>
      <w:szCs w:val="22"/>
    </w:rPr>
  </w:style>
  <w:style w:type="paragraph" w:customStyle="1" w:styleId="260">
    <w:name w:val="明显引用1"/>
    <w:next w:val="1"/>
    <w:qFormat/>
    <w:uiPriority w:val="0"/>
    <w:pPr>
      <w:wordWrap w:val="0"/>
      <w:spacing w:before="360" w:after="360"/>
      <w:ind w:left="950" w:right="950"/>
      <w:jc w:val="center"/>
    </w:pPr>
    <w:rPr>
      <w:rFonts w:ascii="宋体" w:hAnsi="宋体" w:eastAsia="Times New Roman"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png"/><Relationship Id="rId27" Type="http://schemas.openxmlformats.org/officeDocument/2006/relationships/image" Target="media/image2.jpe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106</Pages>
  <Words>16824</Words>
  <Characters>18148</Characters>
  <Lines>239</Lines>
  <Paragraphs>67</Paragraphs>
  <TotalTime>50</TotalTime>
  <ScaleCrop>false</ScaleCrop>
  <LinksUpToDate>false</LinksUpToDate>
  <CharactersWithSpaces>18308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2023-06-09T22:39:00Z</dcterms:created>
  <dc:creator>尹皓</dc:creator>
  <cp:lastModifiedBy>余白</cp:lastModifiedBy>
  <cp:lastPrinted>2020-04-02T19:13:00Z</cp:lastPrinted>
  <dcterms:modified xsi:type="dcterms:W3CDTF">2026-04-30T05:44:00Z</dcterms:modified>
  <dc:title>政府采购示范文本（2023）</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14EBD9BBA65E463F8769A07B7777FD0D_13</vt:lpwstr>
  </property>
  <property fmtid="{D5CDD505-2E9C-101B-9397-08002B2CF9AE}" pid="3" name="KSOProductBuildVer">
    <vt:lpwstr>2052-12.1.0.25225</vt:lpwstr>
  </property>
  <property fmtid="{D5CDD505-2E9C-101B-9397-08002B2CF9AE}" pid="4" name="KSOTemplateDocerSaveRecord">
    <vt:lpwstr>eyJoZGlkIjoiM2IyZmM3ZWNhYjE5NDE5ZjZkMzI4ZTllZGJjMGM5YjUiLCJ1c2VySWQiOiIzOTY2ODEzNzgifQ==</vt:lpwstr>
  </property>
</Properties>
</file>