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560" w:lineRule="exact"/>
        <w:jc w:val="center"/>
        <w:rPr>
          <w:rFonts w:ascii="黑体" w:hAnsi="黑体" w:eastAsia="黑体"/>
          <w:b/>
          <w:sz w:val="24"/>
          <w:szCs w:val="24"/>
        </w:rPr>
      </w:pPr>
      <w:bookmarkStart w:id="0" w:name="_Toc102995502"/>
    </w:p>
    <w:p>
      <w:pPr>
        <w:adjustRightInd w:val="0"/>
        <w:spacing w:line="560" w:lineRule="exact"/>
        <w:jc w:val="center"/>
        <w:rPr>
          <w:rFonts w:ascii="黑体" w:hAnsi="黑体" w:eastAsia="黑体"/>
          <w:b/>
          <w:sz w:val="24"/>
          <w:szCs w:val="24"/>
        </w:rPr>
      </w:pPr>
    </w:p>
    <w:p>
      <w:pPr>
        <w:adjustRightInd w:val="0"/>
        <w:spacing w:line="560" w:lineRule="exact"/>
        <w:jc w:val="center"/>
        <w:rPr>
          <w:rFonts w:ascii="黑体" w:hAnsi="黑体" w:eastAsia="黑体"/>
          <w:sz w:val="52"/>
          <w:szCs w:val="52"/>
          <w:lang w:val="zh-CN"/>
        </w:rPr>
      </w:pPr>
    </w:p>
    <w:p>
      <w:pPr>
        <w:adjustRightInd w:val="0"/>
        <w:snapToGrid w:val="0"/>
        <w:spacing w:line="360" w:lineRule="auto"/>
        <w:jc w:val="center"/>
        <w:rPr>
          <w:rFonts w:ascii="宋体" w:hAnsi="宋体" w:eastAsia="宋体" w:cs="黑体"/>
          <w:b/>
          <w:bCs/>
          <w:sz w:val="72"/>
          <w:szCs w:val="72"/>
        </w:rPr>
      </w:pPr>
      <w:r>
        <w:rPr>
          <w:rFonts w:hint="eastAsia" w:ascii="宋体" w:hAnsi="宋体" w:eastAsia="宋体" w:cs="黑体"/>
          <w:b/>
          <w:bCs/>
          <w:sz w:val="72"/>
          <w:szCs w:val="72"/>
        </w:rPr>
        <w:t>202</w:t>
      </w:r>
      <w:r>
        <w:rPr>
          <w:rFonts w:hint="eastAsia" w:ascii="宋体" w:hAnsi="宋体" w:eastAsia="宋体" w:cs="黑体"/>
          <w:b/>
          <w:bCs/>
          <w:sz w:val="72"/>
          <w:szCs w:val="72"/>
          <w:lang w:val="en-US" w:eastAsia="zh-CN"/>
        </w:rPr>
        <w:t>4</w:t>
      </w:r>
      <w:r>
        <w:rPr>
          <w:rFonts w:hint="eastAsia" w:ascii="宋体" w:hAnsi="宋体" w:eastAsia="宋体" w:cs="黑体"/>
          <w:b/>
          <w:bCs/>
          <w:sz w:val="72"/>
          <w:szCs w:val="72"/>
        </w:rPr>
        <w:t>年部门整体</w:t>
      </w:r>
    </w:p>
    <w:p>
      <w:pPr>
        <w:adjustRightInd w:val="0"/>
        <w:snapToGrid w:val="0"/>
        <w:spacing w:line="360" w:lineRule="auto"/>
        <w:jc w:val="center"/>
        <w:rPr>
          <w:rFonts w:ascii="宋体" w:hAnsi="宋体" w:eastAsia="宋体" w:cs="黑体"/>
          <w:b/>
          <w:bCs/>
          <w:sz w:val="72"/>
          <w:szCs w:val="72"/>
        </w:rPr>
      </w:pPr>
      <w:r>
        <w:rPr>
          <w:rFonts w:hint="eastAsia" w:ascii="宋体" w:hAnsi="宋体" w:eastAsia="宋体" w:cs="黑体"/>
          <w:b/>
          <w:bCs/>
          <w:sz w:val="72"/>
          <w:szCs w:val="72"/>
        </w:rPr>
        <w:t>绩效评价报告</w:t>
      </w:r>
    </w:p>
    <w:p>
      <w:pPr>
        <w:adjustRightInd w:val="0"/>
        <w:spacing w:line="560" w:lineRule="exact"/>
        <w:jc w:val="center"/>
        <w:rPr>
          <w:rFonts w:ascii="黑体" w:hAnsi="黑体" w:eastAsia="黑体"/>
          <w:b/>
          <w:sz w:val="72"/>
          <w:szCs w:val="72"/>
          <w:lang w:val="zh-CN"/>
        </w:rPr>
      </w:pPr>
    </w:p>
    <w:p>
      <w:pPr>
        <w:adjustRightInd w:val="0"/>
        <w:spacing w:line="560" w:lineRule="exact"/>
        <w:jc w:val="center"/>
        <w:rPr>
          <w:rFonts w:ascii="黑体" w:hAnsi="黑体" w:eastAsia="黑体"/>
          <w:sz w:val="30"/>
          <w:szCs w:val="30"/>
          <w:lang w:val="zh-CN"/>
        </w:rPr>
      </w:pPr>
    </w:p>
    <w:p>
      <w:pPr>
        <w:adjustRightInd w:val="0"/>
        <w:spacing w:line="560" w:lineRule="exact"/>
        <w:jc w:val="left"/>
        <w:rPr>
          <w:rFonts w:ascii="黑体" w:hAnsi="黑体" w:eastAsia="黑体"/>
          <w:sz w:val="30"/>
          <w:szCs w:val="30"/>
          <w:lang w:val="zh-CN"/>
        </w:rPr>
      </w:pPr>
    </w:p>
    <w:p>
      <w:pPr>
        <w:adjustRightInd w:val="0"/>
        <w:spacing w:line="560" w:lineRule="exact"/>
        <w:jc w:val="left"/>
        <w:rPr>
          <w:rFonts w:ascii="黑体" w:hAnsi="黑体" w:eastAsia="黑体"/>
          <w:sz w:val="30"/>
          <w:szCs w:val="30"/>
          <w:lang w:val="zh-CN"/>
        </w:rPr>
      </w:pPr>
    </w:p>
    <w:p>
      <w:pPr>
        <w:adjustRightInd w:val="0"/>
        <w:spacing w:line="560" w:lineRule="exact"/>
        <w:jc w:val="left"/>
        <w:rPr>
          <w:rFonts w:ascii="黑体" w:hAnsi="黑体" w:eastAsia="黑体"/>
          <w:sz w:val="30"/>
          <w:szCs w:val="30"/>
          <w:lang w:val="zh-CN"/>
        </w:rPr>
      </w:pPr>
    </w:p>
    <w:p>
      <w:pPr>
        <w:adjustRightInd w:val="0"/>
        <w:spacing w:line="560" w:lineRule="exact"/>
        <w:jc w:val="left"/>
        <w:rPr>
          <w:rFonts w:ascii="黑体" w:hAnsi="黑体" w:eastAsia="黑体"/>
          <w:sz w:val="30"/>
          <w:szCs w:val="30"/>
          <w:lang w:val="zh-CN"/>
        </w:rPr>
      </w:pPr>
    </w:p>
    <w:p>
      <w:pPr>
        <w:adjustRightInd w:val="0"/>
        <w:spacing w:line="560" w:lineRule="exact"/>
        <w:jc w:val="left"/>
        <w:rPr>
          <w:rFonts w:ascii="黑体" w:hAnsi="黑体" w:eastAsia="黑体"/>
          <w:sz w:val="30"/>
          <w:szCs w:val="30"/>
          <w:lang w:val="zh-CN"/>
        </w:rPr>
      </w:pPr>
    </w:p>
    <w:p>
      <w:pPr>
        <w:adjustRightInd w:val="0"/>
        <w:spacing w:line="560" w:lineRule="exact"/>
        <w:jc w:val="left"/>
        <w:rPr>
          <w:rFonts w:ascii="黑体" w:hAnsi="黑体" w:eastAsia="黑体"/>
          <w:sz w:val="30"/>
          <w:szCs w:val="30"/>
          <w:lang w:val="zh-CN"/>
        </w:rPr>
      </w:pPr>
    </w:p>
    <w:p>
      <w:pPr>
        <w:pStyle w:val="10"/>
        <w:adjustRightInd w:val="0"/>
        <w:snapToGrid/>
        <w:spacing w:line="560" w:lineRule="exact"/>
        <w:rPr>
          <w:lang w:val="zh-CN"/>
        </w:rPr>
      </w:pPr>
    </w:p>
    <w:p>
      <w:pPr>
        <w:adjustRightInd w:val="0"/>
        <w:spacing w:line="560" w:lineRule="exact"/>
        <w:jc w:val="left"/>
        <w:rPr>
          <w:rFonts w:ascii="黑体" w:hAnsi="黑体" w:eastAsia="黑体"/>
          <w:sz w:val="30"/>
          <w:szCs w:val="30"/>
          <w:lang w:val="zh-CN"/>
        </w:rPr>
      </w:pPr>
    </w:p>
    <w:p>
      <w:pPr>
        <w:adjustRightInd w:val="0"/>
        <w:spacing w:line="560" w:lineRule="exact"/>
        <w:jc w:val="left"/>
        <w:rPr>
          <w:rFonts w:ascii="黑体" w:hAnsi="黑体" w:eastAsia="黑体"/>
          <w:sz w:val="30"/>
          <w:szCs w:val="30"/>
          <w:lang w:val="zh-CN"/>
        </w:rPr>
      </w:pPr>
    </w:p>
    <w:p>
      <w:pPr>
        <w:adjustRightInd w:val="0"/>
        <w:spacing w:line="560" w:lineRule="exact"/>
        <w:jc w:val="center"/>
        <w:rPr>
          <w:rFonts w:ascii="楷体" w:hAnsi="楷体" w:eastAsia="楷体" w:cs="楷体"/>
          <w:b/>
          <w:sz w:val="44"/>
          <w:szCs w:val="44"/>
        </w:rPr>
      </w:pPr>
    </w:p>
    <w:p>
      <w:pPr>
        <w:pStyle w:val="10"/>
        <w:adjustRightInd w:val="0"/>
        <w:snapToGrid/>
        <w:spacing w:line="560" w:lineRule="exact"/>
      </w:pPr>
    </w:p>
    <w:p>
      <w:pPr>
        <w:adjustRightInd w:val="0"/>
        <w:spacing w:line="560" w:lineRule="exact"/>
        <w:jc w:val="center"/>
        <w:rPr>
          <w:rFonts w:ascii="仿宋_GB2312" w:hAnsi="楷体_GB2312" w:eastAsia="仿宋_GB2312" w:cs="楷体_GB2312"/>
          <w:b/>
          <w:sz w:val="32"/>
          <w:szCs w:val="32"/>
          <w:lang w:val="zh-CN"/>
        </w:rPr>
      </w:pPr>
      <w:r>
        <w:rPr>
          <w:rFonts w:hint="eastAsia" w:ascii="仿宋_GB2312" w:hAnsi="楷体_GB2312" w:eastAsia="仿宋_GB2312" w:cs="楷体_GB2312"/>
          <w:b/>
          <w:sz w:val="32"/>
          <w:szCs w:val="32"/>
          <w:lang w:val="zh-CN"/>
        </w:rPr>
        <w:t>北京市人力资源和社会保障局</w:t>
      </w:r>
    </w:p>
    <w:p>
      <w:pPr>
        <w:adjustRightInd w:val="0"/>
        <w:spacing w:line="560" w:lineRule="exact"/>
        <w:jc w:val="center"/>
        <w:rPr>
          <w:rFonts w:ascii="仿宋_GB2312" w:hAnsi="楷体_GB2312" w:eastAsia="仿宋_GB2312" w:cs="楷体_GB2312"/>
          <w:b/>
          <w:sz w:val="32"/>
          <w:szCs w:val="32"/>
        </w:rPr>
      </w:pPr>
      <w:r>
        <w:rPr>
          <w:rFonts w:hint="eastAsia" w:ascii="仿宋_GB2312" w:hAnsi="楷体_GB2312" w:eastAsia="仿宋_GB2312" w:cs="楷体_GB2312"/>
          <w:b/>
          <w:sz w:val="32"/>
          <w:szCs w:val="32"/>
        </w:rPr>
        <w:t>202</w:t>
      </w:r>
      <w:r>
        <w:rPr>
          <w:rFonts w:hint="eastAsia" w:ascii="仿宋_GB2312" w:hAnsi="楷体_GB2312" w:eastAsia="仿宋_GB2312" w:cs="楷体_GB2312"/>
          <w:b/>
          <w:sz w:val="32"/>
          <w:szCs w:val="32"/>
          <w:lang w:val="en-US" w:eastAsia="zh-CN"/>
        </w:rPr>
        <w:t>5</w:t>
      </w:r>
      <w:r>
        <w:rPr>
          <w:rFonts w:hint="eastAsia" w:ascii="仿宋_GB2312" w:hAnsi="楷体_GB2312" w:eastAsia="仿宋_GB2312" w:cs="楷体_GB2312"/>
          <w:b/>
          <w:sz w:val="32"/>
          <w:szCs w:val="32"/>
        </w:rPr>
        <w:t>年5月</w:t>
      </w:r>
    </w:p>
    <w:p>
      <w:pPr>
        <w:adjustRightInd w:val="0"/>
        <w:spacing w:line="560" w:lineRule="exact"/>
        <w:rPr>
          <w:rFonts w:ascii="仿宋" w:hAnsi="仿宋" w:eastAsia="仿宋" w:cs="仿宋"/>
          <w:sz w:val="30"/>
          <w:szCs w:val="30"/>
        </w:rPr>
        <w:sectPr>
          <w:pgSz w:w="11906" w:h="16838"/>
          <w:pgMar w:top="1440" w:right="1800" w:bottom="1440" w:left="1800" w:header="851" w:footer="992" w:gutter="0"/>
          <w:pgNumType w:fmt="decimal"/>
          <w:cols w:space="720" w:num="1"/>
          <w:docGrid w:type="lines" w:linePitch="312" w:charSpace="0"/>
        </w:sectPr>
      </w:pPr>
    </w:p>
    <w:sdt>
      <w:sdtPr>
        <w:rPr>
          <w:rFonts w:asciiTheme="minorHAnsi" w:hAnsiTheme="minorHAnsi" w:eastAsiaTheme="minorEastAsia" w:cstheme="minorBidi"/>
          <w:b w:val="0"/>
          <w:bCs w:val="0"/>
          <w:color w:val="auto"/>
          <w:kern w:val="2"/>
          <w:sz w:val="21"/>
          <w:szCs w:val="22"/>
          <w:lang w:val="zh-CN"/>
        </w:rPr>
        <w:id w:val="81109857"/>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zh-CN"/>
        </w:rPr>
      </w:sdtEndPr>
      <w:sdtContent>
        <w:p>
          <w:pPr>
            <w:pStyle w:val="23"/>
            <w:jc w:val="center"/>
            <w:rPr>
              <w:lang w:val="zh-CN"/>
            </w:rPr>
          </w:pPr>
          <w:r>
            <w:rPr>
              <w:rFonts w:ascii="宋体" w:hAnsi="宋体" w:eastAsia="宋体"/>
              <w:color w:val="auto"/>
              <w:sz w:val="44"/>
              <w:szCs w:val="44"/>
              <w:lang w:val="zh-CN"/>
            </w:rPr>
            <w:t>目</w:t>
          </w:r>
          <w:r>
            <w:rPr>
              <w:rFonts w:hint="eastAsia" w:ascii="宋体" w:hAnsi="宋体" w:eastAsia="宋体"/>
              <w:color w:val="auto"/>
              <w:sz w:val="44"/>
              <w:szCs w:val="44"/>
              <w:lang w:val="zh-CN"/>
            </w:rPr>
            <w:t xml:space="preserve"> </w:t>
          </w:r>
          <w:r>
            <w:rPr>
              <w:rFonts w:ascii="宋体" w:hAnsi="宋体" w:eastAsia="宋体"/>
              <w:color w:val="auto"/>
              <w:sz w:val="44"/>
              <w:szCs w:val="44"/>
              <w:lang w:val="zh-CN"/>
            </w:rPr>
            <w:t>录</w:t>
          </w:r>
        </w:p>
        <w:p>
          <w:pPr>
            <w:pStyle w:val="12"/>
            <w:keepNext w:val="0"/>
            <w:keepLines w:val="0"/>
            <w:pageBreakBefore w:val="0"/>
            <w:widowControl w:val="0"/>
            <w:tabs>
              <w:tab w:val="right" w:leader="middleDot" w:pos="8548"/>
            </w:tabs>
            <w:kinsoku/>
            <w:wordWrap/>
            <w:overflowPunct/>
            <w:topLinePunct w:val="0"/>
            <w:autoSpaceDE/>
            <w:autoSpaceDN/>
            <w:bidi w:val="0"/>
            <w:adjustRightInd/>
            <w:snapToGrid/>
            <w:textAlignment w:val="auto"/>
            <w:rPr>
              <w:sz w:val="30"/>
              <w:szCs w:val="30"/>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rPr>
              <w:rFonts w:hint="eastAsia" w:ascii="仿宋_GB2312" w:eastAsia="仿宋_GB2312"/>
              <w:sz w:val="30"/>
              <w:szCs w:val="30"/>
            </w:rPr>
            <w:fldChar w:fldCharType="begin"/>
          </w:r>
          <w:r>
            <w:rPr>
              <w:rFonts w:hint="eastAsia" w:ascii="仿宋_GB2312" w:eastAsia="仿宋_GB2312"/>
              <w:sz w:val="30"/>
              <w:szCs w:val="30"/>
            </w:rPr>
            <w:instrText xml:space="preserve"> HYPERLINK \l _Toc14207 </w:instrText>
          </w:r>
          <w:r>
            <w:rPr>
              <w:rFonts w:hint="eastAsia" w:ascii="仿宋_GB2312" w:eastAsia="仿宋_GB2312"/>
              <w:sz w:val="30"/>
              <w:szCs w:val="30"/>
            </w:rPr>
            <w:fldChar w:fldCharType="separate"/>
          </w:r>
          <w:r>
            <w:rPr>
              <w:rFonts w:hint="eastAsia" w:ascii="黑体" w:hAnsi="黑体" w:eastAsia="黑体"/>
              <w:sz w:val="30"/>
              <w:szCs w:val="30"/>
            </w:rPr>
            <w:t>一、部门概况</w:t>
          </w:r>
          <w:r>
            <w:rPr>
              <w:sz w:val="30"/>
              <w:szCs w:val="30"/>
            </w:rPr>
            <w:tab/>
          </w:r>
          <w:r>
            <w:rPr>
              <w:sz w:val="30"/>
              <w:szCs w:val="30"/>
            </w:rPr>
            <w:fldChar w:fldCharType="begin"/>
          </w:r>
          <w:r>
            <w:rPr>
              <w:sz w:val="30"/>
              <w:szCs w:val="30"/>
            </w:rPr>
            <w:instrText xml:space="preserve"> PAGEREF _Toc14207 \h </w:instrText>
          </w:r>
          <w:r>
            <w:rPr>
              <w:sz w:val="30"/>
              <w:szCs w:val="30"/>
            </w:rPr>
            <w:fldChar w:fldCharType="separate"/>
          </w:r>
          <w:r>
            <w:rPr>
              <w:sz w:val="30"/>
              <w:szCs w:val="30"/>
            </w:rPr>
            <w:t>1</w:t>
          </w:r>
          <w:r>
            <w:rPr>
              <w:sz w:val="30"/>
              <w:szCs w:val="30"/>
            </w:rPr>
            <w:fldChar w:fldCharType="end"/>
          </w:r>
          <w:r>
            <w:rPr>
              <w:rFonts w:hint="eastAsia" w:ascii="仿宋_GB2312" w:eastAsia="仿宋_GB2312"/>
              <w:sz w:val="30"/>
              <w:szCs w:val="30"/>
            </w:rPr>
            <w:fldChar w:fldCharType="end"/>
          </w:r>
        </w:p>
        <w:p>
          <w:pPr>
            <w:pStyle w:val="13"/>
            <w:keepNext w:val="0"/>
            <w:keepLines w:val="0"/>
            <w:pageBreakBefore w:val="0"/>
            <w:widowControl w:val="0"/>
            <w:tabs>
              <w:tab w:val="right" w:leader="middleDot" w:pos="8548"/>
            </w:tabs>
            <w:kinsoku/>
            <w:wordWrap/>
            <w:overflowPunct/>
            <w:topLinePunct w:val="0"/>
            <w:autoSpaceDE/>
            <w:autoSpaceDN/>
            <w:bidi w:val="0"/>
            <w:adjustRightInd/>
            <w:snapToGri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_Toc27889 </w:instrText>
          </w:r>
          <w:r>
            <w:rPr>
              <w:rFonts w:hint="eastAsia" w:ascii="仿宋_GB2312" w:eastAsia="仿宋_GB2312"/>
              <w:bCs/>
              <w:sz w:val="30"/>
              <w:szCs w:val="30"/>
              <w:lang w:val="zh-CN"/>
            </w:rPr>
            <w:fldChar w:fldCharType="separate"/>
          </w:r>
          <w:r>
            <w:rPr>
              <w:rFonts w:hint="eastAsia" w:ascii="楷体" w:hAnsi="楷体" w:eastAsia="楷体"/>
              <w:sz w:val="30"/>
              <w:szCs w:val="30"/>
            </w:rPr>
            <w:t>（一）机构设置及职责工作任务情况</w:t>
          </w:r>
          <w:r>
            <w:rPr>
              <w:sz w:val="30"/>
              <w:szCs w:val="30"/>
            </w:rPr>
            <w:tab/>
          </w:r>
          <w:r>
            <w:rPr>
              <w:sz w:val="30"/>
              <w:szCs w:val="30"/>
            </w:rPr>
            <w:fldChar w:fldCharType="begin"/>
          </w:r>
          <w:r>
            <w:rPr>
              <w:sz w:val="30"/>
              <w:szCs w:val="30"/>
            </w:rPr>
            <w:instrText xml:space="preserve"> PAGEREF _Toc27889 \h </w:instrText>
          </w:r>
          <w:r>
            <w:rPr>
              <w:sz w:val="30"/>
              <w:szCs w:val="30"/>
            </w:rPr>
            <w:fldChar w:fldCharType="separate"/>
          </w:r>
          <w:r>
            <w:rPr>
              <w:sz w:val="30"/>
              <w:szCs w:val="30"/>
            </w:rPr>
            <w:t>1</w:t>
          </w:r>
          <w:r>
            <w:rPr>
              <w:sz w:val="30"/>
              <w:szCs w:val="30"/>
            </w:rPr>
            <w:fldChar w:fldCharType="end"/>
          </w:r>
          <w:r>
            <w:rPr>
              <w:rFonts w:hint="eastAsia" w:ascii="仿宋_GB2312" w:eastAsia="仿宋_GB2312"/>
              <w:bCs/>
              <w:sz w:val="30"/>
              <w:szCs w:val="30"/>
              <w:lang w:val="zh-CN"/>
            </w:rPr>
            <w:fldChar w:fldCharType="end"/>
          </w:r>
        </w:p>
        <w:p>
          <w:pPr>
            <w:pStyle w:val="13"/>
            <w:keepNext w:val="0"/>
            <w:keepLines w:val="0"/>
            <w:pageBreakBefore w:val="0"/>
            <w:widowControl w:val="0"/>
            <w:tabs>
              <w:tab w:val="right" w:leader="middleDot" w:pos="8548"/>
            </w:tabs>
            <w:kinsoku/>
            <w:wordWrap/>
            <w:overflowPunct/>
            <w:topLinePunct w:val="0"/>
            <w:autoSpaceDE/>
            <w:autoSpaceDN/>
            <w:bidi w:val="0"/>
            <w:adjustRightInd/>
            <w:snapToGri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_Toc25928 </w:instrText>
          </w:r>
          <w:r>
            <w:rPr>
              <w:rFonts w:hint="eastAsia" w:ascii="仿宋_GB2312" w:eastAsia="仿宋_GB2312"/>
              <w:bCs/>
              <w:sz w:val="30"/>
              <w:szCs w:val="30"/>
              <w:lang w:val="zh-CN"/>
            </w:rPr>
            <w:fldChar w:fldCharType="separate"/>
          </w:r>
          <w:r>
            <w:rPr>
              <w:rFonts w:hint="eastAsia" w:ascii="楷体" w:hAnsi="楷体" w:eastAsia="楷体"/>
              <w:sz w:val="30"/>
              <w:szCs w:val="30"/>
            </w:rPr>
            <w:t>（二）部门整体绩效目标设立情况</w:t>
          </w:r>
          <w:r>
            <w:rPr>
              <w:sz w:val="30"/>
              <w:szCs w:val="30"/>
            </w:rPr>
            <w:tab/>
          </w:r>
          <w:r>
            <w:rPr>
              <w:sz w:val="30"/>
              <w:szCs w:val="30"/>
            </w:rPr>
            <w:fldChar w:fldCharType="begin"/>
          </w:r>
          <w:r>
            <w:rPr>
              <w:sz w:val="30"/>
              <w:szCs w:val="30"/>
            </w:rPr>
            <w:instrText xml:space="preserve"> PAGEREF _Toc25928 \h </w:instrText>
          </w:r>
          <w:r>
            <w:rPr>
              <w:sz w:val="30"/>
              <w:szCs w:val="30"/>
            </w:rPr>
            <w:fldChar w:fldCharType="separate"/>
          </w:r>
          <w:r>
            <w:rPr>
              <w:sz w:val="30"/>
              <w:szCs w:val="30"/>
            </w:rPr>
            <w:t>5</w:t>
          </w:r>
          <w:r>
            <w:rPr>
              <w:sz w:val="30"/>
              <w:szCs w:val="30"/>
            </w:rPr>
            <w:fldChar w:fldCharType="end"/>
          </w:r>
          <w:r>
            <w:rPr>
              <w:rFonts w:hint="eastAsia" w:ascii="仿宋_GB2312" w:eastAsia="仿宋_GB2312"/>
              <w:bCs/>
              <w:sz w:val="30"/>
              <w:szCs w:val="30"/>
              <w:lang w:val="zh-CN"/>
            </w:rPr>
            <w:fldChar w:fldCharType="end"/>
          </w:r>
        </w:p>
        <w:p>
          <w:pPr>
            <w:pStyle w:val="12"/>
            <w:keepNext w:val="0"/>
            <w:keepLines w:val="0"/>
            <w:pageBreakBefore w:val="0"/>
            <w:widowControl w:val="0"/>
            <w:tabs>
              <w:tab w:val="right" w:leader="middleDot" w:pos="8548"/>
            </w:tabs>
            <w:kinsoku/>
            <w:wordWrap/>
            <w:overflowPunct/>
            <w:topLinePunct w:val="0"/>
            <w:autoSpaceDE/>
            <w:autoSpaceDN/>
            <w:bidi w:val="0"/>
            <w:adjustRightIn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_Toc32497 </w:instrText>
          </w:r>
          <w:r>
            <w:rPr>
              <w:rFonts w:hint="eastAsia" w:ascii="仿宋_GB2312" w:eastAsia="仿宋_GB2312"/>
              <w:bCs/>
              <w:sz w:val="30"/>
              <w:szCs w:val="30"/>
              <w:lang w:val="zh-CN"/>
            </w:rPr>
            <w:fldChar w:fldCharType="separate"/>
          </w:r>
          <w:r>
            <w:rPr>
              <w:rFonts w:hint="eastAsia" w:ascii="黑体" w:hAnsi="黑体" w:eastAsia="黑体"/>
              <w:sz w:val="30"/>
              <w:szCs w:val="30"/>
            </w:rPr>
            <w:t>二、当年预算执行情况</w:t>
          </w:r>
          <w:r>
            <w:rPr>
              <w:sz w:val="30"/>
              <w:szCs w:val="30"/>
            </w:rPr>
            <w:tab/>
          </w:r>
          <w:r>
            <w:rPr>
              <w:sz w:val="30"/>
              <w:szCs w:val="30"/>
            </w:rPr>
            <w:fldChar w:fldCharType="begin"/>
          </w:r>
          <w:r>
            <w:rPr>
              <w:sz w:val="30"/>
              <w:szCs w:val="30"/>
            </w:rPr>
            <w:instrText xml:space="preserve"> PAGEREF _Toc32497 \h </w:instrText>
          </w:r>
          <w:r>
            <w:rPr>
              <w:sz w:val="30"/>
              <w:szCs w:val="30"/>
            </w:rPr>
            <w:fldChar w:fldCharType="separate"/>
          </w:r>
          <w:r>
            <w:rPr>
              <w:sz w:val="30"/>
              <w:szCs w:val="30"/>
            </w:rPr>
            <w:t>5</w:t>
          </w:r>
          <w:r>
            <w:rPr>
              <w:sz w:val="30"/>
              <w:szCs w:val="30"/>
            </w:rPr>
            <w:fldChar w:fldCharType="end"/>
          </w:r>
          <w:r>
            <w:rPr>
              <w:rFonts w:hint="eastAsia" w:ascii="仿宋_GB2312" w:eastAsia="仿宋_GB2312"/>
              <w:bCs/>
              <w:sz w:val="30"/>
              <w:szCs w:val="30"/>
              <w:lang w:val="zh-CN"/>
            </w:rPr>
            <w:fldChar w:fldCharType="end"/>
          </w:r>
        </w:p>
        <w:p>
          <w:pPr>
            <w:pStyle w:val="12"/>
            <w:keepNext w:val="0"/>
            <w:keepLines w:val="0"/>
            <w:pageBreakBefore w:val="0"/>
            <w:widowControl w:val="0"/>
            <w:tabs>
              <w:tab w:val="right" w:leader="middleDot" w:pos="8548"/>
            </w:tabs>
            <w:kinsoku/>
            <w:wordWrap/>
            <w:overflowPunct/>
            <w:topLinePunct w:val="0"/>
            <w:autoSpaceDE/>
            <w:autoSpaceDN/>
            <w:bidi w:val="0"/>
            <w:adjustRightIn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_Toc989 </w:instrText>
          </w:r>
          <w:r>
            <w:rPr>
              <w:rFonts w:hint="eastAsia" w:ascii="仿宋_GB2312" w:eastAsia="仿宋_GB2312"/>
              <w:bCs/>
              <w:sz w:val="30"/>
              <w:szCs w:val="30"/>
              <w:lang w:val="zh-CN"/>
            </w:rPr>
            <w:fldChar w:fldCharType="separate"/>
          </w:r>
          <w:r>
            <w:rPr>
              <w:rFonts w:hint="eastAsia" w:ascii="黑体" w:hAnsi="黑体" w:eastAsia="黑体"/>
              <w:sz w:val="30"/>
              <w:szCs w:val="30"/>
            </w:rPr>
            <w:t>三、整体绩效目标实现情况</w:t>
          </w:r>
          <w:r>
            <w:rPr>
              <w:sz w:val="30"/>
              <w:szCs w:val="30"/>
            </w:rPr>
            <w:tab/>
          </w:r>
          <w:r>
            <w:rPr>
              <w:sz w:val="30"/>
              <w:szCs w:val="30"/>
            </w:rPr>
            <w:fldChar w:fldCharType="begin"/>
          </w:r>
          <w:r>
            <w:rPr>
              <w:sz w:val="30"/>
              <w:szCs w:val="30"/>
            </w:rPr>
            <w:instrText xml:space="preserve"> PAGEREF _Toc989 \h </w:instrText>
          </w:r>
          <w:r>
            <w:rPr>
              <w:sz w:val="30"/>
              <w:szCs w:val="30"/>
            </w:rPr>
            <w:fldChar w:fldCharType="separate"/>
          </w:r>
          <w:r>
            <w:rPr>
              <w:sz w:val="30"/>
              <w:szCs w:val="30"/>
            </w:rPr>
            <w:t>7</w:t>
          </w:r>
          <w:r>
            <w:rPr>
              <w:sz w:val="30"/>
              <w:szCs w:val="30"/>
            </w:rPr>
            <w:fldChar w:fldCharType="end"/>
          </w:r>
          <w:r>
            <w:rPr>
              <w:rFonts w:hint="eastAsia" w:ascii="仿宋_GB2312" w:eastAsia="仿宋_GB2312"/>
              <w:bCs/>
              <w:sz w:val="30"/>
              <w:szCs w:val="30"/>
              <w:lang w:val="zh-CN"/>
            </w:rPr>
            <w:fldChar w:fldCharType="end"/>
          </w:r>
        </w:p>
        <w:p>
          <w:pPr>
            <w:pStyle w:val="13"/>
            <w:keepNext w:val="0"/>
            <w:keepLines w:val="0"/>
            <w:pageBreakBefore w:val="0"/>
            <w:widowControl w:val="0"/>
            <w:tabs>
              <w:tab w:val="right" w:leader="middleDot" w:pos="8548"/>
            </w:tabs>
            <w:kinsoku/>
            <w:wordWrap/>
            <w:overflowPunct/>
            <w:topLinePunct w:val="0"/>
            <w:autoSpaceDE/>
            <w:autoSpaceDN/>
            <w:bidi w:val="0"/>
            <w:adjustRightIn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_Toc12692 </w:instrText>
          </w:r>
          <w:r>
            <w:rPr>
              <w:rFonts w:hint="eastAsia" w:ascii="仿宋_GB2312" w:eastAsia="仿宋_GB2312"/>
              <w:bCs/>
              <w:sz w:val="30"/>
              <w:szCs w:val="30"/>
              <w:lang w:val="zh-CN"/>
            </w:rPr>
            <w:fldChar w:fldCharType="separate"/>
          </w:r>
          <w:r>
            <w:rPr>
              <w:rFonts w:hint="eastAsia" w:ascii="楷体" w:hAnsi="楷体" w:eastAsia="楷体"/>
              <w:sz w:val="30"/>
              <w:szCs w:val="30"/>
              <w:lang w:eastAsia="zh-CN"/>
            </w:rPr>
            <w:t>（</w:t>
          </w:r>
          <w:r>
            <w:rPr>
              <w:rFonts w:hint="eastAsia" w:ascii="楷体" w:hAnsi="楷体" w:eastAsia="楷体"/>
              <w:sz w:val="30"/>
              <w:szCs w:val="30"/>
              <w:lang w:val="en-US" w:eastAsia="zh-CN"/>
            </w:rPr>
            <w:t>一</w:t>
          </w:r>
          <w:r>
            <w:rPr>
              <w:rFonts w:hint="eastAsia" w:ascii="楷体" w:hAnsi="楷体" w:eastAsia="楷体"/>
              <w:sz w:val="30"/>
              <w:szCs w:val="30"/>
              <w:lang w:eastAsia="zh-CN"/>
            </w:rPr>
            <w:t>）</w:t>
          </w:r>
          <w:r>
            <w:rPr>
              <w:rFonts w:hint="eastAsia" w:ascii="楷体" w:hAnsi="楷体" w:eastAsia="楷体"/>
              <w:sz w:val="30"/>
              <w:szCs w:val="30"/>
            </w:rPr>
            <w:t>产出完成情况分析</w:t>
          </w:r>
          <w:r>
            <w:rPr>
              <w:sz w:val="30"/>
              <w:szCs w:val="30"/>
            </w:rPr>
            <w:tab/>
          </w:r>
          <w:r>
            <w:rPr>
              <w:sz w:val="30"/>
              <w:szCs w:val="30"/>
            </w:rPr>
            <w:fldChar w:fldCharType="begin"/>
          </w:r>
          <w:r>
            <w:rPr>
              <w:sz w:val="30"/>
              <w:szCs w:val="30"/>
            </w:rPr>
            <w:instrText xml:space="preserve"> PAGEREF _Toc12692 \h </w:instrText>
          </w:r>
          <w:r>
            <w:rPr>
              <w:sz w:val="30"/>
              <w:szCs w:val="30"/>
            </w:rPr>
            <w:fldChar w:fldCharType="separate"/>
          </w:r>
          <w:r>
            <w:rPr>
              <w:sz w:val="30"/>
              <w:szCs w:val="30"/>
            </w:rPr>
            <w:t>9</w:t>
          </w:r>
          <w:r>
            <w:rPr>
              <w:sz w:val="30"/>
              <w:szCs w:val="30"/>
            </w:rPr>
            <w:fldChar w:fldCharType="end"/>
          </w:r>
          <w:r>
            <w:rPr>
              <w:rFonts w:hint="eastAsia" w:ascii="仿宋_GB2312" w:eastAsia="仿宋_GB2312"/>
              <w:bCs/>
              <w:sz w:val="30"/>
              <w:szCs w:val="30"/>
              <w:lang w:val="zh-CN"/>
            </w:rPr>
            <w:fldChar w:fldCharType="end"/>
          </w:r>
        </w:p>
        <w:p>
          <w:pPr>
            <w:pStyle w:val="13"/>
            <w:keepNext w:val="0"/>
            <w:keepLines w:val="0"/>
            <w:pageBreakBefore w:val="0"/>
            <w:widowControl w:val="0"/>
            <w:tabs>
              <w:tab w:val="right" w:leader="middleDot" w:pos="8548"/>
            </w:tabs>
            <w:kinsoku/>
            <w:wordWrap/>
            <w:overflowPunct/>
            <w:topLinePunct w:val="0"/>
            <w:autoSpaceDE/>
            <w:autoSpaceDN/>
            <w:bidi w:val="0"/>
            <w:adjustRightIn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_Toc7277 </w:instrText>
          </w:r>
          <w:r>
            <w:rPr>
              <w:rFonts w:hint="eastAsia" w:ascii="仿宋_GB2312" w:eastAsia="仿宋_GB2312"/>
              <w:bCs/>
              <w:sz w:val="30"/>
              <w:szCs w:val="30"/>
              <w:lang w:val="zh-CN"/>
            </w:rPr>
            <w:fldChar w:fldCharType="separate"/>
          </w:r>
          <w:r>
            <w:rPr>
              <w:rFonts w:hint="eastAsia" w:ascii="楷体" w:hAnsi="楷体" w:eastAsia="楷体"/>
              <w:sz w:val="30"/>
              <w:szCs w:val="30"/>
            </w:rPr>
            <w:t>（二）效果实现情况分析</w:t>
          </w:r>
          <w:r>
            <w:rPr>
              <w:sz w:val="30"/>
              <w:szCs w:val="30"/>
            </w:rPr>
            <w:tab/>
          </w:r>
          <w:r>
            <w:rPr>
              <w:sz w:val="30"/>
              <w:szCs w:val="30"/>
            </w:rPr>
            <w:fldChar w:fldCharType="begin"/>
          </w:r>
          <w:r>
            <w:rPr>
              <w:sz w:val="30"/>
              <w:szCs w:val="30"/>
            </w:rPr>
            <w:instrText xml:space="preserve"> PAGEREF _Toc7277 \h </w:instrText>
          </w:r>
          <w:r>
            <w:rPr>
              <w:sz w:val="30"/>
              <w:szCs w:val="30"/>
            </w:rPr>
            <w:fldChar w:fldCharType="separate"/>
          </w:r>
          <w:r>
            <w:rPr>
              <w:sz w:val="30"/>
              <w:szCs w:val="30"/>
            </w:rPr>
            <w:t>13</w:t>
          </w:r>
          <w:r>
            <w:rPr>
              <w:sz w:val="30"/>
              <w:szCs w:val="30"/>
            </w:rPr>
            <w:fldChar w:fldCharType="end"/>
          </w:r>
          <w:r>
            <w:rPr>
              <w:rFonts w:hint="eastAsia" w:ascii="仿宋_GB2312" w:eastAsia="仿宋_GB2312"/>
              <w:bCs/>
              <w:sz w:val="30"/>
              <w:szCs w:val="30"/>
              <w:lang w:val="zh-CN"/>
            </w:rPr>
            <w:fldChar w:fldCharType="end"/>
          </w:r>
        </w:p>
        <w:p>
          <w:pPr>
            <w:pStyle w:val="12"/>
            <w:keepNext w:val="0"/>
            <w:keepLines w:val="0"/>
            <w:pageBreakBefore w:val="0"/>
            <w:widowControl w:val="0"/>
            <w:tabs>
              <w:tab w:val="right" w:leader="middleDot" w:pos="8548"/>
            </w:tabs>
            <w:kinsoku/>
            <w:wordWrap/>
            <w:overflowPunct/>
            <w:topLinePunct w:val="0"/>
            <w:autoSpaceDE/>
            <w:autoSpaceDN/>
            <w:bidi w:val="0"/>
            <w:adjustRightIn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_Toc3034 </w:instrText>
          </w:r>
          <w:r>
            <w:rPr>
              <w:rFonts w:hint="eastAsia" w:ascii="仿宋_GB2312" w:eastAsia="仿宋_GB2312"/>
              <w:bCs/>
              <w:sz w:val="30"/>
              <w:szCs w:val="30"/>
              <w:lang w:val="zh-CN"/>
            </w:rPr>
            <w:fldChar w:fldCharType="separate"/>
          </w:r>
          <w:r>
            <w:rPr>
              <w:rFonts w:hint="eastAsia" w:ascii="黑体" w:hAnsi="黑体" w:eastAsia="黑体"/>
              <w:sz w:val="30"/>
              <w:szCs w:val="30"/>
            </w:rPr>
            <w:t>四、预算管理情况分析</w:t>
          </w:r>
          <w:r>
            <w:rPr>
              <w:sz w:val="30"/>
              <w:szCs w:val="30"/>
            </w:rPr>
            <w:tab/>
          </w:r>
          <w:r>
            <w:rPr>
              <w:sz w:val="30"/>
              <w:szCs w:val="30"/>
            </w:rPr>
            <w:fldChar w:fldCharType="begin"/>
          </w:r>
          <w:r>
            <w:rPr>
              <w:sz w:val="30"/>
              <w:szCs w:val="30"/>
            </w:rPr>
            <w:instrText xml:space="preserve"> PAGEREF _Toc3034 \h </w:instrText>
          </w:r>
          <w:r>
            <w:rPr>
              <w:sz w:val="30"/>
              <w:szCs w:val="30"/>
            </w:rPr>
            <w:fldChar w:fldCharType="separate"/>
          </w:r>
          <w:r>
            <w:rPr>
              <w:sz w:val="30"/>
              <w:szCs w:val="30"/>
            </w:rPr>
            <w:t>17</w:t>
          </w:r>
          <w:r>
            <w:rPr>
              <w:sz w:val="30"/>
              <w:szCs w:val="30"/>
            </w:rPr>
            <w:fldChar w:fldCharType="end"/>
          </w:r>
          <w:r>
            <w:rPr>
              <w:rFonts w:hint="eastAsia" w:ascii="仿宋_GB2312" w:eastAsia="仿宋_GB2312"/>
              <w:bCs/>
              <w:sz w:val="30"/>
              <w:szCs w:val="30"/>
              <w:lang w:val="zh-CN"/>
            </w:rPr>
            <w:fldChar w:fldCharType="end"/>
          </w:r>
        </w:p>
        <w:p>
          <w:pPr>
            <w:pStyle w:val="13"/>
            <w:keepNext w:val="0"/>
            <w:keepLines w:val="0"/>
            <w:pageBreakBefore w:val="0"/>
            <w:widowControl w:val="0"/>
            <w:tabs>
              <w:tab w:val="right" w:leader="middleDot" w:pos="8548"/>
            </w:tabs>
            <w:kinsoku/>
            <w:wordWrap/>
            <w:overflowPunct/>
            <w:topLinePunct w:val="0"/>
            <w:autoSpaceDE/>
            <w:autoSpaceDN/>
            <w:bidi w:val="0"/>
            <w:adjustRightIn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_Toc23286 </w:instrText>
          </w:r>
          <w:r>
            <w:rPr>
              <w:rFonts w:hint="eastAsia" w:ascii="仿宋_GB2312" w:eastAsia="仿宋_GB2312"/>
              <w:bCs/>
              <w:sz w:val="30"/>
              <w:szCs w:val="30"/>
              <w:lang w:val="zh-CN"/>
            </w:rPr>
            <w:fldChar w:fldCharType="separate"/>
          </w:r>
          <w:r>
            <w:rPr>
              <w:rFonts w:hint="eastAsia" w:ascii="楷体" w:hAnsi="楷体" w:eastAsia="楷体"/>
              <w:sz w:val="30"/>
              <w:szCs w:val="30"/>
            </w:rPr>
            <w:t>（一）财务管理</w:t>
          </w:r>
          <w:r>
            <w:rPr>
              <w:sz w:val="30"/>
              <w:szCs w:val="30"/>
            </w:rPr>
            <w:tab/>
          </w:r>
          <w:r>
            <w:rPr>
              <w:sz w:val="30"/>
              <w:szCs w:val="30"/>
            </w:rPr>
            <w:fldChar w:fldCharType="begin"/>
          </w:r>
          <w:r>
            <w:rPr>
              <w:sz w:val="30"/>
              <w:szCs w:val="30"/>
            </w:rPr>
            <w:instrText xml:space="preserve"> PAGEREF _Toc23286 \h </w:instrText>
          </w:r>
          <w:r>
            <w:rPr>
              <w:sz w:val="30"/>
              <w:szCs w:val="30"/>
            </w:rPr>
            <w:fldChar w:fldCharType="separate"/>
          </w:r>
          <w:r>
            <w:rPr>
              <w:sz w:val="30"/>
              <w:szCs w:val="30"/>
            </w:rPr>
            <w:t>17</w:t>
          </w:r>
          <w:r>
            <w:rPr>
              <w:sz w:val="30"/>
              <w:szCs w:val="30"/>
            </w:rPr>
            <w:fldChar w:fldCharType="end"/>
          </w:r>
          <w:r>
            <w:rPr>
              <w:rFonts w:hint="eastAsia" w:ascii="仿宋_GB2312" w:eastAsia="仿宋_GB2312"/>
              <w:bCs/>
              <w:sz w:val="30"/>
              <w:szCs w:val="30"/>
              <w:lang w:val="zh-CN"/>
            </w:rPr>
            <w:fldChar w:fldCharType="end"/>
          </w:r>
        </w:p>
        <w:p>
          <w:pPr>
            <w:pStyle w:val="13"/>
            <w:keepNext w:val="0"/>
            <w:keepLines w:val="0"/>
            <w:pageBreakBefore w:val="0"/>
            <w:widowControl w:val="0"/>
            <w:tabs>
              <w:tab w:val="right" w:leader="middleDot" w:pos="8548"/>
            </w:tabs>
            <w:kinsoku/>
            <w:wordWrap/>
            <w:overflowPunct/>
            <w:topLinePunct w:val="0"/>
            <w:autoSpaceDE/>
            <w:autoSpaceDN/>
            <w:bidi w:val="0"/>
            <w:adjustRightIn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_Toc4733 </w:instrText>
          </w:r>
          <w:r>
            <w:rPr>
              <w:rFonts w:hint="eastAsia" w:ascii="仿宋_GB2312" w:eastAsia="仿宋_GB2312"/>
              <w:bCs/>
              <w:sz w:val="30"/>
              <w:szCs w:val="30"/>
              <w:lang w:val="zh-CN"/>
            </w:rPr>
            <w:fldChar w:fldCharType="separate"/>
          </w:r>
          <w:r>
            <w:rPr>
              <w:rFonts w:hint="eastAsia" w:ascii="楷体" w:hAnsi="楷体" w:eastAsia="楷体"/>
              <w:sz w:val="30"/>
              <w:szCs w:val="30"/>
            </w:rPr>
            <w:t>（二）资产管理</w:t>
          </w:r>
          <w:r>
            <w:rPr>
              <w:sz w:val="30"/>
              <w:szCs w:val="30"/>
            </w:rPr>
            <w:tab/>
          </w:r>
          <w:r>
            <w:rPr>
              <w:sz w:val="30"/>
              <w:szCs w:val="30"/>
            </w:rPr>
            <w:fldChar w:fldCharType="begin"/>
          </w:r>
          <w:r>
            <w:rPr>
              <w:sz w:val="30"/>
              <w:szCs w:val="30"/>
            </w:rPr>
            <w:instrText xml:space="preserve"> PAGEREF _Toc4733 \h </w:instrText>
          </w:r>
          <w:r>
            <w:rPr>
              <w:sz w:val="30"/>
              <w:szCs w:val="30"/>
            </w:rPr>
            <w:fldChar w:fldCharType="separate"/>
          </w:r>
          <w:r>
            <w:rPr>
              <w:sz w:val="30"/>
              <w:szCs w:val="30"/>
            </w:rPr>
            <w:t>18</w:t>
          </w:r>
          <w:r>
            <w:rPr>
              <w:sz w:val="30"/>
              <w:szCs w:val="30"/>
            </w:rPr>
            <w:fldChar w:fldCharType="end"/>
          </w:r>
          <w:r>
            <w:rPr>
              <w:rFonts w:hint="eastAsia" w:ascii="仿宋_GB2312" w:eastAsia="仿宋_GB2312"/>
              <w:bCs/>
              <w:sz w:val="30"/>
              <w:szCs w:val="30"/>
              <w:lang w:val="zh-CN"/>
            </w:rPr>
            <w:fldChar w:fldCharType="end"/>
          </w:r>
        </w:p>
        <w:p>
          <w:pPr>
            <w:pStyle w:val="13"/>
            <w:keepNext w:val="0"/>
            <w:keepLines w:val="0"/>
            <w:pageBreakBefore w:val="0"/>
            <w:widowControl w:val="0"/>
            <w:tabs>
              <w:tab w:val="right" w:leader="middleDot" w:pos="8548"/>
            </w:tabs>
            <w:kinsoku/>
            <w:wordWrap/>
            <w:overflowPunct/>
            <w:topLinePunct w:val="0"/>
            <w:autoSpaceDE/>
            <w:autoSpaceDN/>
            <w:bidi w:val="0"/>
            <w:adjustRightIn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_Toc26630 </w:instrText>
          </w:r>
          <w:r>
            <w:rPr>
              <w:rFonts w:hint="eastAsia" w:ascii="仿宋_GB2312" w:eastAsia="仿宋_GB2312"/>
              <w:bCs/>
              <w:sz w:val="30"/>
              <w:szCs w:val="30"/>
              <w:lang w:val="zh-CN"/>
            </w:rPr>
            <w:fldChar w:fldCharType="separate"/>
          </w:r>
          <w:r>
            <w:rPr>
              <w:rFonts w:hint="eastAsia" w:ascii="楷体" w:hAnsi="楷体" w:eastAsia="楷体"/>
              <w:sz w:val="30"/>
              <w:szCs w:val="30"/>
            </w:rPr>
            <w:t>（三）绩效管理</w:t>
          </w:r>
          <w:r>
            <w:rPr>
              <w:sz w:val="30"/>
              <w:szCs w:val="30"/>
            </w:rPr>
            <w:tab/>
          </w:r>
          <w:r>
            <w:rPr>
              <w:sz w:val="30"/>
              <w:szCs w:val="30"/>
            </w:rPr>
            <w:fldChar w:fldCharType="begin"/>
          </w:r>
          <w:r>
            <w:rPr>
              <w:sz w:val="30"/>
              <w:szCs w:val="30"/>
            </w:rPr>
            <w:instrText xml:space="preserve"> PAGEREF _Toc26630 \h </w:instrText>
          </w:r>
          <w:r>
            <w:rPr>
              <w:sz w:val="30"/>
              <w:szCs w:val="30"/>
            </w:rPr>
            <w:fldChar w:fldCharType="separate"/>
          </w:r>
          <w:r>
            <w:rPr>
              <w:sz w:val="30"/>
              <w:szCs w:val="30"/>
            </w:rPr>
            <w:t>19</w:t>
          </w:r>
          <w:r>
            <w:rPr>
              <w:sz w:val="30"/>
              <w:szCs w:val="30"/>
            </w:rPr>
            <w:fldChar w:fldCharType="end"/>
          </w:r>
          <w:r>
            <w:rPr>
              <w:rFonts w:hint="eastAsia" w:ascii="仿宋_GB2312" w:eastAsia="仿宋_GB2312"/>
              <w:bCs/>
              <w:sz w:val="30"/>
              <w:szCs w:val="30"/>
              <w:lang w:val="zh-CN"/>
            </w:rPr>
            <w:fldChar w:fldCharType="end"/>
          </w:r>
        </w:p>
        <w:p>
          <w:pPr>
            <w:pStyle w:val="13"/>
            <w:keepNext w:val="0"/>
            <w:keepLines w:val="0"/>
            <w:pageBreakBefore w:val="0"/>
            <w:widowControl w:val="0"/>
            <w:tabs>
              <w:tab w:val="right" w:leader="middleDot" w:pos="8548"/>
            </w:tabs>
            <w:kinsoku/>
            <w:wordWrap/>
            <w:overflowPunct/>
            <w:topLinePunct w:val="0"/>
            <w:autoSpaceDE/>
            <w:autoSpaceDN/>
            <w:bidi w:val="0"/>
            <w:adjustRightIn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_Toc29439 </w:instrText>
          </w:r>
          <w:r>
            <w:rPr>
              <w:rFonts w:hint="eastAsia" w:ascii="仿宋_GB2312" w:eastAsia="仿宋_GB2312"/>
              <w:bCs/>
              <w:sz w:val="30"/>
              <w:szCs w:val="30"/>
              <w:lang w:val="zh-CN"/>
            </w:rPr>
            <w:fldChar w:fldCharType="separate"/>
          </w:r>
          <w:r>
            <w:rPr>
              <w:rFonts w:hint="eastAsia" w:ascii="楷体" w:hAnsi="楷体" w:eastAsia="楷体"/>
              <w:sz w:val="30"/>
              <w:szCs w:val="30"/>
            </w:rPr>
            <w:t>（四）结转结余率</w:t>
          </w:r>
          <w:r>
            <w:rPr>
              <w:sz w:val="30"/>
              <w:szCs w:val="30"/>
            </w:rPr>
            <w:tab/>
          </w:r>
          <w:r>
            <w:rPr>
              <w:sz w:val="30"/>
              <w:szCs w:val="30"/>
            </w:rPr>
            <w:fldChar w:fldCharType="begin"/>
          </w:r>
          <w:r>
            <w:rPr>
              <w:sz w:val="30"/>
              <w:szCs w:val="30"/>
            </w:rPr>
            <w:instrText xml:space="preserve"> PAGEREF _Toc29439 \h </w:instrText>
          </w:r>
          <w:r>
            <w:rPr>
              <w:sz w:val="30"/>
              <w:szCs w:val="30"/>
            </w:rPr>
            <w:fldChar w:fldCharType="separate"/>
          </w:r>
          <w:r>
            <w:rPr>
              <w:sz w:val="30"/>
              <w:szCs w:val="30"/>
            </w:rPr>
            <w:t>21</w:t>
          </w:r>
          <w:r>
            <w:rPr>
              <w:sz w:val="30"/>
              <w:szCs w:val="30"/>
            </w:rPr>
            <w:fldChar w:fldCharType="end"/>
          </w:r>
          <w:r>
            <w:rPr>
              <w:rFonts w:hint="eastAsia" w:ascii="仿宋_GB2312" w:eastAsia="仿宋_GB2312"/>
              <w:bCs/>
              <w:sz w:val="30"/>
              <w:szCs w:val="30"/>
              <w:lang w:val="zh-CN"/>
            </w:rPr>
            <w:fldChar w:fldCharType="end"/>
          </w:r>
        </w:p>
        <w:p>
          <w:pPr>
            <w:pStyle w:val="13"/>
            <w:keepNext w:val="0"/>
            <w:keepLines w:val="0"/>
            <w:pageBreakBefore w:val="0"/>
            <w:widowControl w:val="0"/>
            <w:tabs>
              <w:tab w:val="right" w:leader="middleDot" w:pos="8548"/>
            </w:tabs>
            <w:kinsoku/>
            <w:wordWrap/>
            <w:overflowPunct/>
            <w:topLinePunct w:val="0"/>
            <w:autoSpaceDE/>
            <w:autoSpaceDN/>
            <w:bidi w:val="0"/>
            <w:adjustRightIn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_Toc28556 </w:instrText>
          </w:r>
          <w:r>
            <w:rPr>
              <w:rFonts w:hint="eastAsia" w:ascii="仿宋_GB2312" w:eastAsia="仿宋_GB2312"/>
              <w:bCs/>
              <w:sz w:val="30"/>
              <w:szCs w:val="30"/>
              <w:lang w:val="zh-CN"/>
            </w:rPr>
            <w:fldChar w:fldCharType="separate"/>
          </w:r>
          <w:r>
            <w:rPr>
              <w:rFonts w:hint="eastAsia" w:ascii="楷体" w:hAnsi="楷体" w:eastAsia="楷体"/>
              <w:sz w:val="30"/>
              <w:szCs w:val="30"/>
            </w:rPr>
            <w:t>（五）部门预决算差异</w:t>
          </w:r>
          <w:r>
            <w:rPr>
              <w:sz w:val="30"/>
              <w:szCs w:val="30"/>
            </w:rPr>
            <w:tab/>
          </w:r>
          <w:r>
            <w:rPr>
              <w:sz w:val="30"/>
              <w:szCs w:val="30"/>
            </w:rPr>
            <w:fldChar w:fldCharType="begin"/>
          </w:r>
          <w:r>
            <w:rPr>
              <w:sz w:val="30"/>
              <w:szCs w:val="30"/>
            </w:rPr>
            <w:instrText xml:space="preserve"> PAGEREF _Toc28556 \h </w:instrText>
          </w:r>
          <w:r>
            <w:rPr>
              <w:sz w:val="30"/>
              <w:szCs w:val="30"/>
            </w:rPr>
            <w:fldChar w:fldCharType="separate"/>
          </w:r>
          <w:r>
            <w:rPr>
              <w:sz w:val="30"/>
              <w:szCs w:val="30"/>
            </w:rPr>
            <w:t>22</w:t>
          </w:r>
          <w:r>
            <w:rPr>
              <w:sz w:val="30"/>
              <w:szCs w:val="30"/>
            </w:rPr>
            <w:fldChar w:fldCharType="end"/>
          </w:r>
          <w:r>
            <w:rPr>
              <w:rFonts w:hint="eastAsia" w:ascii="仿宋_GB2312" w:eastAsia="仿宋_GB2312"/>
              <w:bCs/>
              <w:sz w:val="30"/>
              <w:szCs w:val="30"/>
              <w:lang w:val="zh-CN"/>
            </w:rPr>
            <w:fldChar w:fldCharType="end"/>
          </w:r>
        </w:p>
        <w:p>
          <w:pPr>
            <w:pStyle w:val="12"/>
            <w:keepNext w:val="0"/>
            <w:keepLines w:val="0"/>
            <w:pageBreakBefore w:val="0"/>
            <w:widowControl w:val="0"/>
            <w:tabs>
              <w:tab w:val="right" w:leader="middleDot" w:pos="8548"/>
            </w:tabs>
            <w:kinsoku/>
            <w:wordWrap/>
            <w:overflowPunct/>
            <w:topLinePunct w:val="0"/>
            <w:autoSpaceDE/>
            <w:autoSpaceDN/>
            <w:bidi w:val="0"/>
            <w:adjustRightIn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_Toc22897 </w:instrText>
          </w:r>
          <w:r>
            <w:rPr>
              <w:rFonts w:hint="eastAsia" w:ascii="仿宋_GB2312" w:eastAsia="仿宋_GB2312"/>
              <w:bCs/>
              <w:sz w:val="30"/>
              <w:szCs w:val="30"/>
              <w:lang w:val="zh-CN"/>
            </w:rPr>
            <w:fldChar w:fldCharType="separate"/>
          </w:r>
          <w:r>
            <w:rPr>
              <w:rFonts w:hint="eastAsia" w:ascii="黑体" w:hAnsi="黑体" w:eastAsia="黑体"/>
              <w:sz w:val="30"/>
              <w:szCs w:val="30"/>
            </w:rPr>
            <w:t>五、总体评价结论</w:t>
          </w:r>
          <w:r>
            <w:rPr>
              <w:sz w:val="30"/>
              <w:szCs w:val="30"/>
            </w:rPr>
            <w:tab/>
          </w:r>
          <w:r>
            <w:rPr>
              <w:sz w:val="30"/>
              <w:szCs w:val="30"/>
            </w:rPr>
            <w:fldChar w:fldCharType="begin"/>
          </w:r>
          <w:r>
            <w:rPr>
              <w:sz w:val="30"/>
              <w:szCs w:val="30"/>
            </w:rPr>
            <w:instrText xml:space="preserve"> PAGEREF _Toc22897 \h </w:instrText>
          </w:r>
          <w:r>
            <w:rPr>
              <w:sz w:val="30"/>
              <w:szCs w:val="30"/>
            </w:rPr>
            <w:fldChar w:fldCharType="separate"/>
          </w:r>
          <w:r>
            <w:rPr>
              <w:sz w:val="30"/>
              <w:szCs w:val="30"/>
            </w:rPr>
            <w:t>22</w:t>
          </w:r>
          <w:r>
            <w:rPr>
              <w:sz w:val="30"/>
              <w:szCs w:val="30"/>
            </w:rPr>
            <w:fldChar w:fldCharType="end"/>
          </w:r>
          <w:r>
            <w:rPr>
              <w:rFonts w:hint="eastAsia" w:ascii="仿宋_GB2312" w:eastAsia="仿宋_GB2312"/>
              <w:bCs/>
              <w:sz w:val="30"/>
              <w:szCs w:val="30"/>
              <w:lang w:val="zh-CN"/>
            </w:rPr>
            <w:fldChar w:fldCharType="end"/>
          </w:r>
        </w:p>
        <w:p>
          <w:pPr>
            <w:pStyle w:val="13"/>
            <w:keepNext w:val="0"/>
            <w:keepLines w:val="0"/>
            <w:pageBreakBefore w:val="0"/>
            <w:widowControl w:val="0"/>
            <w:tabs>
              <w:tab w:val="right" w:leader="middleDot" w:pos="8548"/>
            </w:tabs>
            <w:kinsoku/>
            <w:wordWrap/>
            <w:overflowPunct/>
            <w:topLinePunct w:val="0"/>
            <w:autoSpaceDE/>
            <w:autoSpaceDN/>
            <w:bidi w:val="0"/>
            <w:adjustRightIn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_Toc17639 </w:instrText>
          </w:r>
          <w:r>
            <w:rPr>
              <w:rFonts w:hint="eastAsia" w:ascii="仿宋_GB2312" w:eastAsia="仿宋_GB2312"/>
              <w:bCs/>
              <w:sz w:val="30"/>
              <w:szCs w:val="30"/>
              <w:lang w:val="zh-CN"/>
            </w:rPr>
            <w:fldChar w:fldCharType="separate"/>
          </w:r>
          <w:r>
            <w:rPr>
              <w:rFonts w:hint="eastAsia" w:ascii="楷体" w:hAnsi="楷体" w:eastAsia="楷体"/>
              <w:sz w:val="30"/>
              <w:szCs w:val="30"/>
            </w:rPr>
            <w:t>（一）评价得分情况</w:t>
          </w:r>
          <w:r>
            <w:rPr>
              <w:sz w:val="30"/>
              <w:szCs w:val="30"/>
            </w:rPr>
            <w:tab/>
          </w:r>
          <w:r>
            <w:rPr>
              <w:sz w:val="30"/>
              <w:szCs w:val="30"/>
            </w:rPr>
            <w:fldChar w:fldCharType="begin"/>
          </w:r>
          <w:r>
            <w:rPr>
              <w:sz w:val="30"/>
              <w:szCs w:val="30"/>
            </w:rPr>
            <w:instrText xml:space="preserve"> PAGEREF _Toc17639 \h </w:instrText>
          </w:r>
          <w:r>
            <w:rPr>
              <w:sz w:val="30"/>
              <w:szCs w:val="30"/>
            </w:rPr>
            <w:fldChar w:fldCharType="separate"/>
          </w:r>
          <w:r>
            <w:rPr>
              <w:sz w:val="30"/>
              <w:szCs w:val="30"/>
            </w:rPr>
            <w:t>22</w:t>
          </w:r>
          <w:r>
            <w:rPr>
              <w:sz w:val="30"/>
              <w:szCs w:val="30"/>
            </w:rPr>
            <w:fldChar w:fldCharType="end"/>
          </w:r>
          <w:r>
            <w:rPr>
              <w:rFonts w:hint="eastAsia" w:ascii="仿宋_GB2312" w:eastAsia="仿宋_GB2312"/>
              <w:bCs/>
              <w:sz w:val="30"/>
              <w:szCs w:val="30"/>
              <w:lang w:val="zh-CN"/>
            </w:rPr>
            <w:fldChar w:fldCharType="end"/>
          </w:r>
        </w:p>
        <w:p>
          <w:pPr>
            <w:pStyle w:val="13"/>
            <w:keepNext w:val="0"/>
            <w:keepLines w:val="0"/>
            <w:pageBreakBefore w:val="0"/>
            <w:widowControl w:val="0"/>
            <w:tabs>
              <w:tab w:val="right" w:leader="middleDot" w:pos="8548"/>
            </w:tabs>
            <w:kinsoku/>
            <w:wordWrap/>
            <w:overflowPunct/>
            <w:topLinePunct w:val="0"/>
            <w:autoSpaceDE/>
            <w:autoSpaceDN/>
            <w:bidi w:val="0"/>
            <w:adjustRightIn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_Toc4759 </w:instrText>
          </w:r>
          <w:r>
            <w:rPr>
              <w:rFonts w:hint="eastAsia" w:ascii="仿宋_GB2312" w:eastAsia="仿宋_GB2312"/>
              <w:bCs/>
              <w:sz w:val="30"/>
              <w:szCs w:val="30"/>
              <w:lang w:val="zh-CN"/>
            </w:rPr>
            <w:fldChar w:fldCharType="separate"/>
          </w:r>
          <w:r>
            <w:rPr>
              <w:rFonts w:hint="eastAsia" w:ascii="楷体" w:hAnsi="楷体" w:eastAsia="楷体"/>
              <w:sz w:val="30"/>
              <w:szCs w:val="30"/>
              <w:lang w:eastAsia="zh-CN"/>
            </w:rPr>
            <w:t>（</w:t>
          </w:r>
          <w:r>
            <w:rPr>
              <w:rFonts w:hint="eastAsia" w:ascii="楷体" w:hAnsi="楷体" w:eastAsia="楷体"/>
              <w:sz w:val="30"/>
              <w:szCs w:val="30"/>
              <w:lang w:val="en-US" w:eastAsia="zh-CN"/>
            </w:rPr>
            <w:t>二</w:t>
          </w:r>
          <w:r>
            <w:rPr>
              <w:rFonts w:hint="eastAsia" w:ascii="楷体" w:hAnsi="楷体" w:eastAsia="楷体"/>
              <w:sz w:val="30"/>
              <w:szCs w:val="30"/>
              <w:lang w:eastAsia="zh-CN"/>
            </w:rPr>
            <w:t>）</w:t>
          </w:r>
          <w:r>
            <w:rPr>
              <w:rFonts w:hint="eastAsia" w:ascii="楷体" w:hAnsi="楷体" w:eastAsia="楷体"/>
              <w:sz w:val="30"/>
              <w:szCs w:val="30"/>
            </w:rPr>
            <w:t>存在的问题及原因分析</w:t>
          </w:r>
          <w:r>
            <w:rPr>
              <w:sz w:val="30"/>
              <w:szCs w:val="30"/>
            </w:rPr>
            <w:tab/>
          </w:r>
          <w:r>
            <w:rPr>
              <w:sz w:val="30"/>
              <w:szCs w:val="30"/>
            </w:rPr>
            <w:fldChar w:fldCharType="begin"/>
          </w:r>
          <w:r>
            <w:rPr>
              <w:sz w:val="30"/>
              <w:szCs w:val="30"/>
            </w:rPr>
            <w:instrText xml:space="preserve"> PAGEREF _Toc4759 \h </w:instrText>
          </w:r>
          <w:r>
            <w:rPr>
              <w:sz w:val="30"/>
              <w:szCs w:val="30"/>
            </w:rPr>
            <w:fldChar w:fldCharType="separate"/>
          </w:r>
          <w:r>
            <w:rPr>
              <w:sz w:val="30"/>
              <w:szCs w:val="30"/>
            </w:rPr>
            <w:t>23</w:t>
          </w:r>
          <w:r>
            <w:rPr>
              <w:sz w:val="30"/>
              <w:szCs w:val="30"/>
            </w:rPr>
            <w:fldChar w:fldCharType="end"/>
          </w:r>
          <w:r>
            <w:rPr>
              <w:rFonts w:hint="eastAsia" w:ascii="仿宋_GB2312" w:eastAsia="仿宋_GB2312"/>
              <w:bCs/>
              <w:sz w:val="30"/>
              <w:szCs w:val="30"/>
              <w:lang w:val="zh-CN"/>
            </w:rPr>
            <w:fldChar w:fldCharType="end"/>
          </w:r>
        </w:p>
        <w:p>
          <w:pPr>
            <w:pStyle w:val="12"/>
            <w:keepNext w:val="0"/>
            <w:keepLines w:val="0"/>
            <w:pageBreakBefore w:val="0"/>
            <w:widowControl w:val="0"/>
            <w:tabs>
              <w:tab w:val="right" w:leader="middleDot" w:pos="8548"/>
            </w:tabs>
            <w:kinsoku/>
            <w:wordWrap/>
            <w:overflowPunct/>
            <w:topLinePunct w:val="0"/>
            <w:autoSpaceDE/>
            <w:autoSpaceDN/>
            <w:bidi w:val="0"/>
            <w:adjustRightInd/>
            <w:textAlignment w:val="auto"/>
            <w:rPr>
              <w:sz w:val="30"/>
              <w:szCs w:val="30"/>
            </w:rPr>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_Toc583 </w:instrText>
          </w:r>
          <w:r>
            <w:rPr>
              <w:rFonts w:hint="eastAsia" w:ascii="仿宋_GB2312" w:eastAsia="仿宋_GB2312"/>
              <w:bCs/>
              <w:sz w:val="30"/>
              <w:szCs w:val="30"/>
              <w:lang w:val="zh-CN"/>
            </w:rPr>
            <w:fldChar w:fldCharType="separate"/>
          </w:r>
          <w:r>
            <w:rPr>
              <w:rFonts w:hint="eastAsia" w:ascii="黑体" w:hAnsi="黑体" w:eastAsia="黑体"/>
              <w:sz w:val="30"/>
              <w:szCs w:val="30"/>
              <w:lang w:val="en-US" w:eastAsia="zh-CN"/>
            </w:rPr>
            <w:t>六、</w:t>
          </w:r>
          <w:r>
            <w:rPr>
              <w:rFonts w:hint="eastAsia" w:ascii="黑体" w:hAnsi="黑体" w:eastAsia="黑体"/>
              <w:sz w:val="30"/>
              <w:szCs w:val="30"/>
            </w:rPr>
            <w:t>措施建议</w:t>
          </w:r>
          <w:r>
            <w:rPr>
              <w:sz w:val="30"/>
              <w:szCs w:val="30"/>
            </w:rPr>
            <w:tab/>
          </w:r>
          <w:r>
            <w:rPr>
              <w:sz w:val="30"/>
              <w:szCs w:val="30"/>
            </w:rPr>
            <w:fldChar w:fldCharType="begin"/>
          </w:r>
          <w:r>
            <w:rPr>
              <w:sz w:val="30"/>
              <w:szCs w:val="30"/>
            </w:rPr>
            <w:instrText xml:space="preserve"> PAGEREF _Toc583 \h </w:instrText>
          </w:r>
          <w:r>
            <w:rPr>
              <w:sz w:val="30"/>
              <w:szCs w:val="30"/>
            </w:rPr>
            <w:fldChar w:fldCharType="separate"/>
          </w:r>
          <w:r>
            <w:rPr>
              <w:sz w:val="30"/>
              <w:szCs w:val="30"/>
            </w:rPr>
            <w:t>24</w:t>
          </w:r>
          <w:r>
            <w:rPr>
              <w:sz w:val="30"/>
              <w:szCs w:val="30"/>
            </w:rPr>
            <w:fldChar w:fldCharType="end"/>
          </w:r>
          <w:r>
            <w:rPr>
              <w:rFonts w:hint="eastAsia" w:ascii="仿宋_GB2312" w:eastAsia="仿宋_GB2312"/>
              <w:bCs/>
              <w:sz w:val="30"/>
              <w:szCs w:val="30"/>
              <w:lang w:val="zh-CN"/>
            </w:rPr>
            <w:fldChar w:fldCharType="end"/>
          </w:r>
        </w:p>
        <w:p>
          <w:pPr>
            <w:pStyle w:val="12"/>
            <w:keepNext w:val="0"/>
            <w:keepLines w:val="0"/>
            <w:pageBreakBefore w:val="0"/>
            <w:widowControl w:val="0"/>
            <w:tabs>
              <w:tab w:val="right" w:leader="middleDot" w:pos="8548"/>
            </w:tabs>
            <w:kinsoku/>
            <w:wordWrap/>
            <w:overflowPunct/>
            <w:topLinePunct w:val="0"/>
            <w:autoSpaceDE/>
            <w:autoSpaceDN/>
            <w:bidi w:val="0"/>
            <w:adjustRightInd/>
            <w:textAlignment w:val="auto"/>
          </w:pPr>
          <w:r>
            <w:rPr>
              <w:rFonts w:hint="eastAsia" w:ascii="仿宋_GB2312" w:eastAsia="仿宋_GB2312"/>
              <w:bCs/>
              <w:sz w:val="30"/>
              <w:szCs w:val="30"/>
              <w:lang w:val="zh-CN"/>
            </w:rPr>
            <w:fldChar w:fldCharType="begin"/>
          </w:r>
          <w:r>
            <w:rPr>
              <w:rFonts w:hint="eastAsia" w:ascii="仿宋_GB2312" w:eastAsia="仿宋_GB2312"/>
              <w:bCs/>
              <w:sz w:val="30"/>
              <w:szCs w:val="30"/>
              <w:lang w:val="zh-CN"/>
            </w:rPr>
            <w:instrText xml:space="preserve"> HYPERLINK \l _Toc7316 </w:instrText>
          </w:r>
          <w:r>
            <w:rPr>
              <w:rFonts w:hint="eastAsia" w:ascii="仿宋_GB2312" w:eastAsia="仿宋_GB2312"/>
              <w:bCs/>
              <w:sz w:val="30"/>
              <w:szCs w:val="30"/>
              <w:lang w:val="zh-CN"/>
            </w:rPr>
            <w:fldChar w:fldCharType="separate"/>
          </w:r>
          <w:r>
            <w:rPr>
              <w:rFonts w:hint="eastAsia" w:ascii="黑体" w:hAnsi="黑体" w:eastAsia="黑体"/>
              <w:sz w:val="30"/>
              <w:szCs w:val="30"/>
            </w:rPr>
            <w:t>七、附件</w:t>
          </w:r>
          <w:r>
            <w:rPr>
              <w:sz w:val="30"/>
              <w:szCs w:val="30"/>
            </w:rPr>
            <w:tab/>
          </w:r>
          <w:r>
            <w:rPr>
              <w:sz w:val="30"/>
              <w:szCs w:val="30"/>
            </w:rPr>
            <w:fldChar w:fldCharType="begin"/>
          </w:r>
          <w:r>
            <w:rPr>
              <w:sz w:val="30"/>
              <w:szCs w:val="30"/>
            </w:rPr>
            <w:instrText xml:space="preserve"> PAGEREF _Toc7316 \h </w:instrText>
          </w:r>
          <w:r>
            <w:rPr>
              <w:sz w:val="30"/>
              <w:szCs w:val="30"/>
            </w:rPr>
            <w:fldChar w:fldCharType="separate"/>
          </w:r>
          <w:r>
            <w:rPr>
              <w:sz w:val="30"/>
              <w:szCs w:val="30"/>
            </w:rPr>
            <w:t>25</w:t>
          </w:r>
          <w:r>
            <w:rPr>
              <w:sz w:val="30"/>
              <w:szCs w:val="30"/>
            </w:rPr>
            <w:fldChar w:fldCharType="end"/>
          </w:r>
          <w:r>
            <w:rPr>
              <w:rFonts w:hint="eastAsia" w:ascii="仿宋_GB2312" w:eastAsia="仿宋_GB2312"/>
              <w:bCs/>
              <w:sz w:val="30"/>
              <w:szCs w:val="30"/>
              <w:lang w:val="zh-CN"/>
            </w:rPr>
            <w:fldChar w:fldCharType="end"/>
          </w:r>
        </w:p>
        <w:p>
          <w:pPr>
            <w:keepNext w:val="0"/>
            <w:keepLines w:val="0"/>
            <w:pageBreakBefore w:val="0"/>
            <w:widowControl w:val="0"/>
            <w:tabs>
              <w:tab w:val="right" w:leader="middleDot" w:pos="8548"/>
            </w:tabs>
            <w:kinsoku/>
            <w:wordWrap/>
            <w:overflowPunct/>
            <w:topLinePunct w:val="0"/>
            <w:autoSpaceDE/>
            <w:autoSpaceDN/>
            <w:bidi w:val="0"/>
            <w:adjustRightInd/>
            <w:snapToGrid w:val="0"/>
            <w:spacing w:line="360" w:lineRule="auto"/>
            <w:textAlignment w:val="auto"/>
          </w:pPr>
          <w:r>
            <w:rPr>
              <w:rFonts w:hint="eastAsia" w:ascii="仿宋_GB2312" w:eastAsia="仿宋_GB2312"/>
              <w:bCs/>
              <w:szCs w:val="32"/>
              <w:lang w:val="zh-CN"/>
            </w:rPr>
            <w:fldChar w:fldCharType="end"/>
          </w:r>
        </w:p>
      </w:sdtContent>
    </w:sdt>
    <w:p>
      <w:pPr>
        <w:snapToGrid w:val="0"/>
        <w:spacing w:line="360" w:lineRule="auto"/>
        <w:ind w:firstLine="640" w:firstLineChars="200"/>
        <w:outlineLvl w:val="1"/>
        <w:rPr>
          <w:rFonts w:ascii="黑体" w:hAnsi="黑体" w:eastAsia="黑体"/>
          <w:sz w:val="32"/>
          <w:szCs w:val="32"/>
        </w:rPr>
        <w:sectPr>
          <w:footerReference r:id="rId3" w:type="default"/>
          <w:pgSz w:w="11906" w:h="16838"/>
          <w:pgMar w:top="1440" w:right="1558"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outlineLvl w:val="0"/>
        <w:rPr>
          <w:rFonts w:ascii="黑体" w:hAnsi="黑体" w:eastAsia="黑体"/>
          <w:sz w:val="32"/>
          <w:szCs w:val="32"/>
        </w:rPr>
      </w:pPr>
      <w:bookmarkStart w:id="1" w:name="_Toc14207"/>
      <w:r>
        <w:rPr>
          <w:rFonts w:hint="eastAsia" w:ascii="黑体" w:hAnsi="黑体" w:eastAsia="黑体"/>
          <w:sz w:val="32"/>
          <w:szCs w:val="32"/>
        </w:rPr>
        <w:t>一、部门概况</w:t>
      </w:r>
      <w:bookmarkEnd w:id="0"/>
      <w:bookmarkEnd w:id="1"/>
    </w:p>
    <w:p>
      <w:pPr>
        <w:keepNext w:val="0"/>
        <w:keepLines w:val="0"/>
        <w:pageBreakBefore w:val="0"/>
        <w:widowControl w:val="0"/>
        <w:kinsoku/>
        <w:wordWrap/>
        <w:overflowPunct/>
        <w:topLinePunct w:val="0"/>
        <w:autoSpaceDE/>
        <w:autoSpaceDN/>
        <w:bidi w:val="0"/>
        <w:adjustRightInd w:val="0"/>
        <w:snapToGrid w:val="0"/>
        <w:spacing w:line="580" w:lineRule="exact"/>
        <w:ind w:firstLine="642" w:firstLineChars="200"/>
        <w:textAlignment w:val="auto"/>
        <w:outlineLvl w:val="1"/>
        <w:rPr>
          <w:rFonts w:ascii="楷体" w:hAnsi="楷体" w:eastAsia="楷体"/>
          <w:b/>
          <w:sz w:val="32"/>
          <w:szCs w:val="32"/>
        </w:rPr>
      </w:pPr>
      <w:bookmarkStart w:id="2" w:name="_Toc102995503"/>
      <w:bookmarkStart w:id="3" w:name="_Toc27889"/>
      <w:r>
        <w:rPr>
          <w:rFonts w:hint="eastAsia" w:ascii="楷体" w:hAnsi="楷体" w:eastAsia="楷体"/>
          <w:b/>
          <w:sz w:val="32"/>
          <w:szCs w:val="32"/>
        </w:rPr>
        <w:t>（一）机构设置及职责工作任务情况</w:t>
      </w:r>
      <w:bookmarkEnd w:id="2"/>
      <w:bookmarkEnd w:id="3"/>
    </w:p>
    <w:p>
      <w:pPr>
        <w:keepNext w:val="0"/>
        <w:keepLines w:val="0"/>
        <w:pageBreakBefore w:val="0"/>
        <w:widowControl w:val="0"/>
        <w:kinsoku/>
        <w:wordWrap/>
        <w:overflowPunct/>
        <w:topLinePunct w:val="0"/>
        <w:autoSpaceDE/>
        <w:autoSpaceDN/>
        <w:bidi w:val="0"/>
        <w:adjustRightInd w:val="0"/>
        <w:snapToGrid w:val="0"/>
        <w:spacing w:line="580" w:lineRule="exact"/>
        <w:ind w:firstLine="642" w:firstLineChars="200"/>
        <w:textAlignment w:val="auto"/>
        <w:outlineLvl w:val="9"/>
        <w:rPr>
          <w:rFonts w:ascii="仿宋_GB2312" w:eastAsia="仿宋_GB2312"/>
          <w:b/>
          <w:bCs/>
          <w:sz w:val="32"/>
          <w:szCs w:val="32"/>
        </w:rPr>
      </w:pPr>
      <w:r>
        <w:rPr>
          <w:rFonts w:hint="eastAsia" w:ascii="仿宋_GB2312" w:eastAsia="仿宋_GB2312"/>
          <w:b/>
          <w:bCs/>
          <w:sz w:val="32"/>
          <w:szCs w:val="32"/>
        </w:rPr>
        <w:t>1.机构设置情况</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 w:eastAsia="仿宋_GB2312"/>
          <w:color w:val="auto"/>
          <w:sz w:val="32"/>
          <w:szCs w:val="32"/>
        </w:rPr>
      </w:pPr>
      <w:r>
        <w:rPr>
          <w:rFonts w:hint="eastAsia" w:ascii="仿宋_GB2312" w:hAnsi="仿宋" w:eastAsia="仿宋_GB2312"/>
          <w:sz w:val="32"/>
          <w:szCs w:val="32"/>
        </w:rPr>
        <w:t>北京市人力资源和社会保障局202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年部门决算单位共计1</w:t>
      </w:r>
      <w:r>
        <w:rPr>
          <w:rFonts w:hint="eastAsia" w:ascii="仿宋_GB2312" w:hAnsi="仿宋" w:eastAsia="仿宋_GB2312"/>
          <w:sz w:val="32"/>
          <w:szCs w:val="32"/>
          <w:lang w:val="en-US" w:eastAsia="zh-CN"/>
        </w:rPr>
        <w:t>7</w:t>
      </w:r>
      <w:r>
        <w:rPr>
          <w:rFonts w:hint="eastAsia" w:ascii="仿宋_GB2312" w:hAnsi="仿宋" w:eastAsia="仿宋_GB2312"/>
          <w:sz w:val="32"/>
          <w:szCs w:val="32"/>
        </w:rPr>
        <w:t>家，包括：行政单位1家，为北京市人力资源和社会保障局本级；所属单位1</w:t>
      </w:r>
      <w:r>
        <w:rPr>
          <w:rFonts w:hint="eastAsia" w:ascii="仿宋_GB2312" w:hAnsi="仿宋" w:eastAsia="仿宋_GB2312"/>
          <w:sz w:val="32"/>
          <w:szCs w:val="32"/>
          <w:lang w:val="en-US" w:eastAsia="zh-CN"/>
        </w:rPr>
        <w:t>6</w:t>
      </w:r>
      <w:r>
        <w:rPr>
          <w:rFonts w:hint="eastAsia" w:ascii="仿宋_GB2312" w:hAnsi="仿宋" w:eastAsia="仿宋_GB2312"/>
          <w:sz w:val="32"/>
          <w:szCs w:val="32"/>
        </w:rPr>
        <w:t>家，分别为：北京市就业促进中心、北京市社会保险基金管理中心、北京市人力资源和社会保障局投诉举报受理中心、北京市公共人力资源服务中心、北京市职业介绍服务中心、北京市人事考评办公室（北京市公务员考试测评中心）、北京市退休职工活动站、北京市职业技能鉴定管理中心、北京市人力资源和社会保障局宣传中心、北京市劳动能力鉴定中心（北京市工伤保险事务管理中心）、北京劳动就业报社、北京劳动保障职业学院、北京市人力资源和社会保障局大数据中心、北京市</w:t>
      </w:r>
      <w:r>
        <w:rPr>
          <w:rFonts w:hint="eastAsia" w:ascii="仿宋_GB2312" w:hAnsi="仿宋" w:eastAsia="仿宋_GB2312"/>
          <w:color w:val="auto"/>
          <w:sz w:val="32"/>
          <w:szCs w:val="32"/>
        </w:rPr>
        <w:t>人力资源和社会保障局科学研究所、北京市人力资源和社会保障局综合事务中心</w:t>
      </w:r>
      <w:r>
        <w:rPr>
          <w:rFonts w:hint="eastAsia" w:ascii="仿宋_GB2312" w:hAnsi="仿宋" w:eastAsia="仿宋_GB2312"/>
          <w:color w:val="auto"/>
          <w:sz w:val="32"/>
          <w:szCs w:val="32"/>
          <w:lang w:val="en-US" w:eastAsia="zh-CN"/>
        </w:rPr>
        <w:t>和</w:t>
      </w:r>
      <w:r>
        <w:rPr>
          <w:rFonts w:hint="eastAsia" w:ascii="仿宋_GB2312" w:hAnsi="仿宋" w:eastAsia="仿宋_GB2312"/>
          <w:color w:val="auto"/>
          <w:sz w:val="32"/>
          <w:szCs w:val="32"/>
          <w:lang w:eastAsia="zh-CN"/>
        </w:rPr>
        <w:t>北京市超转人员管理中心</w:t>
      </w:r>
      <w:r>
        <w:rPr>
          <w:rFonts w:hint="eastAsia" w:ascii="仿宋_GB2312" w:hAnsi="仿宋" w:eastAsia="仿宋_GB2312"/>
          <w:color w:val="auto"/>
          <w:sz w:val="32"/>
          <w:szCs w:val="32"/>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2" w:firstLineChars="200"/>
        <w:textAlignment w:val="auto"/>
        <w:outlineLvl w:val="9"/>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2.部门职责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（1）贯彻落实国家关于人力资源和社会保障方面的法律法规、规章和政策，起草本市相关地方性法规草案、政府规章草案。拟订人力资源和社会保障事业发展规划，并组织实施和监督检查。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（2）拟订本市人力资源市场发展规划和人力资源流动政策并组织实施，建立统一规范的人力资源市场并依法管理，促进人力资源合理流动、有效配置。</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3）负责本市促进就业工作。拟订统筹城乡就业发展规划，完善公共就业服务体系，会同有关部门研究拟订促进就业创业政策，制定就业困难群体就业援助政策，组织拟订公益性岗位开发管理政策。拟订并落实职业资格制度和职业技能等级评价相关政策，统筹建立面向城乡劳动者的职业培训制度。牵头拟订高校毕业生就业政策，会同有关部门拟订技能人才培养和激励政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4）统筹建立覆盖城乡的养老、失业、工伤社会保障体系。拟订本市城乡社会保险及补充保险政策和标准并组织实施。会同有关部门拟订社会保险及补充保险基金管理和监督制度，参与拟订本市社会保障基金投资政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（5）负责本市就业、失业、社会保险基金预测预警和信息引导，拟订应对预案，实施预防、调节和控制，保持就业形势稳定和社会保险基金总体收支平衡。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6）负责事业单位人员工资、福利的综合管理和分配制度改革工作。拟订事业单位人员工资、津贴、补贴、奖金、福利等政策并组织实施。研究建立企事业单位人员工资正常增长和支付保障机制。拟订事业单位人员离退休等政策并组织实施。</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7）会同有关部门指导本市事业单位人事制度改革，拟订事业单位人员管理政策。拟订专业技术人员管理和继续教育政策，牵头推进深化职称制度改革工作。健全博士后管理制度。研究拟订积分落户管理实施细则和操作规范并组织落实。拟订外国人来京就业的政策、规划和管理办法并指导实施。</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（8）会同有关部门拟订本市农民工工作综合性政策和规划，推动落实农民工相关政策，协调解决重点难点问题，维护农民工合法权益。</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9）统筹拟订本市劳动关系政策和劳动人事争议调解仲裁制度，完善劳动关系协调机制。拟订企业职工工资收入分配宏观调控政策、消除非法使用童工政策、女工和未成年工特殊劳动保护政策，组织实施劳动保障监察，协调劳动者维权工作，依法查处相关重大案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（10）完成市委、市政府交办的其他任务。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11）与市医保局的有关职责分工。市人力资源社会保障局统筹全市社会保障卡的发行、运用和管理工作；市医保局负责制定社会保障卡在医疗保障方面使用管理的标准规范，并会同市人力资源社会保障局做好管理工作。同时，基本医疗保险、生育保险政策的电话咨询服务，统一纳入市人力资源社会保障局咨询服务平台，市医保局负责做好相关政策的培训、群众意见建议及投诉举报的办理工作。两部门应当建立工作机制，做好信息共享和政策衔接等工作。</w:t>
      </w:r>
    </w:p>
    <w:p>
      <w:pPr>
        <w:keepNext w:val="0"/>
        <w:keepLines w:val="0"/>
        <w:pageBreakBefore w:val="0"/>
        <w:widowControl w:val="0"/>
        <w:kinsoku/>
        <w:wordWrap/>
        <w:overflowPunct/>
        <w:topLinePunct w:val="0"/>
        <w:autoSpaceDE/>
        <w:autoSpaceDN/>
        <w:bidi w:val="0"/>
        <w:adjustRightInd w:val="0"/>
        <w:snapToGrid w:val="0"/>
        <w:spacing w:line="580" w:lineRule="exact"/>
        <w:ind w:firstLine="642" w:firstLineChars="200"/>
        <w:textAlignment w:val="auto"/>
        <w:rPr>
          <w:highlight w:val="none"/>
        </w:rPr>
      </w:pPr>
      <w:r>
        <w:rPr>
          <w:rFonts w:hint="eastAsia" w:ascii="仿宋_GB2312" w:eastAsia="仿宋_GB2312"/>
          <w:b/>
          <w:bCs/>
          <w:sz w:val="32"/>
          <w:szCs w:val="32"/>
          <w:highlight w:val="none"/>
          <w:lang w:val="en-US" w:eastAsia="zh-CN"/>
        </w:rPr>
        <w:t>3</w:t>
      </w:r>
      <w:r>
        <w:rPr>
          <w:rFonts w:hint="eastAsia" w:ascii="仿宋_GB2312" w:eastAsia="仿宋_GB2312"/>
          <w:b/>
          <w:bCs/>
          <w:sz w:val="32"/>
          <w:szCs w:val="32"/>
          <w:highlight w:val="none"/>
        </w:rPr>
        <w:t>.202</w:t>
      </w:r>
      <w:r>
        <w:rPr>
          <w:rFonts w:hint="eastAsia" w:ascii="仿宋_GB2312" w:eastAsia="仿宋_GB2312"/>
          <w:b/>
          <w:bCs/>
          <w:sz w:val="32"/>
          <w:szCs w:val="32"/>
          <w:highlight w:val="none"/>
          <w:lang w:val="en-US" w:eastAsia="zh-CN"/>
        </w:rPr>
        <w:t>4</w:t>
      </w:r>
      <w:r>
        <w:rPr>
          <w:rFonts w:hint="eastAsia" w:ascii="仿宋_GB2312" w:eastAsia="仿宋_GB2312"/>
          <w:b/>
          <w:bCs/>
          <w:sz w:val="32"/>
          <w:szCs w:val="32"/>
          <w:highlight w:val="none"/>
        </w:rPr>
        <w:t>年重点工作任务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1.纵深推进京津冀人社协同发展，持续提升区域共建共享水平。坚决扛起服务京津冀协同发展战略的政治责任，深化拓展合作领域和空间，努力把协同发展成果转化为群众实实在在的获得感。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突出就业优先战略，构建首都特色就业友好型发展方式，深入贯彻相关意见，压实稳就业责任以增强就业带动力；实施促进青年就业行动计划，将高校毕业生等青年群体就业作为重点，加大青年就业支持力度以解决增量和存量问题；实施“技能北京”建设行动，深化人力资源供给侧改革，提高劳动者素质、增加劳动力有效供给以破解结构性就业矛盾。</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color w:val="000000"/>
          <w:kern w:val="0"/>
          <w:sz w:val="32"/>
          <w:szCs w:val="32"/>
          <w:lang w:val="en-US" w:eastAsia="zh-CN" w:bidi="ar"/>
        </w:rPr>
        <w:t>稳步推进社保制度改革，促进社会保障事业高质量、可持续发展。推动社保制度改革，在系统集成、协同高效上下功夫，不断提高群众参保质量，切实增强社会保障的可持续性、可及性、安全性、便捷性、规范性。</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4.深化人才人事工作改革创新，进一步激发人才创新创造活力。全面落实党管人才原则，持续深化人才发展体制机制改革，激发人才创新创造活力，为全市经济社会发展提供人才支撑。</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5.健全劳动关系治理体系，更好维护劳动者合法权益。统筹发展和安全，坚持维护劳动者合法权益、营造良好营商环境和促进企业健康发展相结合，全力维护首都劳动关系和谐稳定。</w:t>
      </w:r>
    </w:p>
    <w:p>
      <w:pPr>
        <w:keepNext w:val="0"/>
        <w:keepLines w:val="0"/>
        <w:pageBreakBefore w:val="0"/>
        <w:widowControl w:val="0"/>
        <w:kinsoku/>
        <w:wordWrap/>
        <w:overflowPunct/>
        <w:topLinePunct w:val="0"/>
        <w:autoSpaceDE/>
        <w:autoSpaceDN/>
        <w:bidi w:val="0"/>
        <w:adjustRightInd/>
        <w:snapToGrid w:val="0"/>
        <w:spacing w:line="580" w:lineRule="exact"/>
        <w:ind w:firstLine="642" w:firstLineChars="200"/>
        <w:textAlignment w:val="auto"/>
        <w:outlineLvl w:val="1"/>
        <w:rPr>
          <w:rFonts w:ascii="楷体" w:hAnsi="楷体" w:eastAsia="楷体"/>
          <w:b/>
          <w:sz w:val="32"/>
          <w:szCs w:val="32"/>
        </w:rPr>
      </w:pPr>
      <w:bookmarkStart w:id="4" w:name="_Toc25928"/>
      <w:r>
        <w:rPr>
          <w:rFonts w:hint="eastAsia" w:ascii="楷体" w:hAnsi="楷体" w:eastAsia="楷体"/>
          <w:b/>
          <w:sz w:val="32"/>
          <w:szCs w:val="32"/>
        </w:rPr>
        <w:t>（二）部门整体绩效目标设立情况</w:t>
      </w:r>
      <w:bookmarkEnd w:id="4"/>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根据</w:t>
      </w:r>
      <w:r>
        <w:rPr>
          <w:rFonts w:hint="eastAsia" w:ascii="仿宋_GB2312" w:hAnsi="仿宋" w:eastAsia="仿宋_GB2312"/>
          <w:sz w:val="32"/>
          <w:szCs w:val="32"/>
        </w:rPr>
        <w:t>北京市人力资源和社会保障局</w:t>
      </w:r>
      <w:r>
        <w:rPr>
          <w:rFonts w:hint="eastAsia" w:ascii="仿宋_GB2312" w:hAnsi="仿宋" w:eastAsia="仿宋_GB2312"/>
          <w:sz w:val="32"/>
          <w:szCs w:val="32"/>
          <w:lang w:val="en-US" w:eastAsia="zh-CN"/>
        </w:rPr>
        <w:t>2024年度填报的</w:t>
      </w:r>
      <w:r>
        <w:rPr>
          <w:rFonts w:hint="eastAsia" w:ascii="仿宋_GB2312" w:hAnsi="仿宋" w:eastAsia="仿宋_GB2312"/>
          <w:sz w:val="32"/>
          <w:szCs w:val="32"/>
          <w:lang w:eastAsia="zh-CN"/>
        </w:rPr>
        <w:t>《部门整体支出绩效目标申报表》</w:t>
      </w:r>
      <w:r>
        <w:rPr>
          <w:rFonts w:hint="eastAsia" w:ascii="仿宋_GB2312" w:hAnsi="仿宋" w:eastAsia="仿宋_GB2312"/>
          <w:sz w:val="32"/>
          <w:szCs w:val="32"/>
          <w:lang w:val="en-US" w:eastAsia="zh-CN"/>
        </w:rPr>
        <w:t>来看，</w:t>
      </w:r>
      <w:r>
        <w:rPr>
          <w:rFonts w:hint="eastAsia" w:ascii="仿宋_GB2312" w:hAnsi="仿宋" w:eastAsia="仿宋_GB2312"/>
          <w:sz w:val="32"/>
          <w:szCs w:val="32"/>
        </w:rPr>
        <w:t>市人力资源和社会保障局</w:t>
      </w:r>
      <w:r>
        <w:rPr>
          <w:rFonts w:hint="eastAsia" w:ascii="仿宋_GB2312" w:hAnsi="仿宋" w:eastAsia="仿宋_GB2312"/>
          <w:sz w:val="32"/>
          <w:szCs w:val="32"/>
          <w:lang w:val="en-US" w:eastAsia="zh-CN"/>
        </w:rPr>
        <w:t>围绕“坚持以习近平新时代中国特色社会主义思想为指导，深入贯彻党的二十大精神，认真落实市委十三届一次、二次、三次全会部署，坚持稳字当头、稳中求进，坚持“五子”联动服务和融入新发展格局，着力在促进高质量充分就业、健全社会保障体系、加强技术技能人才队伍建设、维护劳动关系和谐稳定、提升人力社保服务效能等方面下功夫，以建首善创一流的干劲拼劲，推动首都人力社保事业高质量发展再上新台阶，为新时代首都发展做出新的更大贡献”的总体目标</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lang w:val="en-US" w:eastAsia="zh-CN"/>
        </w:rPr>
        <w:t>绩效目标设置与政策规定、单位职责、预算内容和资金量匹配，与单位职责和年度工作任务相符；</w:t>
      </w:r>
      <w:r>
        <w:rPr>
          <w:rFonts w:hint="eastAsia" w:ascii="仿宋_GB2312" w:hAnsi="仿宋" w:eastAsia="仿宋_GB2312"/>
          <w:sz w:val="32"/>
          <w:szCs w:val="32"/>
        </w:rPr>
        <w:t>市人力资源和社会保障局</w:t>
      </w:r>
      <w:r>
        <w:rPr>
          <w:rFonts w:hint="eastAsia" w:ascii="仿宋_GB2312" w:hAnsi="仿宋" w:eastAsia="仿宋_GB2312"/>
          <w:sz w:val="32"/>
          <w:szCs w:val="32"/>
          <w:lang w:val="en-US" w:eastAsia="zh-CN"/>
        </w:rPr>
        <w:t>从劳动关系和维权、社会保险管理、人力社保公共服务、人才人事管理和就业管理事务五大方面将年度主要工作任务和绩效目标细化分解为具体的考核指标，绩效指标设置明确，可考核性强。</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outlineLvl w:val="0"/>
        <w:rPr>
          <w:rFonts w:hint="eastAsia" w:ascii="黑体" w:hAnsi="黑体" w:eastAsia="黑体"/>
          <w:sz w:val="32"/>
          <w:szCs w:val="32"/>
        </w:rPr>
      </w:pPr>
      <w:bookmarkStart w:id="5" w:name="_Toc32497"/>
      <w:r>
        <w:rPr>
          <w:rFonts w:hint="eastAsia" w:ascii="黑体" w:hAnsi="黑体" w:eastAsia="黑体"/>
          <w:sz w:val="32"/>
          <w:szCs w:val="32"/>
          <w:lang w:val="en-US" w:eastAsia="zh-CN"/>
        </w:rPr>
        <w:t>二、</w:t>
      </w:r>
      <w:r>
        <w:rPr>
          <w:rFonts w:hint="eastAsia" w:ascii="黑体" w:hAnsi="黑体" w:eastAsia="黑体"/>
          <w:sz w:val="32"/>
          <w:szCs w:val="32"/>
        </w:rPr>
        <w:t>当年预算执行情况</w:t>
      </w:r>
      <w:bookmarkEnd w:id="5"/>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rPr>
        <w:t>北京市人力资源和社会保障局</w:t>
      </w:r>
      <w:r>
        <w:rPr>
          <w:rFonts w:hint="eastAsia" w:ascii="仿宋_GB2312" w:hAnsi="仿宋" w:eastAsia="仿宋_GB2312"/>
          <w:sz w:val="32"/>
          <w:szCs w:val="32"/>
          <w:lang w:val="en-US" w:eastAsia="zh-CN"/>
        </w:rPr>
        <w:t>2024年度预算数131939.32万元，全年执行数119996.94万元，执行率90.95%。</w:t>
      </w:r>
      <w:bookmarkStart w:id="6" w:name="_Toc989"/>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三、整体绩效目标实现情况</w:t>
      </w:r>
      <w:bookmarkEnd w:id="6"/>
      <w:r>
        <w:rPr>
          <w:rFonts w:hint="eastAsia" w:ascii="黑体" w:hAnsi="黑体" w:eastAsia="黑体"/>
          <w:sz w:val="32"/>
          <w:szCs w:val="32"/>
        </w:rPr>
        <w:tab/>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2024年北京市人力资源和社会保障局坚持以习近平新时代中国特色社会主义思想为指导，深入学习贯彻党的二十大和二十届二中、三中全会精神，认真落实市委十三届五次全会部署和市政府要求，扎实开展党纪学习教育，全力以赴稳就业、惠民生、促发展，人力资源社会保障各项工作取得新成效。</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一是京津冀人社协同发展不断深化。落实京津冀党政主要领导座谈会部署，推动完成社保卡“一卡通”协同立法，设立“京雄社会保险经办窗口”“京津冀协同社保帮办窗口”，为企业群众提供高频业务异地办理服务。与雄安新区共享境外职业资格认可“北京模式”，助力雄安新区吸引集聚更多国际专业人才。</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二是全市就业局势保持总体稳定。建立就业形势季度分析研判机制，实施促进高校毕业生就业创业“十项行动”，研究制定职业技能培训“见证补贴”政策，提升政策精准性和资金使用效益。健全就业公共服务体系，升级打造马驹桥零工市场等一批就业服务平台。</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三是社会保障体系更加健全。积极稳妥推进渐进式延迟法定退休年龄改革，加强政策宣传和舆情监测处置，保证了政策发布后首都安全稳定。落实基本养老保险全国统筹制度，</w:t>
      </w:r>
      <w:r>
        <w:rPr>
          <w:rFonts w:hint="eastAsia" w:ascii="仿宋_GB2312" w:hAnsi="仿宋" w:eastAsia="仿宋_GB2312"/>
          <w:sz w:val="32"/>
          <w:szCs w:val="32"/>
          <w:lang w:val="en-US" w:eastAsia="zh-CN"/>
        </w:rPr>
        <w:t>北京市</w:t>
      </w:r>
      <w:r>
        <w:rPr>
          <w:rFonts w:hint="eastAsia" w:ascii="仿宋_GB2312" w:hAnsi="仿宋" w:eastAsia="仿宋_GB2312"/>
          <w:sz w:val="32"/>
          <w:szCs w:val="32"/>
        </w:rPr>
        <w:t>基金管理规范性、安全性、可持续性等各项指标均处于全国前列。研究调整养老保险基金委托投资模式，扩大基金投资规模，提高基金收益。开展骗取套取社保基金专项整治，建立基金监管常态化督导机制，守住基金安全底线。</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四是人事人才改革创新实现新突破。服务“两区”建设，发布全国首个国际职业资格认可目录，在商务会展、云计算领域实现职业资格从单边认可到双向互认的突破。优化文化文物单位收入分配激励机制，试点将博物馆、公园等文创产品收入用于绩效激励。启动“产教评”技能生态链建设，打造面向产业需求的技能人才培养模式。积极组织参加第47届世界技能大赛，</w:t>
      </w:r>
      <w:r>
        <w:rPr>
          <w:rFonts w:hint="eastAsia" w:ascii="仿宋_GB2312" w:hAnsi="仿宋" w:eastAsia="仿宋_GB2312"/>
          <w:sz w:val="32"/>
          <w:szCs w:val="32"/>
          <w:lang w:val="en-US" w:eastAsia="zh-CN"/>
        </w:rPr>
        <w:t>参赛</w:t>
      </w:r>
      <w:r>
        <w:rPr>
          <w:rFonts w:hint="eastAsia" w:ascii="仿宋_GB2312" w:hAnsi="仿宋" w:eastAsia="仿宋_GB2312"/>
          <w:sz w:val="32"/>
          <w:szCs w:val="32"/>
        </w:rPr>
        <w:t>选手取得两金的历史最好成绩。</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五是劳动关系治理能力不断增强。创建劳动用工风险监测系统，实现对企业裁员风险实时预警。组织根治欠薪专项治理，保持欠薪线索动态清零。发布人力资源市场薪酬数据报告，为劳动者求职择业和企业薪酬分配提供指引。持续开展新就业形态职业伤害保障试点，创新打造劳动纠纷“一站式”调解中心，维护新就业形态劳动者合法权益。</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eastAsia="仿宋_GB2312"/>
          <w:sz w:val="32"/>
          <w:szCs w:val="32"/>
        </w:rPr>
      </w:pPr>
      <w:r>
        <w:rPr>
          <w:rFonts w:hint="eastAsia" w:ascii="仿宋_GB2312" w:hAnsi="仿宋" w:eastAsia="仿宋_GB2312"/>
          <w:sz w:val="32"/>
          <w:szCs w:val="32"/>
        </w:rPr>
        <w:t>六是全面从严治党持续向纵深发展。扎实履行全面从严治党主体责任，认真开展党纪学习教育，创新对局属事业单位开展全覆盖政治督察。树立正确用人导向，建立年度干部选拔任用工作通报制度，加大优秀年轻干部培养选拔力度。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年度各项考核均较上年度有较大幅度提升，政治生态不断向上向好。</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2" w:firstLineChars="200"/>
        <w:textAlignment w:val="auto"/>
        <w:outlineLvl w:val="1"/>
        <w:rPr>
          <w:rFonts w:hint="eastAsia" w:ascii="仿宋_GB2312" w:hAnsi="仿宋" w:eastAsia="仿宋_GB2312" w:cstheme="minorBidi"/>
          <w:kern w:val="2"/>
          <w:sz w:val="32"/>
          <w:szCs w:val="32"/>
          <w:lang w:val="en-US" w:eastAsia="zh-CN" w:bidi="ar-SA"/>
        </w:rPr>
      </w:pPr>
      <w:bookmarkStart w:id="7" w:name="_Toc12692"/>
      <w:r>
        <w:rPr>
          <w:rFonts w:hint="eastAsia" w:ascii="楷体" w:hAnsi="楷体" w:eastAsia="楷体"/>
          <w:b/>
          <w:sz w:val="32"/>
          <w:szCs w:val="32"/>
          <w:lang w:eastAsia="zh-CN"/>
        </w:rPr>
        <w:t>（</w:t>
      </w:r>
      <w:r>
        <w:rPr>
          <w:rFonts w:hint="eastAsia" w:ascii="楷体" w:hAnsi="楷体" w:eastAsia="楷体"/>
          <w:b/>
          <w:sz w:val="32"/>
          <w:szCs w:val="32"/>
          <w:lang w:val="en-US" w:eastAsia="zh-CN"/>
        </w:rPr>
        <w:t>一</w:t>
      </w:r>
      <w:r>
        <w:rPr>
          <w:rFonts w:hint="eastAsia" w:ascii="楷体" w:hAnsi="楷体" w:eastAsia="楷体"/>
          <w:b/>
          <w:sz w:val="32"/>
          <w:szCs w:val="32"/>
          <w:lang w:eastAsia="zh-CN"/>
        </w:rPr>
        <w:t>）</w:t>
      </w:r>
      <w:r>
        <w:rPr>
          <w:rFonts w:hint="eastAsia" w:ascii="楷体" w:hAnsi="楷体" w:eastAsia="楷体"/>
          <w:b/>
          <w:sz w:val="32"/>
          <w:szCs w:val="32"/>
        </w:rPr>
        <w:t>产出完成情况分析</w:t>
      </w:r>
      <w:bookmarkEnd w:id="7"/>
    </w:p>
    <w:p>
      <w:pPr>
        <w:pStyle w:val="16"/>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2" w:firstLineChars="200"/>
        <w:textAlignment w:val="auto"/>
        <w:outlineLvl w:val="9"/>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1.产出数量</w:t>
      </w:r>
    </w:p>
    <w:p>
      <w:pPr>
        <w:pStyle w:val="16"/>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9"/>
        <w:rPr>
          <w:rFonts w:hint="default" w:ascii="仿宋_GB2312" w:hAnsi="仿宋" w:eastAsia="仿宋_GB2312"/>
          <w:sz w:val="32"/>
          <w:szCs w:val="32"/>
          <w:lang w:val="en-US" w:eastAsia="zh-CN"/>
        </w:rPr>
      </w:pPr>
      <w:bookmarkStart w:id="8" w:name="OLE_LINK1"/>
      <w:r>
        <w:rPr>
          <w:rFonts w:hint="eastAsia" w:ascii="仿宋_GB2312" w:hAnsi="仿宋" w:eastAsia="仿宋_GB2312" w:cstheme="minorBidi"/>
          <w:kern w:val="2"/>
          <w:sz w:val="32"/>
          <w:szCs w:val="32"/>
          <w:lang w:val="en-US" w:eastAsia="zh-CN" w:bidi="ar-SA"/>
        </w:rPr>
        <w:t>2024年，北京市人力资源和社会保障局积极作为，通过开展高校毕业生职业指导、组织线上线下招聘等举措，全力推进就业工作。</w:t>
      </w:r>
      <w:r>
        <w:rPr>
          <w:rFonts w:hint="eastAsia" w:hAnsi="仿宋" w:eastAsia="仿宋_GB2312"/>
          <w:sz w:val="32"/>
          <w:szCs w:val="32"/>
          <w:lang w:val="en-US" w:eastAsia="zh-CN"/>
        </w:rPr>
        <w:t>全部达到目标值。</w:t>
      </w:r>
    </w:p>
    <w:bookmarkEnd w:id="8"/>
    <w:p>
      <w:pPr>
        <w:pStyle w:val="16"/>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2" w:firstLineChars="200"/>
        <w:textAlignment w:val="auto"/>
        <w:outlineLvl w:val="9"/>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2.产出质量</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（1）推动实现更加充分更高质量就业</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2024年</w:t>
      </w:r>
      <w:r>
        <w:rPr>
          <w:rFonts w:hint="eastAsia" w:ascii="仿宋_GB2312" w:hAnsi="仿宋" w:eastAsia="仿宋_GB2312"/>
          <w:sz w:val="32"/>
          <w:szCs w:val="32"/>
        </w:rPr>
        <w:t>北京市人力资源和社会保障局</w:t>
      </w:r>
      <w:r>
        <w:rPr>
          <w:rFonts w:hint="eastAsia" w:ascii="仿宋_GB2312" w:hAnsi="仿宋_GB2312" w:eastAsia="仿宋_GB2312" w:cs="仿宋_GB2312"/>
          <w:kern w:val="2"/>
          <w:sz w:val="32"/>
          <w:szCs w:val="32"/>
          <w:lang w:val="en-US" w:eastAsia="zh-CN" w:bidi="ar-SA"/>
        </w:rPr>
        <w:t>从多维度发力，推动实现更加充分更高质量就业。深入实施就业优先战略，制定第二个促进创业带动就业三年行动计划、人社系统推进人才高地建设三年行动方案等，出台多项制度政策，提升政策精准性与资金效益。建立就业形势季度分析研判机制，优化公共就业服务，试点“家门口”就业服务机制。聚焦重点群体，实施高校毕业生就业创业“十项行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bookmarkStart w:id="9" w:name="OLE_LINK4"/>
      <w:r>
        <w:rPr>
          <w:rFonts w:hint="eastAsia" w:ascii="仿宋_GB2312" w:hAnsi="仿宋_GB2312" w:eastAsia="仿宋_GB2312" w:cs="仿宋_GB2312"/>
          <w:kern w:val="2"/>
          <w:sz w:val="32"/>
          <w:szCs w:val="32"/>
          <w:lang w:val="en-US" w:eastAsia="zh-CN" w:bidi="ar-SA"/>
        </w:rPr>
        <w:t>（2）进一步健全多层次社会保障制度体系</w:t>
      </w:r>
    </w:p>
    <w:bookmarkEnd w:id="9"/>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 w:eastAsia="仿宋_GB2312"/>
          <w:sz w:val="32"/>
          <w:szCs w:val="32"/>
        </w:rPr>
        <w:t>北京市人力资源和社会保障局</w:t>
      </w:r>
      <w:r>
        <w:rPr>
          <w:rFonts w:hint="eastAsia" w:ascii="仿宋_GB2312" w:hAnsi="仿宋_GB2312" w:eastAsia="仿宋_GB2312" w:cs="仿宋_GB2312"/>
          <w:kern w:val="2"/>
          <w:sz w:val="32"/>
          <w:szCs w:val="32"/>
          <w:lang w:val="en-US" w:eastAsia="zh-CN" w:bidi="ar-SA"/>
        </w:rPr>
        <w:t>围绕“进一步健全多层次社会保障制度体系”目标，多举措协同发力。落实社保基金管理巩固提升行动，调整养老保险基金委托投资模式，开展骗取套取社保基金专项整治，创新监管督导，推进工伤保险医疗机构检查，筑牢基金安全防线。</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同时，大力推进京津冀社保卡居民服务“一卡通”建设，实现三地社会保险数据共享、领取资格认证互通，完成协同立法，实现社保、就医、出行等一卡通用；发布社保“同事同标”事项，设立帮办窗口，共享职业资格认可模式，发布区域协同标准，便利异地业务办理，促进区域人才资源融通，推动社会保障制度体系向更成熟、更完善方向发展。</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bookmarkStart w:id="10" w:name="OLE_LINK5"/>
      <w:r>
        <w:rPr>
          <w:rFonts w:hint="eastAsia" w:ascii="仿宋_GB2312" w:hAnsi="仿宋_GB2312" w:eastAsia="仿宋_GB2312" w:cs="仿宋_GB2312"/>
          <w:kern w:val="2"/>
          <w:sz w:val="32"/>
          <w:szCs w:val="32"/>
          <w:lang w:val="en-US" w:eastAsia="zh-CN" w:bidi="ar-SA"/>
        </w:rPr>
        <w:t>（3）持续加强技术技能人才队伍建设</w:t>
      </w:r>
    </w:p>
    <w:bookmarkEnd w:id="10"/>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 w:eastAsia="仿宋_GB2312"/>
          <w:sz w:val="32"/>
          <w:szCs w:val="32"/>
        </w:rPr>
        <w:t>北京市人力资源和社会保障局</w:t>
      </w:r>
      <w:r>
        <w:rPr>
          <w:rFonts w:hint="eastAsia" w:ascii="仿宋_GB2312" w:hAnsi="仿宋_GB2312" w:eastAsia="仿宋_GB2312" w:cs="仿宋_GB2312"/>
          <w:kern w:val="2"/>
          <w:sz w:val="32"/>
          <w:szCs w:val="32"/>
          <w:lang w:val="en-US" w:eastAsia="zh-CN" w:bidi="ar-SA"/>
        </w:rPr>
        <w:t>以多项务实举措持续加强技术技能人才队伍建设，成效显著。在职称评审与人才引育方面，将量子信息、生物技术等新职业纳入评审范围。全方位推动技术技能人才队伍高质量发展。</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w:t>
      </w:r>
      <w:bookmarkStart w:id="11" w:name="OLE_LINK6"/>
      <w:r>
        <w:rPr>
          <w:rFonts w:hint="eastAsia" w:ascii="仿宋_GB2312" w:hAnsi="仿宋_GB2312" w:eastAsia="仿宋_GB2312" w:cs="仿宋_GB2312"/>
          <w:kern w:val="2"/>
          <w:sz w:val="32"/>
          <w:szCs w:val="32"/>
          <w:lang w:val="en-US" w:eastAsia="zh-CN" w:bidi="ar-SA"/>
        </w:rPr>
        <w:t>保持和谐稳定的劳动关系</w:t>
      </w:r>
      <w:bookmarkEnd w:id="11"/>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 w:eastAsia="仿宋_GB2312"/>
          <w:sz w:val="32"/>
          <w:szCs w:val="32"/>
        </w:rPr>
        <w:t>北京市人力资源和社会保障局</w:t>
      </w:r>
      <w:r>
        <w:rPr>
          <w:rFonts w:hint="eastAsia" w:ascii="仿宋_GB2312" w:hAnsi="仿宋_GB2312" w:eastAsia="仿宋_GB2312" w:cs="仿宋_GB2312"/>
          <w:kern w:val="2"/>
          <w:sz w:val="32"/>
          <w:szCs w:val="32"/>
          <w:lang w:val="en-US" w:eastAsia="zh-CN" w:bidi="ar-SA"/>
        </w:rPr>
        <w:t>多措并举构建和谐稳定劳动关系，成效斐然。在薪酬体系引导与权益保障领域，通过制定并发布企业工资指导线、行业工资指导线及人力资源薪酬大数据报告，有力推动工资集体协商制度落地；依托人力资源市场薪酬数据报告，为企业科学分配薪酬、劳动者理性择业提供精准指引。同时，持续深化新就业形态职业伤害保障试点工作；</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在劳动关系风险防控治理方面，充分发挥劳动用工风险监测预警平台效能，创新搭建企业裁员风险实时预警系统，构建“动态监测—精准研判—高效联动”全链条处置机制。常态化开展根治欠薪专项治理行动，确保欠薪线索动态清零，从源头防范化解用工风险；</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在争议调解处置与长效机制建设上，着力强化基层协商调解效能，实现劳动人事争议仲裁案件线上线下一体化办理，畅通维权渠道。通过健全劳动关系协商协调机制、发布十大仲裁典型案例，形成“示范引领+规范化解”模式，推动超八成劳动人事争议案件在仲裁阶段高效化解，为维护首都社会大局稳定、促进劳动关系和谐发展筑牢制度根基。</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bookmarkStart w:id="12" w:name="OLE_LINK7"/>
      <w:r>
        <w:rPr>
          <w:rFonts w:hint="eastAsia" w:ascii="仿宋_GB2312" w:hAnsi="仿宋_GB2312" w:eastAsia="仿宋_GB2312" w:cs="仿宋_GB2312"/>
          <w:kern w:val="2"/>
          <w:sz w:val="32"/>
          <w:szCs w:val="32"/>
          <w:lang w:val="en-US" w:eastAsia="zh-CN" w:bidi="ar-SA"/>
        </w:rPr>
        <w:t>（5）</w:t>
      </w:r>
      <w:bookmarkStart w:id="13" w:name="OLE_LINK8"/>
      <w:r>
        <w:rPr>
          <w:rFonts w:hint="eastAsia" w:ascii="仿宋_GB2312" w:hAnsi="仿宋_GB2312" w:eastAsia="仿宋_GB2312" w:cs="仿宋_GB2312"/>
          <w:kern w:val="2"/>
          <w:sz w:val="32"/>
          <w:szCs w:val="32"/>
          <w:lang w:val="en-US" w:eastAsia="zh-CN" w:bidi="ar-SA"/>
        </w:rPr>
        <w:t>不断提升系统行风建设效能</w:t>
      </w:r>
      <w:bookmarkEnd w:id="13"/>
    </w:p>
    <w:bookmarkEnd w:id="12"/>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 w:eastAsia="仿宋_GB2312"/>
          <w:sz w:val="32"/>
          <w:szCs w:val="32"/>
        </w:rPr>
        <w:t>北京市人力资源和社会保障局</w:t>
      </w:r>
      <w:r>
        <w:rPr>
          <w:rFonts w:hint="eastAsia" w:ascii="仿宋_GB2312" w:hAnsi="仿宋_GB2312" w:eastAsia="仿宋_GB2312" w:cs="仿宋_GB2312"/>
          <w:kern w:val="2"/>
          <w:sz w:val="32"/>
          <w:szCs w:val="32"/>
          <w:lang w:val="en-US" w:eastAsia="zh-CN" w:bidi="ar-SA"/>
        </w:rPr>
        <w:t>通过优化服务、强化培训、深化协同、加速数字化等举措提升系统行风建设效能。提升12333热线智能化水平，打造“专家会诊室”，群众好评率超99%；实施《北京市人力社保服务规范》2.0版，开展技能练兵比武获全国团体一等奖；推动京津冀人社协同，修订区域标准，举办十周年纪念活动并签署深化合作协议；推进人社数字化，构建“智慧人社”体系，“家门口”智慧就业平台上线，举办专题研讨班，全面提质增效。</w:t>
      </w:r>
    </w:p>
    <w:p>
      <w:pPr>
        <w:keepNext w:val="0"/>
        <w:keepLines w:val="0"/>
        <w:pageBreakBefore w:val="0"/>
        <w:widowControl w:val="0"/>
        <w:kinsoku/>
        <w:wordWrap/>
        <w:overflowPunct/>
        <w:topLinePunct w:val="0"/>
        <w:autoSpaceDE/>
        <w:autoSpaceDN/>
        <w:bidi w:val="0"/>
        <w:adjustRightInd/>
        <w:snapToGrid w:val="0"/>
        <w:spacing w:line="580" w:lineRule="exact"/>
        <w:ind w:firstLine="642" w:firstLineChars="200"/>
        <w:textAlignment w:val="auto"/>
        <w:outlineLvl w:val="1"/>
        <w:rPr>
          <w:rFonts w:hint="eastAsia" w:ascii="楷体" w:hAnsi="楷体" w:eastAsia="楷体"/>
          <w:b/>
          <w:sz w:val="32"/>
          <w:szCs w:val="32"/>
        </w:rPr>
      </w:pPr>
      <w:bookmarkStart w:id="14" w:name="_Toc7277"/>
      <w:r>
        <w:rPr>
          <w:rFonts w:hint="eastAsia" w:ascii="楷体" w:hAnsi="楷体" w:eastAsia="楷体"/>
          <w:b/>
          <w:sz w:val="32"/>
          <w:szCs w:val="32"/>
        </w:rPr>
        <w:t>（二）效果实现情况分析</w:t>
      </w:r>
      <w:bookmarkEnd w:id="14"/>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2024年，北京市</w:t>
      </w:r>
      <w:r>
        <w:rPr>
          <w:rFonts w:hint="eastAsia" w:ascii="仿宋_GB2312" w:eastAsia="仿宋_GB2312"/>
          <w:sz w:val="32"/>
          <w:szCs w:val="32"/>
        </w:rPr>
        <w:t>人力资源和社会保障局</w:t>
      </w:r>
      <w:r>
        <w:rPr>
          <w:rFonts w:hint="eastAsia" w:ascii="仿宋_GB2312" w:hAnsi="仿宋" w:eastAsia="仿宋_GB2312"/>
          <w:sz w:val="32"/>
          <w:szCs w:val="32"/>
          <w:lang w:val="en-US" w:eastAsia="zh-CN"/>
        </w:rPr>
        <w:t>通过深化京津冀协同推动社保“一卡通”跨区域应用与人力资源配置，推进“智慧人社”实现招聘网办及大数据决策，建设人才高地培育数字人才、增设新兴职称并构建技能生态链，强化人才服务保障共享资格认可、优化引才政策，以及优化就业创业服务搭建区域中心与智慧平台，提升服务首都高质量发展能力；通过健全劳动关系治理、强化风险监测、根治欠薪、优化社保经办、扩大就业与培训等举措，释放民生保障功能；通过社保统筹改革、人才评价机制创新、市场化就业服务探索等，深化各领域改革；通过基金安全监管、劳动关系风险预警、就业形势研判等，筑牢安全底线；通过行风建设、技能比武及党建引领，夯实事业发展根基，全面推动首都人力社保工作提质增效。</w:t>
      </w:r>
    </w:p>
    <w:p>
      <w:pPr>
        <w:keepNext w:val="0"/>
        <w:keepLines w:val="0"/>
        <w:pageBreakBefore w:val="0"/>
        <w:widowControl w:val="0"/>
        <w:kinsoku/>
        <w:wordWrap/>
        <w:overflowPunct/>
        <w:topLinePunct w:val="0"/>
        <w:autoSpaceDE/>
        <w:autoSpaceDN/>
        <w:bidi w:val="0"/>
        <w:adjustRightInd w:val="0"/>
        <w:snapToGrid w:val="0"/>
        <w:spacing w:line="580" w:lineRule="exact"/>
        <w:ind w:firstLine="642" w:firstLineChars="200"/>
        <w:textAlignment w:val="auto"/>
        <w:outlineLvl w:val="9"/>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1.社会效益</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bookmarkStart w:id="15" w:name="OLE_LINK9"/>
      <w:r>
        <w:rPr>
          <w:rFonts w:hint="eastAsia" w:ascii="仿宋_GB2312" w:hAnsi="仿宋_GB2312" w:eastAsia="仿宋_GB2312" w:cs="仿宋_GB2312"/>
          <w:kern w:val="2"/>
          <w:sz w:val="32"/>
          <w:szCs w:val="32"/>
          <w:lang w:val="en-US" w:eastAsia="zh-CN" w:bidi="ar-SA"/>
        </w:rPr>
        <w:t>（1）</w:t>
      </w:r>
      <w:bookmarkStart w:id="16" w:name="OLE_LINK10"/>
      <w:r>
        <w:rPr>
          <w:rFonts w:hint="eastAsia" w:ascii="仿宋_GB2312" w:hAnsi="仿宋_GB2312" w:eastAsia="仿宋_GB2312" w:cs="仿宋_GB2312"/>
          <w:kern w:val="2"/>
          <w:sz w:val="32"/>
          <w:szCs w:val="32"/>
          <w:lang w:val="en-US" w:eastAsia="zh-CN" w:bidi="ar-SA"/>
        </w:rPr>
        <w:t>促进服务和保障首都高质量发展的能力</w:t>
      </w:r>
      <w:bookmarkEnd w:id="16"/>
    </w:p>
    <w:bookmarkEnd w:id="15"/>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 w:eastAsia="仿宋_GB2312"/>
          <w:sz w:val="32"/>
          <w:szCs w:val="32"/>
          <w:lang w:val="en-US" w:eastAsia="zh-CN"/>
        </w:rPr>
        <w:t>北京市</w:t>
      </w:r>
      <w:r>
        <w:rPr>
          <w:rFonts w:hint="eastAsia" w:ascii="仿宋_GB2312" w:eastAsia="仿宋_GB2312"/>
          <w:sz w:val="32"/>
          <w:szCs w:val="32"/>
        </w:rPr>
        <w:t>人力资源和社会保障局</w:t>
      </w:r>
      <w:r>
        <w:rPr>
          <w:rFonts w:hint="eastAsia" w:ascii="仿宋_GB2312" w:hAnsi="仿宋_GB2312" w:eastAsia="仿宋_GB2312" w:cs="仿宋_GB2312"/>
          <w:kern w:val="2"/>
          <w:sz w:val="32"/>
          <w:szCs w:val="32"/>
          <w:lang w:val="en-US" w:eastAsia="zh-CN" w:bidi="ar-SA"/>
        </w:rPr>
        <w:t>围绕服务和保障首都高质量发展，从多领域精准发力、协同推进。在区域协同发展上，深化京津冀人力社保服务协作，推动社保卡“一卡通”跨区域立法及应用，促进三地人力资源高效配置，为区域协调发展注入动能；在数字赋能方面，大力推进“智慧人社”建设，搭建线上招聘平台，实现事业单位招聘全流程线上办理，借助大数据优化政策决策，提升政务服务效能，助力首都治理体系现代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人才战略实施中，制定高水平人才高地建设方案，增设量子信息等新兴职称专业，构建“产教评”技能生态链，培育数字人才，为科技创新中心建设和高精尖产业发展提供坚实人才保障；同步强化人才服务，与雄安新区共享境外职业资格认可经验，发布新质生产力人力资源开发目录，优化高校毕业生引进政策，激活人才市场活力。</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就业创业服务优化进程中，国家公共就业服务区域中心挂牌运行，辐射京津冀就业服务网络；举办人力资源服务业融合发展大会，深化国际合作，增强首都国际交往中心功能；依托智慧化就业平台实现服务“一键直达”，精准对接数字经济发展需求，全方位提升服务保障首都高质量发展的能力</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w:t>
      </w:r>
      <w:bookmarkStart w:id="17" w:name="OLE_LINK12"/>
      <w:r>
        <w:rPr>
          <w:rFonts w:hint="eastAsia" w:ascii="仿宋_GB2312" w:hAnsi="仿宋_GB2312" w:eastAsia="仿宋_GB2312" w:cs="仿宋_GB2312"/>
          <w:kern w:val="2"/>
          <w:sz w:val="32"/>
          <w:szCs w:val="32"/>
          <w:lang w:val="en-US" w:eastAsia="zh-CN" w:bidi="ar-SA"/>
        </w:rPr>
        <w:t>促进保障和改善民生的基础性功能得到释放</w:t>
      </w:r>
      <w:bookmarkEnd w:id="17"/>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 w:eastAsia="仿宋_GB2312"/>
          <w:sz w:val="32"/>
          <w:szCs w:val="32"/>
          <w:lang w:val="en-US" w:eastAsia="zh-CN"/>
        </w:rPr>
        <w:t>北京市</w:t>
      </w:r>
      <w:r>
        <w:rPr>
          <w:rFonts w:hint="eastAsia" w:ascii="仿宋_GB2312" w:eastAsia="仿宋_GB2312"/>
          <w:sz w:val="32"/>
          <w:szCs w:val="32"/>
        </w:rPr>
        <w:t>人力资源和社会保障局</w:t>
      </w:r>
      <w:r>
        <w:rPr>
          <w:rFonts w:hint="eastAsia" w:ascii="仿宋_GB2312" w:hAnsi="仿宋_GB2312" w:eastAsia="仿宋_GB2312" w:cs="仿宋_GB2312"/>
          <w:kern w:val="2"/>
          <w:sz w:val="32"/>
          <w:szCs w:val="32"/>
          <w:lang w:val="en-US" w:eastAsia="zh-CN" w:bidi="ar-SA"/>
        </w:rPr>
        <w:t>通过多维度举措，充分释放保障和改善民生的基础性功能。在劳动关系与权益保障方面，统筹企业发展和劳动者权益，健全治理体系，强化劳动用工风险监测，建立企业裁员预警机制，开展新就业形态职业伤害保障试点，加大协商协调力度，根治欠薪问题，动态清零欠薪线索，切实维护劳动者，尤其是新就业形态劳动者和农民工的合法权益。</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在社保服务与体系建设领域，优化社保经办服务，简化流程、升级系统；落实国家改革任务，推进延迟退休改革，提高社保待遇标准，扩大新就业形态社保覆盖，健全多层次社会保障体系。同时，着力加强职业技能培训，以“见证补贴”和数字化培训提升劳动者就业能力，对接产业需求调整培训目录；提高重点群体就业质量，实施高校毕业生就业“十项行动”，帮扶农村劳动力和就业困难人员，实现“零就业家庭”清零，推动参保扩面；全力稳定和扩大就业岗位，新增就业超额完成目标，建立零工市场，发放稳岗补贴，多管齐下筑牢就业民生底线，稳定民生基本盘，让民生保障更有力度、更具温度。</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bookmarkStart w:id="18" w:name="OLE_LINK11"/>
      <w:r>
        <w:rPr>
          <w:rFonts w:hint="eastAsia" w:ascii="仿宋_GB2312" w:hAnsi="仿宋_GB2312" w:eastAsia="仿宋_GB2312" w:cs="仿宋_GB2312"/>
          <w:kern w:val="2"/>
          <w:sz w:val="32"/>
          <w:szCs w:val="32"/>
          <w:lang w:val="en-US" w:eastAsia="zh-CN" w:bidi="ar-SA"/>
        </w:rPr>
        <w:t>（3）全面深化人力社保领域改革的效果持续显现</w:t>
      </w:r>
    </w:p>
    <w:bookmarkEnd w:id="18"/>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bookmarkStart w:id="19" w:name="OLE_LINK14"/>
      <w:r>
        <w:rPr>
          <w:rFonts w:hint="eastAsia" w:ascii="仿宋_GB2312" w:hAnsi="仿宋" w:eastAsia="仿宋_GB2312"/>
          <w:sz w:val="32"/>
          <w:szCs w:val="32"/>
          <w:lang w:val="en-US" w:eastAsia="zh-CN"/>
        </w:rPr>
        <w:t>北京市</w:t>
      </w:r>
      <w:r>
        <w:rPr>
          <w:rFonts w:hint="eastAsia" w:ascii="仿宋_GB2312" w:eastAsia="仿宋_GB2312"/>
          <w:sz w:val="32"/>
          <w:szCs w:val="32"/>
        </w:rPr>
        <w:t>人力资源和社会保障局</w:t>
      </w:r>
      <w:bookmarkEnd w:id="19"/>
      <w:r>
        <w:rPr>
          <w:rFonts w:hint="eastAsia" w:ascii="仿宋_GB2312" w:hAnsi="仿宋_GB2312" w:eastAsia="仿宋_GB2312" w:cs="仿宋_GB2312"/>
          <w:kern w:val="2"/>
          <w:sz w:val="32"/>
          <w:szCs w:val="32"/>
          <w:lang w:val="en-US" w:eastAsia="zh-CN" w:bidi="ar-SA"/>
        </w:rPr>
        <w:t>聚焦人力社保领域关键环节，全面深化改革，成效显著且持续释放发展动能。在社会保障体系建设上，严格落实国家改革任务，推进基本养老保险全国统筹，优化基金投资与管理机制，推动社保制度向纵深发展；在人才发展方面，通过下放职称评审权至区、高校和企业，试点“产教评”技能生态链，改革事业单位招聘与薪酬激励机制，破除人才发展体制障碍，同时放开引才限制，加速市场化人才配置。就业创业服务创新突破，以“赛展演会”模式举办职业技能大赛，深化“以赛促训”，支持人力资源服务业发展；就业岗位保障机制不断优化，出台零工市场规范政策，创新灵活就业管理，探索“政策+市场”双轮驱动的就业保障模式，多维度推动人力社保领域改革走深走实，释放改革红利。</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bookmarkStart w:id="20" w:name="OLE_LINK13"/>
      <w:r>
        <w:rPr>
          <w:rFonts w:hint="eastAsia" w:ascii="仿宋_GB2312" w:hAnsi="仿宋_GB2312" w:eastAsia="仿宋_GB2312" w:cs="仿宋_GB2312"/>
          <w:kern w:val="2"/>
          <w:sz w:val="32"/>
          <w:szCs w:val="32"/>
          <w:lang w:val="en-US" w:eastAsia="zh-CN" w:bidi="ar-SA"/>
        </w:rPr>
        <w:t>（4）安全稳定的事业发展环境持续优化</w:t>
      </w:r>
    </w:p>
    <w:bookmarkEnd w:id="20"/>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 w:eastAsia="仿宋_GB2312"/>
          <w:sz w:val="32"/>
          <w:szCs w:val="32"/>
          <w:lang w:val="en-US" w:eastAsia="zh-CN"/>
        </w:rPr>
        <w:t>北京市</w:t>
      </w:r>
      <w:r>
        <w:rPr>
          <w:rFonts w:hint="eastAsia" w:ascii="仿宋_GB2312" w:eastAsia="仿宋_GB2312"/>
          <w:sz w:val="32"/>
          <w:szCs w:val="32"/>
        </w:rPr>
        <w:t>人力资源和社会保障局</w:t>
      </w:r>
      <w:r>
        <w:rPr>
          <w:rFonts w:hint="eastAsia" w:ascii="仿宋_GB2312" w:hAnsi="仿宋_GB2312" w:eastAsia="仿宋_GB2312" w:cs="仿宋_GB2312"/>
          <w:kern w:val="2"/>
          <w:sz w:val="32"/>
          <w:szCs w:val="32"/>
          <w:lang w:val="en-US" w:eastAsia="zh-CN" w:bidi="ar-SA"/>
        </w:rPr>
        <w:t>聚焦关键领域，多管齐下优化安全稳定的事业发展环境。在劳动用工监管层面，强化风险监测，利用企业裁员风险实时预警机制，有效防范大规模失业及劳动关系矛盾，稳固就业市场秩序；在社会保障领域，一方面严格落实国家改革任务，开展骗取社保基金专项整治并构建常态化监管机制，另一方面加强社保基金管理，借助“互联网+监管”模式对工伤保险医疗机构等开展全面检查，全方位保障社保基金安全，守护群众“养老钱”；就业保障方面，建立就业形势季度研判机制，依托大数据实时监测用工动态，提前预警区域性、行业性就业风险，多措并举确保就业市场安全平稳，为事业发展筑牢坚实环境基础。</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（5）引领和保障事业发展的根基持续夯实</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 w:eastAsia="仿宋_GB2312"/>
          <w:sz w:val="32"/>
          <w:szCs w:val="32"/>
          <w:lang w:val="en-US" w:eastAsia="zh-CN"/>
        </w:rPr>
        <w:t>北京市</w:t>
      </w:r>
      <w:r>
        <w:rPr>
          <w:rFonts w:hint="eastAsia" w:ascii="仿宋_GB2312" w:eastAsia="仿宋_GB2312"/>
          <w:sz w:val="32"/>
          <w:szCs w:val="32"/>
        </w:rPr>
        <w:t>人力资源和社会保障局</w:t>
      </w:r>
      <w:r>
        <w:rPr>
          <w:rFonts w:hint="eastAsia" w:ascii="仿宋_GB2312" w:hAnsi="仿宋_GB2312" w:eastAsia="仿宋_GB2312" w:cs="仿宋_GB2312"/>
          <w:kern w:val="2"/>
          <w:sz w:val="32"/>
          <w:szCs w:val="32"/>
          <w:lang w:val="en-US" w:eastAsia="zh-CN" w:bidi="ar-SA"/>
        </w:rPr>
        <w:t>紧紧围绕新时代人社事业高质量发展目标，以系统行风建设与党管人才原则为两大核心抓手，双轮驱动、协同发力，从组织建设、人才培育、政治引领等多维度持续夯实引领和保障事业发展的深厚根基，为推进人社领域各项工作提供坚实有力支撑。一方面，以“局处长走流程”、技能练兵比武、热线服务优化提升人社干部队伍专业化水平，整治不正之风，筑牢事业发展的组织基础；另一方面，强化党建对人才工作的全面领导，将人才发展融入首都“四个中心”建设大局，构建多元化培训体系，提升政府统筹协调与治理效能，确保人社工作正确政治方向。</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2" w:firstLineChars="200"/>
        <w:textAlignment w:val="auto"/>
        <w:outlineLvl w:val="9"/>
      </w:pPr>
      <w:r>
        <w:rPr>
          <w:rFonts w:hint="eastAsia" w:ascii="仿宋_GB2312" w:hAnsi="仿宋_GB2312" w:eastAsia="仿宋_GB2312" w:cs="仿宋_GB2312"/>
          <w:b/>
          <w:bCs/>
          <w:kern w:val="2"/>
          <w:sz w:val="32"/>
          <w:szCs w:val="32"/>
          <w:lang w:val="en-US" w:eastAsia="zh-CN" w:bidi="ar-SA"/>
        </w:rPr>
        <w:t>2.服务对象满意度</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default" w:ascii="仿宋_GB2312" w:hAnsi="仿宋_GB2312" w:eastAsia="仿宋_GB2312" w:cs="仿宋_GB2312"/>
          <w:b w:val="0"/>
          <w:bCs w:val="0"/>
          <w:kern w:val="2"/>
          <w:sz w:val="32"/>
          <w:szCs w:val="32"/>
          <w:lang w:val="en-US" w:eastAsia="zh-CN" w:bidi="ar-SA"/>
        </w:rPr>
      </w:pPr>
      <w:bookmarkStart w:id="21" w:name="_Toc17306"/>
      <w:r>
        <w:rPr>
          <w:rFonts w:hint="eastAsia" w:ascii="仿宋_GB2312" w:hAnsi="仿宋_GB2312" w:eastAsia="仿宋_GB2312" w:cs="仿宋_GB2312"/>
          <w:b w:val="0"/>
          <w:bCs w:val="0"/>
          <w:kern w:val="2"/>
          <w:sz w:val="32"/>
          <w:szCs w:val="32"/>
          <w:lang w:val="en-US" w:eastAsia="zh-CN" w:bidi="ar-SA"/>
        </w:rPr>
        <w:t>12333热线群众满意率</w:t>
      </w:r>
      <w:r>
        <w:rPr>
          <w:rFonts w:hint="eastAsia" w:hAnsi="仿宋_GB2312" w:eastAsia="仿宋_GB2312" w:cs="仿宋_GB2312"/>
          <w:b w:val="0"/>
          <w:bCs w:val="0"/>
          <w:kern w:val="2"/>
          <w:sz w:val="32"/>
          <w:szCs w:val="32"/>
          <w:lang w:val="en-US" w:eastAsia="zh-CN" w:bidi="ar-SA"/>
        </w:rPr>
        <w:t>。</w:t>
      </w:r>
      <w:r>
        <w:rPr>
          <w:rFonts w:hint="eastAsia" w:ascii="仿宋_GB2312" w:eastAsia="仿宋_GB2312"/>
          <w:sz w:val="32"/>
          <w:szCs w:val="32"/>
        </w:rPr>
        <w:t>全年12333热线</w:t>
      </w:r>
      <w:bookmarkEnd w:id="21"/>
      <w:r>
        <w:rPr>
          <w:rFonts w:hint="default" w:ascii="仿宋_GB2312" w:hAnsi="仿宋_GB2312" w:eastAsia="仿宋_GB2312" w:cs="仿宋_GB2312"/>
          <w:b w:val="0"/>
          <w:bCs w:val="0"/>
          <w:kern w:val="2"/>
          <w:sz w:val="32"/>
          <w:szCs w:val="32"/>
          <w:lang w:val="en-US" w:eastAsia="zh-CN" w:bidi="ar-SA"/>
        </w:rPr>
        <w:t>共受理市民反映2419.5万件</w:t>
      </w:r>
      <w:r>
        <w:rPr>
          <w:rFonts w:hint="eastAsia" w:ascii="仿宋_GB2312" w:hAnsi="仿宋_GB2312" w:eastAsia="仿宋_GB2312" w:cs="仿宋_GB2312"/>
          <w:b w:val="0"/>
          <w:bCs w:val="0"/>
          <w:kern w:val="2"/>
          <w:sz w:val="32"/>
          <w:szCs w:val="32"/>
          <w:lang w:val="en-US" w:eastAsia="zh-CN" w:bidi="ar-SA"/>
        </w:rPr>
        <w:t>，</w:t>
      </w:r>
      <w:r>
        <w:rPr>
          <w:rFonts w:hint="default" w:ascii="仿宋_GB2312" w:hAnsi="仿宋_GB2312" w:eastAsia="仿宋_GB2312" w:cs="仿宋_GB2312"/>
          <w:b w:val="0"/>
          <w:bCs w:val="0"/>
          <w:kern w:val="2"/>
          <w:sz w:val="32"/>
          <w:szCs w:val="32"/>
          <w:lang w:val="en-US" w:eastAsia="zh-CN" w:bidi="ar-SA"/>
        </w:rPr>
        <w:t>热线电话渠道受理2097.2万件，占比86.7%；网络渠道受理322.3万件，占比13.3%。诉求派单共1108万件，占比45.8%；直接答复1311.5万件，占比54.2%。诉求解决率和满意率分别达96.7%和97.0%，</w:t>
      </w:r>
      <w:r>
        <w:rPr>
          <w:rFonts w:hint="eastAsia" w:ascii="仿宋_GB2312" w:hAnsi="仿宋_GB2312" w:eastAsia="仿宋_GB2312" w:cs="仿宋_GB2312"/>
          <w:b w:val="0"/>
          <w:bCs w:val="0"/>
          <w:kern w:val="2"/>
          <w:sz w:val="32"/>
          <w:szCs w:val="32"/>
          <w:lang w:val="en-US" w:eastAsia="zh-CN" w:bidi="ar-SA"/>
        </w:rPr>
        <w:t>12333热线群众满意率达到目标值。</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outlineLvl w:val="0"/>
        <w:rPr>
          <w:rFonts w:ascii="黑体" w:hAnsi="黑体" w:eastAsia="黑体"/>
          <w:sz w:val="32"/>
          <w:szCs w:val="32"/>
        </w:rPr>
      </w:pPr>
      <w:bookmarkStart w:id="22" w:name="_Toc3034"/>
      <w:r>
        <w:rPr>
          <w:rFonts w:hint="eastAsia" w:ascii="黑体" w:hAnsi="黑体" w:eastAsia="黑体"/>
          <w:sz w:val="32"/>
          <w:szCs w:val="32"/>
        </w:rPr>
        <w:t>四、预算管理情况分析</w:t>
      </w:r>
      <w:bookmarkEnd w:id="22"/>
    </w:p>
    <w:p>
      <w:pPr>
        <w:keepNext w:val="0"/>
        <w:keepLines w:val="0"/>
        <w:pageBreakBefore w:val="0"/>
        <w:widowControl w:val="0"/>
        <w:kinsoku/>
        <w:wordWrap/>
        <w:overflowPunct/>
        <w:topLinePunct w:val="0"/>
        <w:autoSpaceDE/>
        <w:autoSpaceDN/>
        <w:bidi w:val="0"/>
        <w:adjustRightInd/>
        <w:snapToGrid w:val="0"/>
        <w:spacing w:line="580" w:lineRule="exact"/>
        <w:ind w:firstLine="642" w:firstLineChars="200"/>
        <w:textAlignment w:val="auto"/>
        <w:outlineLvl w:val="1"/>
        <w:rPr>
          <w:rFonts w:hint="eastAsia" w:ascii="楷体" w:hAnsi="楷体" w:eastAsia="楷体"/>
          <w:b/>
          <w:sz w:val="32"/>
          <w:szCs w:val="32"/>
        </w:rPr>
      </w:pPr>
      <w:bookmarkStart w:id="23" w:name="_Toc23286"/>
      <w:r>
        <w:rPr>
          <w:rFonts w:hint="eastAsia" w:ascii="楷体" w:hAnsi="楷体" w:eastAsia="楷体"/>
          <w:b/>
          <w:sz w:val="32"/>
          <w:szCs w:val="32"/>
        </w:rPr>
        <w:t>（一）财务管理</w:t>
      </w:r>
      <w:bookmarkEnd w:id="23"/>
    </w:p>
    <w:p>
      <w:pPr>
        <w:keepNext w:val="0"/>
        <w:keepLines w:val="0"/>
        <w:pageBreakBefore w:val="0"/>
        <w:widowControl w:val="0"/>
        <w:kinsoku/>
        <w:wordWrap/>
        <w:overflowPunct/>
        <w:topLinePunct w:val="0"/>
        <w:autoSpaceDE/>
        <w:autoSpaceDN/>
        <w:bidi w:val="0"/>
        <w:adjustRightInd w:val="0"/>
        <w:snapToGrid w:val="0"/>
        <w:spacing w:line="580" w:lineRule="exact"/>
        <w:ind w:firstLine="642" w:firstLineChars="200"/>
        <w:textAlignment w:val="auto"/>
        <w:rPr>
          <w:rFonts w:ascii="仿宋_GB2312" w:eastAsia="仿宋_GB2312"/>
          <w:b/>
          <w:bCs/>
          <w:sz w:val="32"/>
          <w:szCs w:val="32"/>
        </w:rPr>
      </w:pPr>
      <w:r>
        <w:rPr>
          <w:rFonts w:hint="eastAsia" w:ascii="仿宋_GB2312" w:eastAsia="仿宋_GB2312"/>
          <w:b/>
          <w:bCs/>
          <w:sz w:val="32"/>
          <w:szCs w:val="32"/>
        </w:rPr>
        <w:t>1.财务管理制度健全性</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ascii="仿宋_GB2312" w:eastAsia="仿宋_GB2312"/>
          <w:sz w:val="32"/>
          <w:szCs w:val="32"/>
        </w:rPr>
      </w:pPr>
      <w:r>
        <w:rPr>
          <w:rFonts w:hint="eastAsia" w:ascii="仿宋_GB2312" w:eastAsia="仿宋_GB2312"/>
          <w:sz w:val="32"/>
          <w:szCs w:val="32"/>
        </w:rPr>
        <w:t>为进一步提高财务管理能力和水平，</w:t>
      </w:r>
      <w:r>
        <w:rPr>
          <w:rFonts w:hint="eastAsia" w:ascii="仿宋_GB2312" w:eastAsia="仿宋_GB2312"/>
          <w:sz w:val="32"/>
          <w:szCs w:val="32"/>
          <w:lang w:val="en-US" w:eastAsia="zh-CN"/>
        </w:rPr>
        <w:t>北京</w:t>
      </w:r>
      <w:r>
        <w:rPr>
          <w:rFonts w:hint="eastAsia" w:ascii="仿宋_GB2312" w:eastAsia="仿宋_GB2312"/>
          <w:sz w:val="32"/>
          <w:szCs w:val="32"/>
        </w:rPr>
        <w:t>市人力资源和社会保障局建立了完善的财务管理制度体系，从资金审批、会计核算、预算管理、收支管理、资产管理、合同管理、政府采购、建设项目管理等方面对财务工作进行了规范监督，保障日常工作有章可循、稳步推进。在政府采购过程中，严格遵守政府采购及成本管控规定，按照程序支出财政资金，未出现违法违规问题、未受到行政处理和行政处罚。</w:t>
      </w:r>
    </w:p>
    <w:p>
      <w:pPr>
        <w:keepNext w:val="0"/>
        <w:keepLines w:val="0"/>
        <w:pageBreakBefore w:val="0"/>
        <w:widowControl w:val="0"/>
        <w:kinsoku/>
        <w:wordWrap/>
        <w:overflowPunct/>
        <w:topLinePunct w:val="0"/>
        <w:autoSpaceDE/>
        <w:autoSpaceDN/>
        <w:bidi w:val="0"/>
        <w:adjustRightInd w:val="0"/>
        <w:snapToGrid w:val="0"/>
        <w:spacing w:line="580" w:lineRule="exact"/>
        <w:ind w:firstLine="642" w:firstLineChars="200"/>
        <w:textAlignment w:val="auto"/>
        <w:rPr>
          <w:rFonts w:ascii="仿宋_GB2312" w:eastAsia="仿宋_GB2312"/>
          <w:b/>
          <w:bCs/>
          <w:sz w:val="32"/>
          <w:szCs w:val="32"/>
        </w:rPr>
      </w:pPr>
      <w:r>
        <w:rPr>
          <w:rFonts w:hint="eastAsia" w:ascii="仿宋_GB2312" w:eastAsia="仿宋_GB2312"/>
          <w:b/>
          <w:bCs/>
          <w:sz w:val="32"/>
          <w:szCs w:val="32"/>
        </w:rPr>
        <w:t>2.资金使用合规性和安全性</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ascii="仿宋_GB2312" w:eastAsia="仿宋_GB2312"/>
          <w:sz w:val="32"/>
          <w:szCs w:val="32"/>
          <w:shd w:val="pct10" w:color="auto" w:fill="FFFFFF"/>
        </w:rPr>
      </w:pPr>
      <w:r>
        <w:rPr>
          <w:rFonts w:hint="eastAsia" w:ascii="仿宋_GB2312" w:eastAsia="仿宋_GB2312"/>
          <w:sz w:val="32"/>
          <w:szCs w:val="32"/>
        </w:rPr>
        <w:t>资金使用严格遵照国家法律法规和有关管理制度执行，资金拨付审批程序完整规范，资金使用安全合规，不存在截留、挤占、挪用情况。</w:t>
      </w:r>
      <w:r>
        <w:rPr>
          <w:rFonts w:hint="eastAsia" w:ascii="仿宋_GB2312" w:hAnsi="仿宋" w:eastAsia="仿宋_GB2312" w:cs="仿宋"/>
          <w:bCs/>
          <w:sz w:val="32"/>
          <w:szCs w:val="32"/>
        </w:rPr>
        <w:t>内部审计和监督机制完善，</w:t>
      </w:r>
      <w:r>
        <w:rPr>
          <w:rFonts w:hint="eastAsia" w:ascii="仿宋_GB2312" w:eastAsia="仿宋_GB2312"/>
          <w:sz w:val="32"/>
          <w:szCs w:val="32"/>
        </w:rPr>
        <w:t>落实“三重一大”决策制度，从严、从细、从实完善大额资金管理，规范大额资金审批、支付流程，对于项目的重大开支经过评估论证，符合部门预算批复的用途和相关规定的开支范围，预算资金运行规范、安全。</w:t>
      </w:r>
    </w:p>
    <w:p>
      <w:pPr>
        <w:keepNext w:val="0"/>
        <w:keepLines w:val="0"/>
        <w:pageBreakBefore w:val="0"/>
        <w:widowControl w:val="0"/>
        <w:kinsoku/>
        <w:wordWrap/>
        <w:overflowPunct/>
        <w:topLinePunct w:val="0"/>
        <w:autoSpaceDE/>
        <w:autoSpaceDN/>
        <w:bidi w:val="0"/>
        <w:adjustRightInd w:val="0"/>
        <w:snapToGrid w:val="0"/>
        <w:spacing w:line="580" w:lineRule="exact"/>
        <w:ind w:firstLine="642" w:firstLineChars="200"/>
        <w:textAlignment w:val="auto"/>
        <w:rPr>
          <w:rFonts w:ascii="仿宋_GB2312" w:eastAsia="仿宋_GB2312"/>
          <w:b/>
          <w:bCs/>
          <w:sz w:val="32"/>
          <w:szCs w:val="32"/>
          <w:shd w:val="pct10" w:color="auto" w:fill="FFFFFF"/>
        </w:rPr>
      </w:pPr>
      <w:r>
        <w:rPr>
          <w:rFonts w:hint="eastAsia" w:ascii="仿宋_GB2312" w:eastAsia="仿宋_GB2312"/>
          <w:b/>
          <w:bCs/>
          <w:sz w:val="32"/>
          <w:szCs w:val="32"/>
        </w:rPr>
        <w:t>3.会计基础信息完善性</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ascii="仿宋_GB2312" w:eastAsia="仿宋_GB2312"/>
          <w:sz w:val="32"/>
          <w:szCs w:val="32"/>
        </w:rPr>
      </w:pPr>
      <w:r>
        <w:rPr>
          <w:rFonts w:hint="eastAsia" w:ascii="仿宋_GB2312" w:eastAsia="仿宋_GB2312"/>
          <w:sz w:val="32"/>
          <w:szCs w:val="32"/>
        </w:rPr>
        <w:t>会计基础工作规范，专项资金收支实行单独核算，会计要素确认及计算方法符合相关规定，收入、支出会计核算准确及时、科目使用规范，核算内容真实、完整。在费用报销及付款过程中，严格审批原始凭证，对内容不全、手续不完备的原始凭证以及未审批完成的支出不予办理支付，财务档案资料归档及时、完整。</w:t>
      </w:r>
    </w:p>
    <w:p>
      <w:pPr>
        <w:keepNext w:val="0"/>
        <w:keepLines w:val="0"/>
        <w:pageBreakBefore w:val="0"/>
        <w:widowControl w:val="0"/>
        <w:kinsoku/>
        <w:wordWrap/>
        <w:overflowPunct/>
        <w:topLinePunct w:val="0"/>
        <w:autoSpaceDE/>
        <w:autoSpaceDN/>
        <w:bidi w:val="0"/>
        <w:adjustRightInd w:val="0"/>
        <w:snapToGrid w:val="0"/>
        <w:spacing w:line="580" w:lineRule="exact"/>
        <w:ind w:firstLine="642" w:firstLineChars="200"/>
        <w:textAlignment w:val="auto"/>
        <w:outlineLvl w:val="1"/>
        <w:rPr>
          <w:rFonts w:ascii="楷体" w:hAnsi="楷体" w:eastAsia="楷体"/>
          <w:b/>
          <w:sz w:val="32"/>
          <w:szCs w:val="32"/>
        </w:rPr>
      </w:pPr>
      <w:bookmarkStart w:id="24" w:name="_Toc4733"/>
      <w:r>
        <w:rPr>
          <w:rFonts w:hint="eastAsia" w:ascii="楷体" w:hAnsi="楷体" w:eastAsia="楷体"/>
          <w:b/>
          <w:sz w:val="32"/>
          <w:szCs w:val="32"/>
        </w:rPr>
        <w:t>（二）资产管理</w:t>
      </w:r>
      <w:bookmarkEnd w:id="24"/>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北京市人力资源和社会保障局资产管理由财务处牵头，实行统一领导、归口管理、分级负责、责任到人的管理体制。明确资产管理各单位、部门的职责和权限，建立统一要求、分级管理、各尽所能、各负其责，真正使管理落到点、责任落到人的机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截至2024年12月31日，固定资产账面价值108306.02万元，无形资产账面价值36879.31万元。2024年度盘活资产6993.43万元。</w:t>
      </w:r>
    </w:p>
    <w:p>
      <w:pPr>
        <w:keepNext w:val="0"/>
        <w:keepLines w:val="0"/>
        <w:pageBreakBefore w:val="0"/>
        <w:widowControl w:val="0"/>
        <w:kinsoku/>
        <w:wordWrap/>
        <w:overflowPunct/>
        <w:topLinePunct w:val="0"/>
        <w:autoSpaceDE/>
        <w:autoSpaceDN/>
        <w:bidi w:val="0"/>
        <w:adjustRightInd w:val="0"/>
        <w:snapToGrid w:val="0"/>
        <w:spacing w:before="0" w:after="0" w:line="580" w:lineRule="exact"/>
        <w:ind w:firstLine="640" w:firstLineChars="200"/>
        <w:jc w:val="both"/>
        <w:textAlignment w:val="auto"/>
        <w:outlineLvl w:val="9"/>
        <w:rPr>
          <w:rFonts w:hint="eastAsia"/>
          <w:lang w:val="en-US" w:eastAsia="zh-CN"/>
        </w:rPr>
      </w:pPr>
      <w:r>
        <w:rPr>
          <w:rFonts w:hint="eastAsia" w:ascii="仿宋_GB2312" w:hAnsi="仿宋_GB2312" w:eastAsia="仿宋_GB2312" w:cs="仿宋_GB2312"/>
          <w:sz w:val="32"/>
          <w:szCs w:val="32"/>
          <w:lang w:val="en-US" w:eastAsia="zh-CN"/>
        </w:rPr>
        <w:t>北京市人力资源和社会保障局资产账面净值58541.58万元，涵盖固定资产、无形资产及流动资产，重点配置于就业、社保、人事人才、劳动关系、信息化建设等领域。统一共享调剂，纳入“公物仓</w:t>
      </w:r>
      <w:r>
        <w:rPr>
          <w:rFonts w:hint="eastAsia" w:ascii="仿宋_GB2312" w:hAnsi="仿宋_GB2312" w:eastAsia="仿宋_GB2312" w:cs="仿宋_GB2312"/>
          <w:sz w:val="32"/>
          <w:szCs w:val="32"/>
          <w:lang w:val="en" w:eastAsia="zh-CN"/>
        </w:rPr>
        <w:t>”固定</w:t>
      </w:r>
      <w:r>
        <w:rPr>
          <w:rFonts w:hint="eastAsia" w:ascii="仿宋_GB2312" w:hAnsi="仿宋_GB2312" w:eastAsia="仿宋_GB2312" w:cs="仿宋_GB2312"/>
          <w:sz w:val="32"/>
          <w:szCs w:val="32"/>
          <w:lang w:val="en-US" w:eastAsia="zh-CN"/>
        </w:rPr>
        <w:t>资产6690.89万元，使用率大于99.99%，成新率为25.65%；无形资产使用率达到100%。负债总额下降47.43%，净资产下降2.55%，资产债务风险总体可控，提升了资产结构安全性，较好发挥资产使用效能，整体绩效能力稳中有升。</w:t>
      </w:r>
    </w:p>
    <w:p>
      <w:pPr>
        <w:keepNext w:val="0"/>
        <w:keepLines w:val="0"/>
        <w:pageBreakBefore w:val="0"/>
        <w:widowControl w:val="0"/>
        <w:tabs>
          <w:tab w:val="left" w:pos="537"/>
        </w:tabs>
        <w:kinsoku/>
        <w:wordWrap/>
        <w:overflowPunct/>
        <w:topLinePunct w:val="0"/>
        <w:autoSpaceDE/>
        <w:autoSpaceDN/>
        <w:bidi w:val="0"/>
        <w:adjustRightInd w:val="0"/>
        <w:snapToGrid w:val="0"/>
        <w:spacing w:line="580" w:lineRule="exact"/>
        <w:ind w:firstLine="642" w:firstLineChars="200"/>
        <w:textAlignment w:val="auto"/>
        <w:outlineLvl w:val="1"/>
        <w:rPr>
          <w:rFonts w:ascii="楷体" w:hAnsi="楷体" w:eastAsia="楷体"/>
          <w:b/>
          <w:sz w:val="32"/>
          <w:szCs w:val="32"/>
        </w:rPr>
      </w:pPr>
      <w:bookmarkStart w:id="25" w:name="_Toc26630"/>
      <w:r>
        <w:rPr>
          <w:rFonts w:hint="eastAsia" w:ascii="楷体" w:hAnsi="楷体" w:eastAsia="楷体"/>
          <w:b/>
          <w:sz w:val="32"/>
          <w:szCs w:val="32"/>
        </w:rPr>
        <w:t>（三）绩效管理</w:t>
      </w:r>
      <w:bookmarkEnd w:id="25"/>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eastAsia="仿宋_GB2312" w:cs="Times New Roman"/>
          <w:sz w:val="32"/>
          <w:szCs w:val="32"/>
          <w:lang w:val="en"/>
        </w:rPr>
      </w:pPr>
      <w:r>
        <w:rPr>
          <w:rFonts w:hint="eastAsia" w:ascii="仿宋_GB2312" w:eastAsia="仿宋_GB2312" w:cs="Times New Roman"/>
          <w:sz w:val="32"/>
          <w:szCs w:val="32"/>
          <w:lang w:val="en-US" w:eastAsia="zh-CN"/>
        </w:rPr>
        <w:t>北京</w:t>
      </w:r>
      <w:r>
        <w:rPr>
          <w:rFonts w:hint="eastAsia" w:ascii="仿宋_GB2312" w:eastAsia="仿宋_GB2312" w:cs="Times New Roman"/>
          <w:sz w:val="32"/>
          <w:szCs w:val="32"/>
          <w:lang w:val="en"/>
        </w:rPr>
        <w:t>市人力资源和社会保障局高度重视绩效管理工作，深化全过程预算绩效管理，将绩效理念深度融入预算编制、执行和监督全过程，构建了事前、事中、事后绩效管理闭环系统，创新预算管理方式，扎实做好各项绩效管理工作。202</w:t>
      </w:r>
      <w:r>
        <w:rPr>
          <w:rFonts w:hint="eastAsia" w:ascii="仿宋_GB2312" w:eastAsia="仿宋_GB2312" w:cs="Times New Roman"/>
          <w:sz w:val="32"/>
          <w:szCs w:val="32"/>
          <w:lang w:val="en-US" w:eastAsia="zh-CN"/>
        </w:rPr>
        <w:t>4</w:t>
      </w:r>
      <w:r>
        <w:rPr>
          <w:rFonts w:hint="eastAsia" w:ascii="仿宋_GB2312" w:eastAsia="仿宋_GB2312" w:cs="Times New Roman"/>
          <w:sz w:val="32"/>
          <w:szCs w:val="32"/>
          <w:lang w:val="en"/>
        </w:rPr>
        <w:t>年全部预算项目均填报绩效目标，实现了绩效目标的全覆盖，为项目执行制定科学的考量指标，从源头上把好绩效关。各部门认真落实预算管理要求，对各类资金使用项目早研究、早部署，加强与财政部门沟通，及时统筹</w:t>
      </w:r>
      <w:r>
        <w:rPr>
          <w:rFonts w:hint="eastAsia" w:ascii="仿宋_GB2312" w:eastAsia="仿宋_GB2312" w:cs="Times New Roman"/>
          <w:sz w:val="32"/>
          <w:szCs w:val="32"/>
          <w:lang w:val="en"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eastAsia="仿宋_GB2312" w:cs="Times New Roman"/>
          <w:sz w:val="32"/>
          <w:szCs w:val="32"/>
          <w:lang w:val="en"/>
        </w:rPr>
      </w:pPr>
      <w:r>
        <w:rPr>
          <w:rFonts w:hint="eastAsia" w:ascii="仿宋_GB2312" w:eastAsia="仿宋_GB2312" w:cs="Times New Roman"/>
          <w:sz w:val="32"/>
          <w:szCs w:val="32"/>
          <w:lang w:val="en-US" w:eastAsia="zh-CN"/>
        </w:rPr>
        <w:t>同时</w:t>
      </w:r>
      <w:r>
        <w:rPr>
          <w:rFonts w:hint="eastAsia" w:ascii="仿宋_GB2312" w:eastAsia="仿宋_GB2312" w:cs="Times New Roman"/>
          <w:sz w:val="32"/>
          <w:szCs w:val="32"/>
          <w:lang w:val="en"/>
        </w:rPr>
        <w:t>结合业务特点，创新开展预算项目编制改革</w:t>
      </w:r>
      <w:r>
        <w:rPr>
          <w:rFonts w:hint="eastAsia" w:ascii="仿宋_GB2312" w:eastAsia="仿宋_GB2312" w:cs="Times New Roman"/>
          <w:sz w:val="32"/>
          <w:szCs w:val="32"/>
          <w:lang w:val="en" w:eastAsia="zh-CN"/>
        </w:rPr>
        <w:t>。</w:t>
      </w:r>
      <w:r>
        <w:rPr>
          <w:rFonts w:hint="eastAsia" w:ascii="仿宋_GB2312" w:eastAsia="仿宋_GB2312" w:cs="Times New Roman"/>
          <w:sz w:val="32"/>
          <w:szCs w:val="32"/>
          <w:lang w:val="en"/>
        </w:rPr>
        <w:t>在保障预算编制更加精准的基础上，对2025年全局预算项目，按业务工作和支出方向，将项目归纳为29大类，对297个子项目进行整合。针对29类项目制定绩效目标模板，建立绩效目标体系，规范绩效目标填报。财务部门主动介入重点业务工作，组织第三方机构开展“12333电话咨询外包服务”成本绩效分析、“企业薪酬调查”项目重点绩效评价工作，邀请人大代表、政协委员参与项目绩效研讨。成本绩效分析报告在全市100多家委办局评比中获市级优秀案例第1名，连续两年获评成本绩效评价第1名。</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eastAsia" w:ascii="仿宋_GB2312" w:eastAsia="仿宋_GB2312" w:cs="Times New Roman"/>
          <w:sz w:val="32"/>
          <w:szCs w:val="32"/>
          <w:highlight w:val="yellow"/>
          <w:lang w:val="en" w:eastAsia="zh-CN"/>
        </w:rPr>
      </w:pPr>
      <w:r>
        <w:rPr>
          <w:rFonts w:hint="eastAsia" w:ascii="仿宋_GB2312" w:eastAsia="仿宋_GB2312"/>
          <w:sz w:val="32"/>
          <w:szCs w:val="32"/>
          <w:lang w:val="en-US" w:eastAsia="zh-CN"/>
        </w:rPr>
        <w:t>绩效自评情况：</w:t>
      </w:r>
      <w:r>
        <w:rPr>
          <w:rFonts w:hint="eastAsia" w:ascii="仿宋_GB2312" w:eastAsia="仿宋_GB2312"/>
          <w:sz w:val="32"/>
          <w:szCs w:val="32"/>
        </w:rPr>
        <w:t>2024年按照《北京市财政局关于开展202</w:t>
      </w:r>
      <w:r>
        <w:rPr>
          <w:rFonts w:hint="eastAsia" w:ascii="仿宋_GB2312" w:eastAsia="仿宋_GB2312"/>
          <w:sz w:val="32"/>
          <w:szCs w:val="32"/>
          <w:lang w:val="en-US" w:eastAsia="zh-CN"/>
        </w:rPr>
        <w:t>5</w:t>
      </w:r>
      <w:r>
        <w:rPr>
          <w:rFonts w:hint="eastAsia" w:ascii="仿宋_GB2312" w:eastAsia="仿宋_GB2312"/>
          <w:sz w:val="32"/>
          <w:szCs w:val="32"/>
        </w:rPr>
        <w:t>年预算绩效管理相关工作的</w:t>
      </w:r>
      <w:r>
        <w:rPr>
          <w:rFonts w:hint="eastAsia" w:ascii="仿宋_GB2312" w:eastAsia="仿宋_GB2312"/>
          <w:sz w:val="32"/>
          <w:szCs w:val="32"/>
          <w:lang w:val="en-US" w:eastAsia="zh-CN"/>
        </w:rPr>
        <w:t>通知</w:t>
      </w:r>
      <w:r>
        <w:rPr>
          <w:rFonts w:hint="eastAsia" w:ascii="仿宋_GB2312" w:eastAsia="仿宋_GB2312"/>
          <w:sz w:val="32"/>
          <w:szCs w:val="32"/>
        </w:rPr>
        <w:t>》要求对202</w:t>
      </w:r>
      <w:r>
        <w:rPr>
          <w:rFonts w:hint="eastAsia" w:ascii="仿宋_GB2312" w:eastAsia="仿宋_GB2312"/>
          <w:sz w:val="32"/>
          <w:szCs w:val="32"/>
          <w:lang w:val="en-US" w:eastAsia="zh-CN"/>
        </w:rPr>
        <w:t>4</w:t>
      </w:r>
      <w:r>
        <w:rPr>
          <w:rFonts w:hint="eastAsia" w:ascii="仿宋_GB2312" w:eastAsia="仿宋_GB2312"/>
          <w:sz w:val="32"/>
          <w:szCs w:val="32"/>
        </w:rPr>
        <w:t>年度部门项目支出实施绩效评价</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2" w:firstLineChars="200"/>
        <w:textAlignment w:val="auto"/>
        <w:outlineLvl w:val="1"/>
        <w:rPr>
          <w:rFonts w:ascii="楷体" w:hAnsi="楷体" w:eastAsia="楷体"/>
          <w:b/>
          <w:sz w:val="32"/>
          <w:szCs w:val="32"/>
        </w:rPr>
      </w:pPr>
      <w:bookmarkStart w:id="26" w:name="_Toc29439"/>
      <w:r>
        <w:rPr>
          <w:rFonts w:hint="eastAsia" w:ascii="楷体" w:hAnsi="楷体" w:eastAsia="楷体"/>
          <w:b/>
          <w:sz w:val="32"/>
          <w:szCs w:val="32"/>
        </w:rPr>
        <w:t>（四）结转结余率</w:t>
      </w:r>
      <w:bookmarkEnd w:id="26"/>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年年初结转结余资金8185.82万元，</w:t>
      </w:r>
      <w:r>
        <w:rPr>
          <w:rFonts w:hint="eastAsia" w:ascii="仿宋_GB2312" w:hAnsi="仿宋" w:eastAsia="仿宋_GB2312"/>
          <w:sz w:val="32"/>
          <w:szCs w:val="32"/>
        </w:rPr>
        <w:t>其中财政拨款结转和结余</w:t>
      </w:r>
      <w:r>
        <w:rPr>
          <w:rFonts w:ascii="仿宋_GB2312" w:hAnsi="仿宋" w:eastAsia="仿宋_GB2312"/>
          <w:sz w:val="32"/>
          <w:szCs w:val="32"/>
        </w:rPr>
        <w:t>1212.04</w:t>
      </w:r>
      <w:r>
        <w:rPr>
          <w:rFonts w:hint="eastAsia" w:ascii="仿宋_GB2312" w:hAnsi="仿宋" w:eastAsia="仿宋_GB2312"/>
          <w:sz w:val="32"/>
          <w:szCs w:val="32"/>
        </w:rPr>
        <w:t>万元，非财政拨款结转和结余</w:t>
      </w:r>
      <w:r>
        <w:rPr>
          <w:rFonts w:ascii="仿宋_GB2312" w:hAnsi="仿宋" w:eastAsia="仿宋_GB2312"/>
          <w:sz w:val="32"/>
          <w:szCs w:val="32"/>
          <w:lang w:val="en"/>
        </w:rPr>
        <w:t>6973.78</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eastAsia="仿宋_GB2312"/>
          <w:sz w:val="32"/>
          <w:szCs w:val="32"/>
        </w:rPr>
        <w:t>年末预算结转和结余</w:t>
      </w:r>
      <w:r>
        <w:rPr>
          <w:rFonts w:hint="eastAsia" w:ascii="仿宋_GB2312" w:eastAsia="仿宋_GB2312"/>
          <w:sz w:val="32"/>
          <w:szCs w:val="32"/>
          <w:lang w:val="en-US" w:eastAsia="zh-CN"/>
        </w:rPr>
        <w:t>11942.38</w:t>
      </w:r>
      <w:r>
        <w:rPr>
          <w:rFonts w:hint="eastAsia" w:ascii="仿宋_GB2312" w:eastAsia="仿宋_GB2312"/>
          <w:sz w:val="32"/>
          <w:szCs w:val="32"/>
        </w:rPr>
        <w:t>万元，</w:t>
      </w:r>
      <w:r>
        <w:rPr>
          <w:rFonts w:hint="eastAsia" w:ascii="仿宋_GB2312" w:hAnsi="仿宋" w:eastAsia="仿宋_GB2312"/>
          <w:sz w:val="32"/>
          <w:szCs w:val="32"/>
        </w:rPr>
        <w:t>其中财政拨款结转和结余</w:t>
      </w:r>
      <w:r>
        <w:rPr>
          <w:rFonts w:hint="eastAsia" w:ascii="仿宋_GB2312" w:hAnsi="仿宋" w:eastAsia="仿宋_GB2312"/>
          <w:sz w:val="32"/>
          <w:szCs w:val="32"/>
          <w:lang w:val="en-US" w:eastAsia="zh-CN"/>
        </w:rPr>
        <w:t>3233.99</w:t>
      </w:r>
      <w:r>
        <w:rPr>
          <w:rFonts w:hint="eastAsia" w:ascii="仿宋_GB2312" w:hAnsi="仿宋" w:eastAsia="仿宋_GB2312"/>
          <w:sz w:val="32"/>
          <w:szCs w:val="32"/>
        </w:rPr>
        <w:t>万元</w:t>
      </w:r>
      <w:r>
        <w:rPr>
          <w:rFonts w:hint="eastAsia" w:ascii="仿宋_GB2312" w:eastAsia="仿宋_GB2312"/>
          <w:sz w:val="32"/>
          <w:szCs w:val="32"/>
        </w:rPr>
        <w:t>，非财政拨款结转和结余</w:t>
      </w:r>
      <w:r>
        <w:rPr>
          <w:rFonts w:hint="eastAsia" w:ascii="仿宋_GB2312" w:eastAsia="仿宋_GB2312"/>
          <w:sz w:val="32"/>
          <w:szCs w:val="32"/>
          <w:lang w:val="en-US" w:eastAsia="zh-CN"/>
        </w:rPr>
        <w:t>8708.39</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结转和结余资金占当年全部预算</w:t>
      </w:r>
      <w:r>
        <w:rPr>
          <w:rFonts w:hint="eastAsia" w:ascii="仿宋_GB2312" w:eastAsia="仿宋_GB2312"/>
          <w:sz w:val="32"/>
          <w:szCs w:val="32"/>
          <w:lang w:val="en-US" w:eastAsia="zh-CN"/>
        </w:rPr>
        <w:t>131939.32</w:t>
      </w:r>
      <w:r>
        <w:rPr>
          <w:rFonts w:hint="eastAsia" w:ascii="仿宋_GB2312" w:eastAsia="仿宋_GB2312"/>
          <w:sz w:val="32"/>
          <w:szCs w:val="32"/>
        </w:rPr>
        <w:t>万元的</w:t>
      </w:r>
      <w:r>
        <w:rPr>
          <w:rFonts w:hint="eastAsia" w:ascii="仿宋_GB2312" w:eastAsia="仿宋_GB2312"/>
          <w:sz w:val="32"/>
          <w:szCs w:val="32"/>
          <w:lang w:val="en-US" w:eastAsia="zh-CN"/>
        </w:rPr>
        <w:t>9.05%</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2" w:firstLineChars="200"/>
        <w:textAlignment w:val="auto"/>
        <w:outlineLvl w:val="1"/>
        <w:rPr>
          <w:rFonts w:ascii="楷体" w:hAnsi="楷体" w:eastAsia="楷体"/>
          <w:b/>
          <w:sz w:val="32"/>
          <w:szCs w:val="32"/>
        </w:rPr>
      </w:pPr>
      <w:bookmarkStart w:id="27" w:name="_Toc28556"/>
      <w:r>
        <w:rPr>
          <w:rFonts w:hint="eastAsia" w:ascii="楷体" w:hAnsi="楷体" w:eastAsia="楷体"/>
          <w:b/>
          <w:sz w:val="32"/>
          <w:szCs w:val="32"/>
        </w:rPr>
        <w:t>（五）部门预决算差异</w:t>
      </w:r>
      <w:bookmarkEnd w:id="27"/>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outlineLvl w:val="1"/>
        <w:rPr>
          <w:rFonts w:hint="default" w:ascii="仿宋_GB2312" w:eastAsia="仿宋_GB2312"/>
          <w:sz w:val="32"/>
          <w:szCs w:val="32"/>
          <w:lang w:val="en-US" w:eastAsia="zh-CN"/>
        </w:rPr>
      </w:pPr>
      <w:bookmarkStart w:id="28" w:name="_Toc8426"/>
      <w:r>
        <w:rPr>
          <w:rFonts w:hint="eastAsia" w:ascii="仿宋_GB2312" w:eastAsia="仿宋_GB2312"/>
          <w:sz w:val="32"/>
          <w:szCs w:val="32"/>
          <w:lang w:val="en-US" w:eastAsia="zh-CN"/>
        </w:rPr>
        <w:t>北京市人力资源和社会保障局2024年度部门决算数总计119996.94万元，较</w:t>
      </w:r>
      <w:bookmarkStart w:id="43" w:name="_GoBack"/>
      <w:bookmarkEnd w:id="43"/>
      <w:r>
        <w:rPr>
          <w:rFonts w:hint="eastAsia" w:ascii="仿宋_GB2312" w:eastAsia="仿宋_GB2312"/>
          <w:sz w:val="32"/>
          <w:szCs w:val="32"/>
          <w:lang w:val="en-US" w:eastAsia="zh-CN"/>
        </w:rPr>
        <w:t>2024年年初预算数127921.15万元减少7924.21万元，部门预决算差异率6.19%。部门预决算差异率控制得当。</w:t>
      </w:r>
      <w:bookmarkEnd w:id="28"/>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outlineLvl w:val="0"/>
        <w:rPr>
          <w:rFonts w:ascii="黑体" w:hAnsi="黑体" w:eastAsia="黑体"/>
          <w:sz w:val="32"/>
          <w:szCs w:val="32"/>
        </w:rPr>
      </w:pPr>
      <w:bookmarkStart w:id="29" w:name="_Toc22897"/>
      <w:r>
        <w:rPr>
          <w:rFonts w:hint="eastAsia" w:ascii="黑体" w:hAnsi="黑体" w:eastAsia="黑体"/>
          <w:sz w:val="32"/>
          <w:szCs w:val="32"/>
        </w:rPr>
        <w:t>五、总体评价结论</w:t>
      </w:r>
      <w:bookmarkEnd w:id="29"/>
    </w:p>
    <w:p>
      <w:pPr>
        <w:keepNext w:val="0"/>
        <w:keepLines w:val="0"/>
        <w:pageBreakBefore w:val="0"/>
        <w:widowControl w:val="0"/>
        <w:kinsoku/>
        <w:wordWrap/>
        <w:overflowPunct/>
        <w:topLinePunct w:val="0"/>
        <w:autoSpaceDE/>
        <w:autoSpaceDN/>
        <w:bidi w:val="0"/>
        <w:adjustRightInd w:val="0"/>
        <w:snapToGrid w:val="0"/>
        <w:spacing w:line="580" w:lineRule="exact"/>
        <w:ind w:firstLine="642" w:firstLineChars="200"/>
        <w:textAlignment w:val="auto"/>
        <w:outlineLvl w:val="1"/>
        <w:rPr>
          <w:rFonts w:ascii="楷体" w:hAnsi="楷体" w:eastAsia="楷体"/>
          <w:b/>
          <w:sz w:val="32"/>
          <w:szCs w:val="32"/>
        </w:rPr>
      </w:pPr>
      <w:bookmarkStart w:id="30" w:name="_Toc17639"/>
      <w:r>
        <w:rPr>
          <w:rFonts w:hint="eastAsia" w:ascii="楷体" w:hAnsi="楷体" w:eastAsia="楷体"/>
          <w:b/>
          <w:sz w:val="32"/>
          <w:szCs w:val="32"/>
        </w:rPr>
        <w:t>（一）评价得分情况</w:t>
      </w:r>
      <w:bookmarkEnd w:id="30"/>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本次部门整体绩效评价通过资料分析、专家评议等多种方式开展了全面、系统、客观的分析评价，最终得分为95.89分，综合评价等级为“优秀”。其中：预算执行情况18.19分，整体绩效目标实现情况58.50分，预算管理情况19.20分。</w:t>
      </w:r>
    </w:p>
    <w:p>
      <w:pPr>
        <w:keepNext w:val="0"/>
        <w:keepLines w:val="0"/>
        <w:pageBreakBefore w:val="0"/>
        <w:widowControl w:val="0"/>
        <w:numPr>
          <w:ilvl w:val="0"/>
          <w:numId w:val="0"/>
        </w:numPr>
        <w:tabs>
          <w:tab w:val="left" w:pos="350"/>
        </w:tabs>
        <w:kinsoku/>
        <w:wordWrap/>
        <w:overflowPunct/>
        <w:topLinePunct w:val="0"/>
        <w:autoSpaceDE/>
        <w:autoSpaceDN/>
        <w:bidi w:val="0"/>
        <w:adjustRightInd w:val="0"/>
        <w:snapToGrid w:val="0"/>
        <w:spacing w:line="580" w:lineRule="exact"/>
        <w:ind w:leftChars="0" w:firstLine="642" w:firstLineChars="200"/>
        <w:textAlignment w:val="auto"/>
        <w:outlineLvl w:val="1"/>
        <w:rPr>
          <w:rFonts w:hint="eastAsia" w:ascii="楷体" w:hAnsi="楷体" w:eastAsia="楷体"/>
          <w:b/>
          <w:sz w:val="32"/>
          <w:szCs w:val="32"/>
        </w:rPr>
      </w:pPr>
      <w:bookmarkStart w:id="31" w:name="_Toc4759"/>
      <w:r>
        <w:rPr>
          <w:rFonts w:hint="eastAsia" w:ascii="楷体" w:hAnsi="楷体" w:eastAsia="楷体"/>
          <w:b/>
          <w:sz w:val="32"/>
          <w:szCs w:val="32"/>
          <w:lang w:eastAsia="zh-CN"/>
        </w:rPr>
        <w:t>（</w:t>
      </w:r>
      <w:r>
        <w:rPr>
          <w:rFonts w:hint="eastAsia" w:ascii="楷体" w:hAnsi="楷体" w:eastAsia="楷体"/>
          <w:b/>
          <w:sz w:val="32"/>
          <w:szCs w:val="32"/>
          <w:lang w:val="en-US" w:eastAsia="zh-CN"/>
        </w:rPr>
        <w:t>二</w:t>
      </w:r>
      <w:r>
        <w:rPr>
          <w:rFonts w:hint="eastAsia" w:ascii="楷体" w:hAnsi="楷体" w:eastAsia="楷体"/>
          <w:b/>
          <w:sz w:val="32"/>
          <w:szCs w:val="32"/>
          <w:lang w:eastAsia="zh-CN"/>
        </w:rPr>
        <w:t>）</w:t>
      </w:r>
      <w:r>
        <w:rPr>
          <w:rFonts w:hint="eastAsia" w:ascii="楷体" w:hAnsi="楷体" w:eastAsia="楷体"/>
          <w:b/>
          <w:sz w:val="32"/>
          <w:szCs w:val="32"/>
        </w:rPr>
        <w:t>存在的问题及原因分析</w:t>
      </w:r>
      <w:bookmarkEnd w:id="31"/>
    </w:p>
    <w:p>
      <w:pPr>
        <w:pStyle w:val="14"/>
        <w:keepNext w:val="0"/>
        <w:keepLines w:val="0"/>
        <w:pageBreakBefore w:val="0"/>
        <w:widowControl/>
        <w:kinsoku/>
        <w:wordWrap/>
        <w:overflowPunct/>
        <w:topLinePunct w:val="0"/>
        <w:autoSpaceDE/>
        <w:autoSpaceDN/>
        <w:bidi w:val="0"/>
        <w:adjustRightInd w:val="0"/>
        <w:snapToGrid w:val="0"/>
        <w:spacing w:beforeAutospacing="0" w:afterAutospacing="0" w:line="580" w:lineRule="exact"/>
        <w:ind w:leftChars="0" w:firstLine="642" w:firstLineChars="200"/>
        <w:jc w:val="both"/>
        <w:textAlignment w:val="auto"/>
        <w:rPr>
          <w:rStyle w:val="33"/>
          <w:rFonts w:hint="eastAsia" w:ascii="仿宋_GB2312" w:hAnsi="仿宋_GB2312" w:eastAsia="仿宋_GB2312" w:cs="仿宋_GB2312"/>
          <w:color w:val="auto"/>
          <w:sz w:val="32"/>
          <w:szCs w:val="32"/>
          <w:highlight w:val="none"/>
          <w:lang w:val="en-US" w:eastAsia="zh-CN"/>
        </w:rPr>
      </w:pPr>
      <w:bookmarkStart w:id="32" w:name="_Toc19392"/>
      <w:bookmarkStart w:id="33" w:name="OLE_LINK2"/>
      <w:r>
        <w:rPr>
          <w:rStyle w:val="33"/>
          <w:rFonts w:hint="eastAsia" w:ascii="仿宋_GB2312" w:hAnsi="仿宋_GB2312" w:eastAsia="仿宋_GB2312" w:cs="仿宋_GB2312"/>
          <w:color w:val="auto"/>
          <w:sz w:val="32"/>
          <w:szCs w:val="32"/>
          <w:highlight w:val="none"/>
          <w:lang w:val="en-US" w:eastAsia="zh-CN"/>
        </w:rPr>
        <w:t>1.绩效指标设置科学性存在优化空间</w:t>
      </w:r>
      <w:bookmarkEnd w:id="32"/>
    </w:p>
    <w:p>
      <w:pPr>
        <w:keepNext w:val="0"/>
        <w:keepLines w:val="0"/>
        <w:pageBreakBefore w:val="0"/>
        <w:widowControl w:val="0"/>
        <w:kinsoku/>
        <w:wordWrap/>
        <w:overflowPunct/>
        <w:topLinePunct w:val="0"/>
        <w:autoSpaceDE/>
        <w:autoSpaceDN/>
        <w:bidi w:val="0"/>
        <w:spacing w:line="580" w:lineRule="exact"/>
        <w:ind w:firstLine="640" w:firstLineChars="200"/>
        <w:jc w:val="both"/>
        <w:textAlignment w:val="auto"/>
        <w:rPr>
          <w:rFonts w:hint="eastAsia" w:ascii="仿宋_GB2312" w:hAnsi="仿宋_GB2312" w:eastAsia="仿宋_GB2312" w:cs="仿宋_GB2312"/>
          <w:bCs/>
          <w:iCs/>
          <w:kern w:val="0"/>
          <w:sz w:val="32"/>
          <w:szCs w:val="32"/>
          <w:highlight w:val="none"/>
          <w:u w:color="000000"/>
          <w:lang w:val="en-US" w:eastAsia="zh-CN"/>
        </w:rPr>
      </w:pPr>
      <w:r>
        <w:rPr>
          <w:rFonts w:hint="eastAsia" w:ascii="仿宋_GB2312" w:hAnsi="仿宋_GB2312" w:eastAsia="仿宋_GB2312" w:cs="仿宋_GB2312"/>
          <w:bCs/>
          <w:iCs/>
          <w:kern w:val="0"/>
          <w:sz w:val="32"/>
          <w:szCs w:val="32"/>
          <w:highlight w:val="none"/>
          <w:u w:color="000000"/>
          <w:lang w:val="en-US" w:eastAsia="zh-CN"/>
        </w:rPr>
        <w:t>绩效指标作为绩效管理的核心基础与评价标尺，其科学性直接关系到工作成效评估的准确性和有效性。从项目绩效自评结果来看，当前绩效指标设置仍存在优化空间，具体体现在以下三个方面：一是指标体系完整性不足，部分项目存在质量、时效和成本指标缺失的问题，未能全面覆盖绩效管理所需的关键维度；二是指标量化程度欠佳，质量和满意度等关键指标的量化程度不够，缺乏明确具体的衡量标准；三是指标值设定不合理，年初设定的绩效指标值普遍偏低，实际完成情况远超目标值，产出与效益难以通过指标进行有效衡量。</w:t>
      </w:r>
    </w:p>
    <w:bookmarkEnd w:id="33"/>
    <w:p>
      <w:pPr>
        <w:pStyle w:val="14"/>
        <w:keepNext w:val="0"/>
        <w:keepLines w:val="0"/>
        <w:pageBreakBefore w:val="0"/>
        <w:widowControl/>
        <w:kinsoku/>
        <w:wordWrap/>
        <w:overflowPunct/>
        <w:topLinePunct w:val="0"/>
        <w:autoSpaceDE/>
        <w:autoSpaceDN/>
        <w:bidi w:val="0"/>
        <w:adjustRightInd w:val="0"/>
        <w:snapToGrid w:val="0"/>
        <w:spacing w:beforeAutospacing="0" w:afterAutospacing="0" w:line="580" w:lineRule="exact"/>
        <w:ind w:leftChars="0" w:firstLine="642" w:firstLineChars="200"/>
        <w:jc w:val="both"/>
        <w:textAlignment w:val="auto"/>
        <w:rPr>
          <w:rStyle w:val="33"/>
          <w:rFonts w:hint="default" w:ascii="仿宋_GB2312" w:hAnsi="仿宋_GB2312" w:eastAsia="仿宋_GB2312" w:cs="仿宋_GB2312"/>
          <w:color w:val="auto"/>
          <w:sz w:val="32"/>
          <w:szCs w:val="32"/>
          <w:highlight w:val="none"/>
          <w:lang w:val="en-US" w:eastAsia="zh-CN"/>
        </w:rPr>
      </w:pPr>
      <w:r>
        <w:rPr>
          <w:rStyle w:val="33"/>
          <w:rFonts w:hint="eastAsia" w:ascii="仿宋_GB2312" w:hAnsi="仿宋_GB2312" w:eastAsia="仿宋_GB2312" w:cs="仿宋_GB2312"/>
          <w:color w:val="auto"/>
          <w:sz w:val="32"/>
          <w:szCs w:val="32"/>
          <w:highlight w:val="none"/>
          <w:lang w:val="en-US" w:eastAsia="zh-CN"/>
        </w:rPr>
        <w:t>2.项目归类整合与统筹规划有待进一步提升</w:t>
      </w:r>
    </w:p>
    <w:p>
      <w:pPr>
        <w:pStyle w:val="14"/>
        <w:keepNext w:val="0"/>
        <w:keepLines w:val="0"/>
        <w:pageBreakBefore w:val="0"/>
        <w:widowControl/>
        <w:kinsoku/>
        <w:wordWrap/>
        <w:overflowPunct/>
        <w:topLinePunct w:val="0"/>
        <w:autoSpaceDE/>
        <w:autoSpaceDN/>
        <w:bidi w:val="0"/>
        <w:adjustRightInd w:val="0"/>
        <w:snapToGrid w:val="0"/>
        <w:spacing w:beforeAutospacing="0" w:afterAutospacing="0" w:line="580" w:lineRule="exact"/>
        <w:ind w:leftChars="0" w:firstLine="640" w:firstLineChars="200"/>
        <w:jc w:val="both"/>
        <w:textAlignment w:val="auto"/>
        <w:rPr>
          <w:rFonts w:hint="eastAsia" w:ascii="仿宋_GB2312" w:hAnsi="仿宋_GB2312" w:eastAsia="仿宋_GB2312" w:cs="仿宋_GB2312"/>
          <w:bCs/>
          <w:iCs/>
          <w:kern w:val="0"/>
          <w:sz w:val="32"/>
          <w:szCs w:val="32"/>
          <w:highlight w:val="none"/>
          <w:u w:color="000000"/>
          <w:lang w:val="en-US" w:eastAsia="zh-CN" w:bidi="ar-SA"/>
        </w:rPr>
      </w:pPr>
      <w:bookmarkStart w:id="34" w:name="OLE_LINK16"/>
      <w:r>
        <w:rPr>
          <w:rFonts w:hint="eastAsia" w:ascii="仿宋_GB2312" w:hAnsi="仿宋_GB2312" w:eastAsia="仿宋_GB2312" w:cs="仿宋_GB2312"/>
          <w:bCs/>
          <w:iCs/>
          <w:kern w:val="0"/>
          <w:sz w:val="32"/>
          <w:szCs w:val="32"/>
          <w:highlight w:val="none"/>
          <w:u w:color="000000"/>
          <w:lang w:val="en-US" w:eastAsia="zh-CN" w:bidi="ar-SA"/>
        </w:rPr>
        <w:t>在项目管理工作持续深化推进的进程中，项目体系的优化整合始终是提升管理效能、促进资源高效配置的关键着力点。自去年系统开展项目整合工作以来，通过建立跨部门协同机制、优化项目分类标准、推行同类事项归并等一系列务实举措，项目管理的规范化、系统化水平实现显著提升。在项目整合实践中偶有衔接不畅的情况，不同部门基于自身管理权限与业务流程，对项目的归类认知与整合诉求存在差异，仍有少数项目和子活动归类不到位，一定程度上影响了项目归类整合的精准度与效率。</w:t>
      </w:r>
    </w:p>
    <w:p>
      <w:pPr>
        <w:pStyle w:val="14"/>
        <w:keepNext w:val="0"/>
        <w:keepLines w:val="0"/>
        <w:pageBreakBefore w:val="0"/>
        <w:widowControl/>
        <w:kinsoku/>
        <w:wordWrap/>
        <w:overflowPunct/>
        <w:topLinePunct w:val="0"/>
        <w:autoSpaceDE/>
        <w:autoSpaceDN/>
        <w:bidi w:val="0"/>
        <w:adjustRightInd w:val="0"/>
        <w:snapToGrid w:val="0"/>
        <w:spacing w:beforeAutospacing="0" w:afterAutospacing="0" w:line="580" w:lineRule="exact"/>
        <w:ind w:leftChars="0" w:firstLine="642" w:firstLineChars="200"/>
        <w:jc w:val="both"/>
        <w:textAlignment w:val="auto"/>
        <w:rPr>
          <w:rStyle w:val="33"/>
          <w:rFonts w:hint="eastAsia" w:ascii="仿宋_GB2312" w:hAnsi="仿宋_GB2312" w:eastAsia="仿宋_GB2312" w:cs="仿宋_GB2312"/>
          <w:color w:val="auto"/>
          <w:sz w:val="32"/>
          <w:szCs w:val="32"/>
          <w:highlight w:val="none"/>
          <w:lang w:val="en-US" w:eastAsia="zh-CN"/>
        </w:rPr>
      </w:pPr>
      <w:bookmarkStart w:id="35" w:name="OLE_LINK15"/>
      <w:r>
        <w:rPr>
          <w:rStyle w:val="33"/>
          <w:rFonts w:hint="eastAsia" w:ascii="仿宋_GB2312" w:hAnsi="仿宋_GB2312" w:eastAsia="仿宋_GB2312" w:cs="仿宋_GB2312"/>
          <w:color w:val="auto"/>
          <w:sz w:val="32"/>
          <w:szCs w:val="32"/>
          <w:highlight w:val="none"/>
          <w:lang w:val="en-US" w:eastAsia="zh-CN"/>
        </w:rPr>
        <w:t>3.成本效益管理有待深化</w:t>
      </w:r>
    </w:p>
    <w:p>
      <w:pPr>
        <w:pStyle w:val="14"/>
        <w:keepNext w:val="0"/>
        <w:keepLines w:val="0"/>
        <w:pageBreakBefore w:val="0"/>
        <w:widowControl/>
        <w:kinsoku/>
        <w:wordWrap/>
        <w:overflowPunct/>
        <w:topLinePunct w:val="0"/>
        <w:autoSpaceDE/>
        <w:autoSpaceDN/>
        <w:bidi w:val="0"/>
        <w:adjustRightInd w:val="0"/>
        <w:snapToGrid w:val="0"/>
        <w:spacing w:beforeAutospacing="0" w:afterAutospacing="0" w:line="580" w:lineRule="exact"/>
        <w:ind w:leftChars="0" w:firstLine="640" w:firstLineChars="200"/>
        <w:jc w:val="both"/>
        <w:textAlignment w:val="auto"/>
        <w:rPr>
          <w:rFonts w:hint="eastAsia" w:ascii="仿宋_GB2312" w:hAnsi="仿宋_GB2312" w:eastAsia="仿宋_GB2312" w:cs="仿宋_GB2312"/>
          <w:bCs/>
          <w:iCs/>
          <w:kern w:val="0"/>
          <w:sz w:val="32"/>
          <w:szCs w:val="32"/>
          <w:highlight w:val="none"/>
          <w:u w:color="000000"/>
          <w:lang w:val="en-US" w:eastAsia="zh-CN" w:bidi="ar-SA"/>
        </w:rPr>
      </w:pPr>
      <w:r>
        <w:rPr>
          <w:rFonts w:hint="eastAsia" w:ascii="仿宋_GB2312" w:hAnsi="仿宋_GB2312" w:eastAsia="仿宋_GB2312" w:cs="仿宋_GB2312"/>
          <w:bCs/>
          <w:iCs/>
          <w:kern w:val="0"/>
          <w:sz w:val="32"/>
          <w:szCs w:val="32"/>
          <w:highlight w:val="none"/>
          <w:u w:color="000000"/>
          <w:lang w:val="en-US" w:eastAsia="zh-CN" w:bidi="ar-SA"/>
        </w:rPr>
        <w:t>成本效益管理是提升财政资金使用效能、保障项目可持续发展的关键抓手。在成本效益管理体系的深化推进过程中，尽管各单位在预算编制、项目执行等环节已逐步强化成本管控意识，但在精细化管理层面仍存在进一步提升空间。部分单位在项目决策阶段，尚未建立起科学完备的成本效益量化评估机制，未能充分运用成本收益比等核心指标对项目可行性进行系统分析，导致成本投入与预期产出效益之间的关联性与匹配度不足。在成本要素管理方面，由于缺乏统一规范的分类标准与动态调整机制，部分项目存在成本要素界定模糊、归类不精准的现象，无法全面、准确反映项目真实成本构成，进而影响资源配置的科学性与合理性。</w:t>
      </w:r>
    </w:p>
    <w:bookmarkEnd w:id="34"/>
    <w:bookmarkEnd w:id="35"/>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sz w:val="32"/>
          <w:szCs w:val="32"/>
        </w:rPr>
      </w:pPr>
      <w:bookmarkStart w:id="36" w:name="_Toc583"/>
      <w:r>
        <w:rPr>
          <w:rFonts w:hint="eastAsia" w:ascii="黑体" w:hAnsi="黑体" w:eastAsia="黑体"/>
          <w:sz w:val="32"/>
          <w:szCs w:val="32"/>
          <w:lang w:val="en-US" w:eastAsia="zh-CN"/>
        </w:rPr>
        <w:t>六、</w:t>
      </w:r>
      <w:r>
        <w:rPr>
          <w:rFonts w:hint="eastAsia" w:ascii="黑体" w:hAnsi="黑体" w:eastAsia="黑体"/>
          <w:sz w:val="32"/>
          <w:szCs w:val="32"/>
        </w:rPr>
        <w:t>措施建议</w:t>
      </w:r>
      <w:bookmarkEnd w:id="36"/>
    </w:p>
    <w:p>
      <w:pPr>
        <w:keepNext w:val="0"/>
        <w:keepLines w:val="0"/>
        <w:pageBreakBefore w:val="0"/>
        <w:widowControl w:val="0"/>
        <w:numPr>
          <w:ilvl w:val="0"/>
          <w:numId w:val="0"/>
        </w:numPr>
        <w:tabs>
          <w:tab w:val="left" w:pos="350"/>
        </w:tabs>
        <w:kinsoku/>
        <w:wordWrap/>
        <w:overflowPunct/>
        <w:topLinePunct w:val="0"/>
        <w:autoSpaceDE/>
        <w:autoSpaceDN/>
        <w:bidi w:val="0"/>
        <w:adjustRightInd w:val="0"/>
        <w:snapToGrid w:val="0"/>
        <w:spacing w:line="580" w:lineRule="exact"/>
        <w:ind w:leftChars="0" w:firstLine="642" w:firstLineChars="200"/>
        <w:textAlignment w:val="auto"/>
        <w:outlineLvl w:val="1"/>
        <w:rPr>
          <w:rFonts w:hint="eastAsia" w:ascii="楷体" w:hAnsi="楷体" w:eastAsia="楷体"/>
          <w:b/>
          <w:sz w:val="32"/>
          <w:szCs w:val="32"/>
          <w:lang w:val="en-US" w:eastAsia="zh-CN"/>
        </w:rPr>
      </w:pPr>
      <w:bookmarkStart w:id="37" w:name="_Toc7840"/>
      <w:bookmarkStart w:id="38" w:name="_Toc5839"/>
      <w:r>
        <w:rPr>
          <w:rFonts w:hint="eastAsia" w:ascii="楷体" w:hAnsi="楷体" w:eastAsia="楷体"/>
          <w:b/>
          <w:sz w:val="32"/>
          <w:szCs w:val="32"/>
          <w:lang w:val="en-US" w:eastAsia="zh-CN"/>
        </w:rPr>
        <w:t>（一）科学合理设置绩效指标</w:t>
      </w:r>
      <w:bookmarkEnd w:id="37"/>
      <w:bookmarkEnd w:id="38"/>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39" w:name="OLE_LINK3"/>
      <w:r>
        <w:rPr>
          <w:rFonts w:hint="eastAsia" w:ascii="仿宋_GB2312" w:hAnsi="仿宋_GB2312" w:eastAsia="仿宋_GB2312" w:cs="仿宋_GB2312"/>
          <w:color w:val="auto"/>
          <w:sz w:val="32"/>
          <w:szCs w:val="32"/>
          <w:highlight w:val="none"/>
          <w:lang w:val="en-US" w:eastAsia="zh-CN"/>
        </w:rPr>
        <w:t>科学设置绩效指标是发挥绩效管理导向作用、提升政府治理效能的关键环节。建议建立标准化指标框架，按照“投入－过程－产出－效益”全周期管理思路，明确质量、时效、成本等核心指标的必设要求；强化指标量化程度，提升考核精准度；结合近三年同类工作实际完成数据，提高目标值设置的准确性与合理性，避免出现完成值与目标值偏离的情况，增强绩效指标的可考核性，切实发挥绩效管理的考评作用。</w:t>
      </w:r>
    </w:p>
    <w:bookmarkEnd w:id="39"/>
    <w:p>
      <w:pPr>
        <w:keepNext w:val="0"/>
        <w:keepLines w:val="0"/>
        <w:pageBreakBefore w:val="0"/>
        <w:widowControl w:val="0"/>
        <w:numPr>
          <w:ilvl w:val="0"/>
          <w:numId w:val="0"/>
        </w:numPr>
        <w:tabs>
          <w:tab w:val="left" w:pos="350"/>
        </w:tabs>
        <w:kinsoku/>
        <w:wordWrap/>
        <w:overflowPunct/>
        <w:topLinePunct w:val="0"/>
        <w:autoSpaceDE/>
        <w:autoSpaceDN/>
        <w:bidi w:val="0"/>
        <w:adjustRightInd w:val="0"/>
        <w:snapToGrid w:val="0"/>
        <w:spacing w:line="580" w:lineRule="exact"/>
        <w:ind w:leftChars="0" w:firstLine="642" w:firstLineChars="200"/>
        <w:textAlignment w:val="auto"/>
        <w:outlineLvl w:val="1"/>
        <w:rPr>
          <w:rFonts w:hint="eastAsia" w:ascii="楷体" w:hAnsi="楷体" w:eastAsia="楷体"/>
          <w:b/>
          <w:sz w:val="32"/>
          <w:szCs w:val="32"/>
          <w:lang w:val="en-US" w:eastAsia="zh-CN"/>
        </w:rPr>
      </w:pPr>
      <w:bookmarkStart w:id="40" w:name="_Toc6138"/>
      <w:r>
        <w:rPr>
          <w:rFonts w:hint="eastAsia" w:ascii="楷体" w:hAnsi="楷体" w:eastAsia="楷体"/>
          <w:b/>
          <w:sz w:val="32"/>
          <w:szCs w:val="32"/>
          <w:lang w:val="en-US" w:eastAsia="zh-CN"/>
        </w:rPr>
        <w:t>（二）</w:t>
      </w:r>
      <w:bookmarkEnd w:id="40"/>
      <w:r>
        <w:rPr>
          <w:rFonts w:hint="eastAsia" w:ascii="楷体" w:hAnsi="楷体" w:eastAsia="楷体"/>
          <w:b/>
          <w:sz w:val="32"/>
          <w:szCs w:val="32"/>
          <w:lang w:val="en-US" w:eastAsia="zh-CN"/>
        </w:rPr>
        <w:t>完善分级管理体系</w:t>
      </w:r>
    </w:p>
    <w:p>
      <w:pPr>
        <w:keepNext w:val="0"/>
        <w:keepLines w:val="0"/>
        <w:pageBreakBefore w:val="0"/>
        <w:widowControl w:val="0"/>
        <w:numPr>
          <w:ilvl w:val="0"/>
          <w:numId w:val="0"/>
        </w:numPr>
        <w:tabs>
          <w:tab w:val="left" w:pos="350"/>
        </w:tabs>
        <w:kinsoku/>
        <w:wordWrap/>
        <w:overflowPunct/>
        <w:topLinePunct w:val="0"/>
        <w:autoSpaceDE/>
        <w:autoSpaceDN/>
        <w:bidi w:val="0"/>
        <w:adjustRightInd w:val="0"/>
        <w:snapToGrid w:val="0"/>
        <w:spacing w:line="580" w:lineRule="exact"/>
        <w:ind w:leftChars="0" w:firstLine="640" w:firstLineChars="200"/>
        <w:textAlignment w:val="auto"/>
        <w:outlineLvl w:val="1"/>
        <w:rPr>
          <w:rFonts w:hint="eastAsia" w:ascii="仿宋_GB2312" w:hAnsi="仿宋" w:eastAsia="仿宋_GB2312"/>
          <w:sz w:val="32"/>
          <w:szCs w:val="32"/>
          <w:lang w:val="en-US" w:eastAsia="zh-CN"/>
        </w:rPr>
      </w:pPr>
      <w:bookmarkStart w:id="41" w:name="_Toc22058"/>
      <w:r>
        <w:rPr>
          <w:rFonts w:hint="eastAsia" w:ascii="仿宋_GB2312" w:hAnsi="仿宋" w:eastAsia="仿宋_GB2312"/>
          <w:sz w:val="32"/>
          <w:szCs w:val="32"/>
          <w:lang w:val="en-US" w:eastAsia="zh-CN"/>
        </w:rPr>
        <w:t>为进一步提升项目归类整合与统筹规划水平，可从构建标准体系、强化协同管理、优化分级流程、加强培训考核四方面完善项目归类整合体系。通过制定统一且动态更新的分类标准，明确项目归类依据；建立跨部门协同机制，加强信息共享与联合预审；将归类工作融入分级管理体系，细化各层级权责；开展专项培训并完善考核激励，提升人员能力与工作积极性，从而全面提高项目归类精准度与整合效率，推动预算资源科学配置与高效利用。</w:t>
      </w:r>
    </w:p>
    <w:p>
      <w:pPr>
        <w:keepNext w:val="0"/>
        <w:keepLines w:val="0"/>
        <w:pageBreakBefore w:val="0"/>
        <w:widowControl w:val="0"/>
        <w:numPr>
          <w:ilvl w:val="0"/>
          <w:numId w:val="0"/>
        </w:numPr>
        <w:tabs>
          <w:tab w:val="left" w:pos="350"/>
        </w:tabs>
        <w:kinsoku/>
        <w:wordWrap/>
        <w:overflowPunct/>
        <w:topLinePunct w:val="0"/>
        <w:autoSpaceDE/>
        <w:autoSpaceDN/>
        <w:bidi w:val="0"/>
        <w:adjustRightInd w:val="0"/>
        <w:snapToGrid w:val="0"/>
        <w:spacing w:line="580" w:lineRule="exact"/>
        <w:ind w:leftChars="0" w:firstLine="642" w:firstLineChars="200"/>
        <w:textAlignment w:val="auto"/>
        <w:outlineLvl w:val="1"/>
        <w:rPr>
          <w:rFonts w:hint="eastAsia" w:ascii="楷体" w:hAnsi="楷体" w:eastAsia="楷体"/>
          <w:b/>
          <w:sz w:val="32"/>
          <w:szCs w:val="32"/>
          <w:lang w:val="en-US" w:eastAsia="zh-CN"/>
        </w:rPr>
      </w:pPr>
      <w:r>
        <w:rPr>
          <w:rFonts w:hint="eastAsia" w:ascii="楷体" w:hAnsi="楷体" w:eastAsia="楷体"/>
          <w:b/>
          <w:sz w:val="32"/>
          <w:szCs w:val="32"/>
          <w:lang w:val="en-US" w:eastAsia="zh-CN"/>
        </w:rPr>
        <w:t>（三）</w:t>
      </w:r>
      <w:bookmarkEnd w:id="41"/>
      <w:r>
        <w:rPr>
          <w:rFonts w:hint="eastAsia" w:ascii="楷体" w:hAnsi="楷体" w:eastAsia="楷体"/>
          <w:b/>
          <w:sz w:val="32"/>
          <w:szCs w:val="32"/>
          <w:lang w:val="en-US" w:eastAsia="zh-CN"/>
        </w:rPr>
        <w:t>构建科学支出标准体系</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仿宋_GB2312" w:hAnsi="仿宋" w:eastAsia="仿宋_GB2312"/>
          <w:sz w:val="32"/>
          <w:szCs w:val="32"/>
          <w:lang w:val="en-US" w:eastAsia="zh-CN"/>
        </w:rPr>
      </w:pPr>
      <w:bookmarkStart w:id="42" w:name="_Toc7316"/>
      <w:r>
        <w:rPr>
          <w:rFonts w:hint="eastAsia" w:ascii="仿宋_GB2312" w:hAnsi="仿宋" w:eastAsia="仿宋_GB2312"/>
          <w:sz w:val="32"/>
          <w:szCs w:val="32"/>
          <w:lang w:val="en-US" w:eastAsia="zh-CN"/>
        </w:rPr>
        <w:t>为解决当前成本效益管理精细化不足的问题，需围绕构建科学支出标准体系发力，首先统一规范成本要素分类标准并建立动态调整机制，确保成本界定精准；其次基于29类项目核心绩效指标，构建以成本收益比为核心的量化评估模型，强化项目决策阶段的科学论证；同时完善支出标准动态优化与反馈机制，结合实际执行情况持续校准；最后通过强化专业培训与考核监督，推动各单位切实提升成本效益管理能力，从而实现成本投入与产出效益的精准匹配，提升财政资源配置的科学性与合理性。</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rPr>
        <w:t>七、附件</w:t>
      </w:r>
      <w:bookmarkEnd w:id="42"/>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eastAsia="仿宋_GB2312"/>
          <w:sz w:val="32"/>
          <w:szCs w:val="32"/>
        </w:rPr>
        <w:sectPr>
          <w:footerReference r:id="rId4" w:type="default"/>
          <w:pgSz w:w="11906" w:h="16838"/>
          <w:pgMar w:top="2098" w:right="1474" w:bottom="1587" w:left="1587" w:header="851" w:footer="992" w:gutter="0"/>
          <w:pgNumType w:fmt="decimal" w:start="1"/>
          <w:cols w:space="425" w:num="1"/>
          <w:docGrid w:type="lines" w:linePitch="312" w:charSpace="0"/>
        </w:sect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年部门整体绩效评价指标体系评分表</w:t>
      </w:r>
    </w:p>
    <w:tbl>
      <w:tblPr>
        <w:tblStyle w:val="17"/>
        <w:tblW w:w="12923"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52"/>
        <w:gridCol w:w="776"/>
        <w:gridCol w:w="2140"/>
        <w:gridCol w:w="1860"/>
        <w:gridCol w:w="3435"/>
        <w:gridCol w:w="2085"/>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2923" w:type="dxa"/>
            <w:gridSpan w:val="7"/>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color w:val="000000"/>
                <w:kern w:val="0"/>
                <w:sz w:val="36"/>
                <w:szCs w:val="36"/>
                <w:u w:val="none"/>
                <w:lang w:val="en-US" w:eastAsia="zh-CN" w:bidi="ar"/>
              </w:rPr>
              <w:t>北京市人力资源和社会保障局2024年度部门整体绩效评价指标体系评分表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2923" w:type="dxa"/>
            <w:gridSpan w:val="7"/>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一、当年预算执行情况（20分）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5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预算数</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执行数</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343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20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87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自评</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752"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当年预算执行情况（20分）</w:t>
            </w:r>
          </w:p>
        </w:tc>
        <w:tc>
          <w:tcPr>
            <w:tcW w:w="7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资金总体</w:t>
            </w:r>
          </w:p>
        </w:tc>
        <w:tc>
          <w:tcPr>
            <w:tcW w:w="21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131,939.32</w:t>
            </w: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119,996.94</w:t>
            </w:r>
          </w:p>
        </w:tc>
        <w:tc>
          <w:tcPr>
            <w:tcW w:w="343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90.95%</w:t>
            </w:r>
          </w:p>
        </w:tc>
        <w:tc>
          <w:tcPr>
            <w:tcW w:w="20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875"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1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6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67,083.74</w:t>
            </w:r>
          </w:p>
        </w:tc>
        <w:tc>
          <w:tcPr>
            <w:tcW w:w="343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85"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7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21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60"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52,913.20</w:t>
            </w:r>
          </w:p>
        </w:tc>
        <w:tc>
          <w:tcPr>
            <w:tcW w:w="343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8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7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w:t>
            </w:r>
          </w:p>
        </w:tc>
        <w:tc>
          <w:tcPr>
            <w:tcW w:w="2140" w:type="dxa"/>
            <w:shd w:val="clear" w:color="auto" w:fill="auto"/>
            <w:vAlign w:val="center"/>
          </w:tcPr>
          <w:p>
            <w:pPr>
              <w:rPr>
                <w:rFonts w:hint="eastAsia" w:ascii="宋体" w:hAnsi="宋体" w:eastAsia="宋体" w:cs="宋体"/>
                <w:i w:val="0"/>
                <w:iCs w:val="0"/>
                <w:color w:val="000000"/>
                <w:sz w:val="20"/>
                <w:szCs w:val="20"/>
                <w:u w:val="none"/>
              </w:rPr>
            </w:pPr>
          </w:p>
        </w:tc>
        <w:tc>
          <w:tcPr>
            <w:tcW w:w="1860" w:type="dxa"/>
            <w:shd w:val="clear" w:color="auto" w:fill="auto"/>
            <w:vAlign w:val="center"/>
          </w:tcPr>
          <w:p>
            <w:pPr>
              <w:rPr>
                <w:rFonts w:hint="eastAsia" w:ascii="宋体" w:hAnsi="宋体" w:eastAsia="宋体" w:cs="宋体"/>
                <w:i w:val="0"/>
                <w:iCs w:val="0"/>
                <w:color w:val="000000"/>
                <w:sz w:val="20"/>
                <w:szCs w:val="20"/>
                <w:u w:val="none"/>
              </w:rPr>
            </w:pPr>
          </w:p>
        </w:tc>
        <w:tc>
          <w:tcPr>
            <w:tcW w:w="3435" w:type="dxa"/>
            <w:shd w:val="clear" w:color="auto" w:fill="auto"/>
            <w:vAlign w:val="center"/>
          </w:tcPr>
          <w:p>
            <w:pPr>
              <w:rPr>
                <w:rFonts w:hint="eastAsia" w:ascii="宋体" w:hAnsi="宋体" w:eastAsia="宋体" w:cs="宋体"/>
                <w:i w:val="0"/>
                <w:iCs w:val="0"/>
                <w:color w:val="000000"/>
                <w:sz w:val="20"/>
                <w:szCs w:val="20"/>
                <w:u w:val="none"/>
              </w:rPr>
            </w:pPr>
          </w:p>
        </w:tc>
        <w:tc>
          <w:tcPr>
            <w:tcW w:w="208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7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923" w:type="dxa"/>
            <w:gridSpan w:val="7"/>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二、整体绩效目标实际情况（60分）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5" w:hRule="atLeast"/>
        </w:trPr>
        <w:tc>
          <w:tcPr>
            <w:tcW w:w="75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343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完成值</w:t>
            </w:r>
          </w:p>
        </w:tc>
        <w:tc>
          <w:tcPr>
            <w:tcW w:w="20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87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2" w:type="dxa"/>
            <w:vMerge w:val="restart"/>
            <w:shd w:val="clear" w:color="auto" w:fill="auto"/>
            <w:vAlign w:val="center"/>
          </w:tcPr>
          <w:p/>
          <w:p>
            <w:pPr>
              <w:jc w:val="center"/>
              <w:rPr>
                <w:rFonts w:hint="eastAsia" w:ascii="宋体" w:hAnsi="宋体" w:eastAsia="宋体" w:cs="宋体"/>
                <w:i w:val="0"/>
                <w:iCs w:val="0"/>
                <w:color w:val="000000"/>
                <w:sz w:val="20"/>
                <w:szCs w:val="20"/>
                <w:u w:val="none"/>
              </w:rPr>
            </w:pPr>
          </w:p>
        </w:tc>
        <w:tc>
          <w:tcPr>
            <w:tcW w:w="776" w:type="dxa"/>
            <w:vMerge w:val="restart"/>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restart"/>
            <w:shd w:val="clear" w:color="auto" w:fill="auto"/>
            <w:vAlign w:val="center"/>
          </w:tcPr>
          <w:p>
            <w:r>
              <w:rPr>
                <w:rFonts w:hint="eastAsia" w:ascii="宋体" w:hAnsi="宋体" w:eastAsia="宋体" w:cs="宋体"/>
                <w:i w:val="0"/>
                <w:iCs w:val="0"/>
                <w:color w:val="000000"/>
                <w:kern w:val="0"/>
                <w:sz w:val="20"/>
                <w:szCs w:val="20"/>
                <w:u w:val="none"/>
                <w:lang w:val="en-US" w:eastAsia="zh-CN" w:bidi="ar"/>
              </w:rPr>
              <w:t>推动实现更加充分更高质量就业。（10）</w:t>
            </w:r>
          </w:p>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加大受灾劳动力就业帮扶力度，积极引导各类表彰向防汛救灾及灾后重建工作作出突出贡献的集体和个人倾斜。</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聚焦民生根本，加大受灾劳动力就业帮扶，直击灾后群众生计难题，助其快速恢复生产生活；强化激励导向，将表彰资源向防汛救灾及重建先进集体、个人倾斜，树立典型标杆，凝聚社会救灾重建合力。</w:t>
            </w:r>
          </w:p>
        </w:tc>
        <w:tc>
          <w:tcPr>
            <w:tcW w:w="2085" w:type="dxa"/>
            <w:shd w:val="clear" w:color="auto" w:fill="auto"/>
            <w:noWrap/>
            <w:vAlign w:val="center"/>
          </w:tcPr>
          <w:p>
            <w:pPr>
              <w:keepNext w:val="0"/>
              <w:keepLines w:val="0"/>
              <w:widowControl/>
              <w:suppressLineNumbers w:val="0"/>
              <w:ind w:firstLine="200" w:firstLineChars="100"/>
              <w:jc w:val="both"/>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187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4"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研究制定我市第二个促进创业带动就业三年行动计划，鼓励创业带动就业</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出台《就业困难人员认定管理办法》《灵活就业社会保险补贴人员认定审核办法》《失业保险金申领发放实施办法》3项制度，研究制定职业技能培训“见证补贴”政策，提升政策精准性和资金使用效益。</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深入实施就业优先战略，强化就业优先政策，健全就业促进机制，促进高质量充分就业。</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制定人社系统推进人才高地建设三年行动方案，促成北京市与人社部签署共建人才高地战略协议。</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确保全市就业局势基本稳定，全力稳定和扩大就业岗位</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面对稳定和扩大就业艰巨繁重的任务，全市各级人社部门坚持把稳就业作为保民生、促发展、稳预期的重要基础，紧盯重要节点，突出重点群体，综合施策、加力推进，就业工作取得扎实成效。</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全面优化就业创业服务。研究公共就业服务清单，着力提升就业信息资源库和就业信息平台服务能力，开展首都特色“家门口”就业服务机制试点</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研究公共就业服务清单，着力提升就业信息资源库和就业信息平台服务能力，开展首都特色“家门口”就业服务机制试点。</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抓实落细就业优先政策，进一步支持“专精特新”中小企业、带动就业能力强的行业企业等稳岗扩岗。</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紧扣就业优先核心，精准发力施策。既锚定“专精特新”中小企业、带动就业能力强的行业企业，靶向支持其稳岗扩岗，夯实就业基本盘；又通过政策落地见效，有效保障民生之本。</w:t>
            </w:r>
          </w:p>
        </w:tc>
        <w:tc>
          <w:tcPr>
            <w:tcW w:w="208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1.4</w:t>
            </w:r>
          </w:p>
        </w:tc>
        <w:tc>
          <w:tcPr>
            <w:tcW w:w="187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restart"/>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扎实推进《社会保险经办条例》，进一步优化社保经办规程和服务流程。</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扎实推进《社会保险经办条例》落地，以法规为纲，靶向优化社保经办规程与服务流程，精简环节、提升效能，推动社保服务标准化、便民化。</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5"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完善被征地农民社保政策，做好整建制转居超转人员服务保障工作。</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完善被征地农民社保政策，筑牢权益保障防线；强化整建制转居超转人员服务保障，精准对接需求。</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落实社保基金管理巩固提升行动部署。</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整养老保险基金委托投资模式，投资规模持续扩大。骗取套取社保基金专项整治取得初步成效，创新对各区局开展基金监管督导，推进工伤保险医疗机构全覆盖检查，基金安全防线不断巩固。这些都有力推动了社保制度更加成熟定型，为守住群众的“养老钱”“保命钱” 提供了坚强保障。</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按照国家统一部署，持续推进企业职工基本养老保险全国统筹等改革任务。</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落实基本养老保险全国统筹制度，我市基金管理规范性、安全性、可持续性等各项指标均处于全国前列。</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大力推进京津冀社保卡居民服务“一卡通”建设，促进三地共享社会保险数据，实现领取养老保险待遇资格认证渠道互通共用</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京津冀社保卡“一卡通”建设取得突破性进展，三地“一卡通”协同立法顺利完成，30项应用场景落地见效，群众在社保经办、就医购药、交通出行领域全面实现一卡畅行京津冀。发布首批 15 个社保“同事同标”事项，设立“京津冀社保帮办窗口”，为企业群众异地办理社保业务提供更多便利。与雄安新区共享境外职业资格认可“北京模式”，发布人力资源服务区域协同地方标准，助力区域人才资源融通共享。</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持续加强技术技能人才队伍建设（6分）</w:t>
            </w: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围绕国家重大战略需求和产业发展需要，将量子信息、生物技术等新职业纳入职称评审范围</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根据“高精尖”产业发展需要，增设职称评审专业。</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适度扩容博士后载体，优先支持国家实验室、新型研发机构、高新技术企业、专精特新“小巨人”企业和外资研发中心设立博士后科研工作站</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聚焦人才培育与创新驱动，适度扩容博士后载体，精准靶向国家实验室等创新前沿阵地，优先支持其设立博士后科研工作站。</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全面贯彻落实我市新时代首都高技能人才队伍建设实施方案，会同有关部门研究制定配套措施，完善企业新型学徒制培养和技能人才评价等政策。</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紧扣首都发展需求，全面落实高技能人才建设方案，强化顶层设计。协同多部门制定配套措施，靶向完善企业新型学徒制培养与技能人才评价政策。</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聚焦科技攻关任务和解决“卡脖子”技术问题，开展常态化博士后揭榜领题交流对接活动。</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瞄准科技攻关核心与“卡脖子”技术瓶颈，以常态化博士后揭榜领题交流对接活动为抓手，推动高端人才与关键技术需求精准匹配。</w:t>
            </w:r>
          </w:p>
        </w:tc>
        <w:tc>
          <w:tcPr>
            <w:tcW w:w="208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187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积极服务“两区”建设，制定发布2024版“两区”建设人力资源开发目录、境外职业资格认可目录。</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与雄安新区共享境外职业资格认可“北京模式”，发布人力资源服务区域协同地方标准，助力区域人才资源融通共享。全力服务“两区”和高水平人才高地建设。制定人社系统推进人才高地建设三年行动方案。</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创新推进技能大师工作室建设，努力培养造就更多大国工匠、高技能人才。</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启动“产教评” 技能生态链试点，打造面向产业需求的技能人才培养模式。</w:t>
            </w:r>
          </w:p>
        </w:tc>
        <w:tc>
          <w:tcPr>
            <w:tcW w:w="208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187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保持和谐稳定的劳动关系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(5分）</w:t>
            </w: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制定发布企业工资指导线、行业工资指导线 和人力资源薪酬大数据报告，推动工资集体协商</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发布人力资源市场薪酬数据报告，为劳动者求职择业和企业薪酬分配提供指引。持续开展新就业形态职业伤害保障试点，创新打造劳动纠纷“一站式”调解中心，维护新就业形态劳动者合法权益。</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研究修订我市集体合同条例，做好2019-2023年度北京市构建和谐劳动关系先进集体和先进个人评选表彰工作，组织开展企业规范用工评估。</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研究修订集体合同条例，夯实劳动关系法律保障根基；开展先进集体与个人评选表彰，树立和谐劳动关系典范，发挥示范引领作用；组织企业规范用工评估，强化源头治理，多举措协同发力，为构建稳定和谐的劳动关系筑牢制度与实践支撑。</w:t>
            </w:r>
          </w:p>
        </w:tc>
        <w:tc>
          <w:tcPr>
            <w:tcW w:w="208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187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做好国务院保障农民工工资支付工作考核工作。</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扎实开展国务院保障农民工工资支付考核工作，以严格考核压实各方责任，筑牢制度防线，有力维护农民工合法权益。</w:t>
            </w:r>
          </w:p>
        </w:tc>
        <w:tc>
          <w:tcPr>
            <w:tcW w:w="208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187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优化调整社会保险费申报缴纳流程和“多卡合一”改革。</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聚焦便民利企，优化社保费申报缴纳流程，简化办事环节，提升服务效率；推进“多卡合一”改革，整合资源，打破信息壁垒，实现“一卡通用”，切实增强群众获得感，彰显社保服务创新与惠民实效。</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加强协商调解，促进争议基层化解，妥善处理劳动人事争议仲裁案件，实现线上线下融合办理。</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健全劳动关系协商协调机制，建成 新就业形态劳动者“一站式”调解中心，发布仲裁十大典型案例，全年八成以上案件在仲裁阶段彻底化解。这些都有效维护了劳动者合法权益，为维护首都安全稳定和社会和谐提供了有力支撑。</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不断提升系统行风建设效能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w:t>
            </w: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提升12333热线咨询服务系统智能化水平，提高接诉即办效能。</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接诉即办再创佳绩，12333 热线群众好评率保持在 99%以上。“智慧人社”攻坚行动有力推进，各业务版块信息化建设取得重要进展</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抓好《北京市人力社保服务规范》2.0版的落地实施，开展人社窗口业务技能练兵比武，推动基层经办队伍服务能力持续提升。</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“智慧人社”攻坚行动有力推进，各业务版块信息化建设取得重要进展。广泛开展窗口单位业务技能练兵比武，我市在全国比赛中荣获团体一等奖。</w:t>
            </w:r>
          </w:p>
        </w:tc>
        <w:tc>
          <w:tcPr>
            <w:tcW w:w="2085" w:type="dxa"/>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制定印发《北京市人社系统深入开展行风建设工作实施方案》，健全和完善行风建设工作长效机制。</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制定并印发《北京市人社系统深入开展行风建设工作实施方案》。</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5"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制定实施2024年度“我为群众办实事”重点民生实事项目清单，切实解决群众“急难愁盼”问题。</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制定实施“我为群众办实事”重点民生实事项目清单。</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全力抓好已签署的各项合作协议落地落实，稳步推进人力资源服务京津冀区域协同地方标准修订工作</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推动京津冀人社协同发展再上新台阶。高规格举办京津冀人社协同发展十周年纪念活动，邀请人社部和三地政府领导、企业群众代表，共同回顾总结丰硕成果，擘画协同发展美好蓝图。签署深化人社事业协同发展框架合作协议，明确了当前和今后一个时期人社协同发展的重点任务。</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落实我市“智慧城市”建设要求，加快推进人社领域数字化建设，构建“标准统一、架构统一、数据融合、业务协同、全网通办、一卡通办、安全可靠”的“智慧人社”经办体系。</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“家门口”智慧就业服务平台上线运行。创新举办高质量充分就业专题研讨班。</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（30分）</w:t>
            </w:r>
          </w:p>
        </w:tc>
        <w:tc>
          <w:tcPr>
            <w:tcW w:w="214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（25分）</w:t>
            </w: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促进服务和保障首都高质量发展的能力</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区域协同发展上，深化京津冀人力社保服务协作，推动社保卡“一卡通”跨区域立法及应用，促进三地人力资源高效配置，为区域协调发展注入动能；在数字赋能方面，大力推进“智慧人社”建设，搭建线上招聘平台，实现事业单位招聘全流程线上办理，借助大数据优化政策决策，提升政务服务效能，助力首都治理体系现代化。人才战略实施中，制定高水平人才高地建设方案，增设量子信息等新兴职称专业，构建“产教评”技能生态链，培育数字人才，为科技创新中心建设和高精尖产业发展提供坚实人才保障；与雄安新区共享境外职业资格认可经验，发布新质生产力人力资源开发目录，优化高校毕业生引进政策，激活人才市场活力。就业创业服务优化进程中，国家公共就业服务区域中心挂牌运行，辐射京津冀就业服务网络；举办人力资源服务业融合发展大会，深化国际合作，增强首都国际交往中心功能；依托智慧化就业平台实现服务“一键直达”，精准对接数字经济发展需求，全方位提升服务保障首都高质量发展的能力</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5"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促进保障和改善民生的基础性功能得到释放</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劳动关系与权益保障方面，统筹企业发展和劳动者权益，健全治理体系，强化劳动用工风险监测，建立企业裁员预警机制，开展新就业形态职业伤害保障试点，加大协商协调力度，根治欠薪问题，动态清零欠薪线索，切实维护劳动者，尤其是新就业形态劳动者和农民工的合法权益。在社保服务与体系建设领域，优化社保经办服务，简化流程、升级系统；落实国家改革任务，推进延迟退休改革，提高社保待遇标准，扩大新就业形态社保覆盖，健全多层次社会保障体系。同时，着力加强职业技能培训，以“见证补贴”和数字化培训提升劳动者就业能力，对接产业需求调整培训目录；提高重点群体就业质量，实施高校毕业生就业“十项行动”。</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全面深化人力社保领域改革的效果持续显现</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社会保障体系建设上，严格落实国家改革任务，推进基本养老保险全国统筹，优化基金投资与管理机制，推动社保制度向纵深发展；在人才发展方面，通过下放职称评审权至区、高校和企业，试点“产教评”技能生态链，改革事业单位招聘与薪酬激励机制，破除人才发展体制障碍，同时放开引才限制，加速市场化人才配置。就业创业服务创新突破，以“赛展演会”模式举办职业技能大赛，深化“以赛促训”，支持人力资源服务业发展；就业岗位保障机制不断优化，出台零工市场规范政策，创新灵活就业管理，探索“政策+市场”双轮驱动的就业保障模式，多维度推动人力社保领域改革走深走实，释放改革红利。</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安全稳定的事业发展环境持续优化</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劳动用工监管层面，强化风险监测，利用企业裁员风险实时预警机制，有效防范大规模失业及劳动关系矛盾，稳固就业市场秩序；在社会保障领域，一方面严格落实国家改革任务，开展骗取社保基金专项整治并构建常态化监管机制，另一方面加强社保基金管理，借助“互联网+监管”模式对工伤保险医疗机构等开展全面检查，全方位保障社保基金安全，守护群众“养老钱”；就业保障方面，建立就业形势季度研判机制，依托大数据实时监测用工动态，提前预警区域性、行业性就业风险，多措并举确保就业市场安全平稳，为事业发展筑牢坚实环境基础。</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引领和保障事业发展的根基持续夯实</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方面，以“局处长走流程”、技能练兵比武、热线服务优化提升人社干部队伍专业化水平，整治不正之风，筑牢事业发展的组织基础；另一方面，强化党建对人才工作的全面领导，将人才发展融入首都“四个中心”建设大局，构建多元化培训体系，提升政府统筹协调与治理效能，确保人社工作正确政治方向。</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7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5"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服务对象满意度（5分）</w:t>
            </w: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12333热线群众满意率≥95%</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12333热线共受理市民反映2419.5万件，热线电话渠道受理2097.2万件，占比86.7%；网络渠道受理322.3万件，占比13.3%。诉求派单共1108万件，占比45.8%；直接答复1311.5万件，占比54.2%。诉求解决率和满意率分别达96.7%和97.0%，12333热线群众满意率达到目标值。</w:t>
            </w:r>
          </w:p>
        </w:tc>
        <w:tc>
          <w:tcPr>
            <w:tcW w:w="2085"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7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923" w:type="dxa"/>
            <w:gridSpan w:val="7"/>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三、预算管理情况（20分）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5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343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完成值</w:t>
            </w:r>
          </w:p>
        </w:tc>
        <w:tc>
          <w:tcPr>
            <w:tcW w:w="20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87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752"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预算管理情况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（20分）</w:t>
            </w:r>
          </w:p>
        </w:tc>
        <w:tc>
          <w:tcPr>
            <w:tcW w:w="77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财务管理（4分)</w:t>
            </w:r>
          </w:p>
        </w:tc>
        <w:tc>
          <w:tcPr>
            <w:tcW w:w="21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财务管理制度健全性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（1分）</w:t>
            </w: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健全、完整、合规</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健全、完整、合规</w:t>
            </w:r>
          </w:p>
        </w:tc>
        <w:tc>
          <w:tcPr>
            <w:tcW w:w="20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7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资金使用合规性和安全性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（2分）</w:t>
            </w: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合规、安全</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合规、安全</w:t>
            </w:r>
          </w:p>
        </w:tc>
        <w:tc>
          <w:tcPr>
            <w:tcW w:w="20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7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21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会计基础信息完善性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（1分）</w:t>
            </w: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完整、准确</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完整、准确</w:t>
            </w:r>
          </w:p>
        </w:tc>
        <w:tc>
          <w:tcPr>
            <w:tcW w:w="20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7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资产管理（4分）</w:t>
            </w:r>
          </w:p>
        </w:tc>
        <w:tc>
          <w:tcPr>
            <w:tcW w:w="21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资产管理规范性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w:t>
            </w: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规范</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规范</w:t>
            </w:r>
          </w:p>
        </w:tc>
        <w:tc>
          <w:tcPr>
            <w:tcW w:w="20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7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绩效管理（4分）</w:t>
            </w:r>
          </w:p>
        </w:tc>
        <w:tc>
          <w:tcPr>
            <w:tcW w:w="214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w:t>
            </w:r>
          </w:p>
        </w:tc>
        <w:tc>
          <w:tcPr>
            <w:tcW w:w="186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及时、有效</w:t>
            </w:r>
          </w:p>
        </w:tc>
        <w:tc>
          <w:tcPr>
            <w:tcW w:w="343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及时、有效</w:t>
            </w:r>
          </w:p>
        </w:tc>
        <w:tc>
          <w:tcPr>
            <w:tcW w:w="20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7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000"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w:t>
            </w:r>
          </w:p>
        </w:tc>
        <w:tc>
          <w:tcPr>
            <w:tcW w:w="343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w:t>
            </w:r>
          </w:p>
        </w:tc>
        <w:tc>
          <w:tcPr>
            <w:tcW w:w="20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87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0"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结转结余率（4分）</w:t>
            </w:r>
          </w:p>
        </w:tc>
        <w:tc>
          <w:tcPr>
            <w:tcW w:w="4000"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6.22%</w:t>
            </w:r>
          </w:p>
        </w:tc>
        <w:tc>
          <w:tcPr>
            <w:tcW w:w="343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9.05%</w:t>
            </w:r>
          </w:p>
        </w:tc>
        <w:tc>
          <w:tcPr>
            <w:tcW w:w="20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7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752"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7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部门预决算差异率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w:t>
            </w:r>
          </w:p>
        </w:tc>
        <w:tc>
          <w:tcPr>
            <w:tcW w:w="4000"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w:t>
            </w:r>
          </w:p>
        </w:tc>
        <w:tc>
          <w:tcPr>
            <w:tcW w:w="343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6.19%</w:t>
            </w:r>
          </w:p>
        </w:tc>
        <w:tc>
          <w:tcPr>
            <w:tcW w:w="20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7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8963" w:type="dxa"/>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 计</w:t>
            </w:r>
          </w:p>
        </w:tc>
        <w:tc>
          <w:tcPr>
            <w:tcW w:w="2085"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875" w:type="dxa"/>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95.89 </w:t>
            </w:r>
          </w:p>
        </w:tc>
      </w:tr>
    </w:tbl>
    <w:p>
      <w:pPr>
        <w:pStyle w:val="16"/>
      </w:pPr>
    </w:p>
    <w:sectPr>
      <w:pgSz w:w="16838" w:h="11906" w:orient="landscape"/>
      <w:pgMar w:top="1587" w:right="2098" w:bottom="147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楷体">
    <w:altName w:val="方正楷体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仿宋_GB2312" w:eastAsia="仿宋_GB2312"/>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04741107"/>
                            <w:docPartObj>
                              <w:docPartGallery w:val="autotext"/>
                            </w:docPartObj>
                          </w:sdtPr>
                          <w:sdtEndPr>
                            <w:rPr>
                              <w:rFonts w:hint="eastAsia" w:ascii="仿宋_GB2312" w:eastAsia="仿宋_GB2312"/>
                              <w:sz w:val="28"/>
                              <w:szCs w:val="28"/>
                            </w:rPr>
                          </w:sdtEndPr>
                          <w:sdtContent>
                            <w:p>
                              <w:pPr>
                                <w:pStyle w:val="10"/>
                                <w:jc w:val="center"/>
                                <w:rPr>
                                  <w:rFonts w:hint="eastAsia"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22</w:t>
                              </w:r>
                              <w:r>
                                <w:rPr>
                                  <w:rFonts w:hint="eastAsia" w:ascii="仿宋_GB2312" w:eastAsia="仿宋_GB2312"/>
                                  <w:sz w:val="28"/>
                                  <w:szCs w:val="28"/>
                                </w:rPr>
                                <w:fldChar w:fldCharType="end"/>
                              </w:r>
                            </w:p>
                          </w:sdtContent>
                        </w:sdt>
                        <w:p>
                          <w:pPr>
                            <w:pStyle w:val="16"/>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sdt>
                    <w:sdtPr>
                      <w:id w:val="1804741107"/>
                      <w:docPartObj>
                        <w:docPartGallery w:val="autotext"/>
                      </w:docPartObj>
                    </w:sdtPr>
                    <w:sdtEndPr>
                      <w:rPr>
                        <w:rFonts w:hint="eastAsia" w:ascii="仿宋_GB2312" w:eastAsia="仿宋_GB2312"/>
                        <w:sz w:val="28"/>
                        <w:szCs w:val="28"/>
                      </w:rPr>
                    </w:sdtEndPr>
                    <w:sdtContent>
                      <w:p>
                        <w:pPr>
                          <w:pStyle w:val="10"/>
                          <w:jc w:val="center"/>
                          <w:rPr>
                            <w:rFonts w:hint="eastAsia"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22</w:t>
                        </w:r>
                        <w:r>
                          <w:rPr>
                            <w:rFonts w:hint="eastAsia" w:ascii="仿宋_GB2312" w:eastAsia="仿宋_GB2312"/>
                            <w:sz w:val="28"/>
                            <w:szCs w:val="28"/>
                          </w:rPr>
                          <w:fldChar w:fldCharType="end"/>
                        </w:r>
                      </w:p>
                    </w:sdtContent>
                  </w:sdt>
                  <w:p>
                    <w:pPr>
                      <w:pStyle w:val="16"/>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TrueTypeFonts/>
  <w:saveSubsetFonts/>
  <w:bordersDoNotSurroundHeader w:val="false"/>
  <w:bordersDoNotSurroundFooter w:val="false"/>
  <w:documentProtection w:enforcement="0"/>
  <w:defaultTabStop w:val="419"/>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xNWFiNzI1YTg2NWVhMTQ4MDg3MWIxOWNmYzBjNjcifQ=="/>
    <w:docVar w:name="KSO_WPS_MARK_KEY" w:val="aeec7c8d-6cb8-42ec-839b-9d88be224a57"/>
  </w:docVars>
  <w:rsids>
    <w:rsidRoot w:val="00C01422"/>
    <w:rsid w:val="000073E5"/>
    <w:rsid w:val="000076AE"/>
    <w:rsid w:val="000131C8"/>
    <w:rsid w:val="00016D05"/>
    <w:rsid w:val="00026BB0"/>
    <w:rsid w:val="00047FAB"/>
    <w:rsid w:val="00051652"/>
    <w:rsid w:val="00056F3B"/>
    <w:rsid w:val="000612A8"/>
    <w:rsid w:val="0006546F"/>
    <w:rsid w:val="00067CFB"/>
    <w:rsid w:val="00072A89"/>
    <w:rsid w:val="000828BF"/>
    <w:rsid w:val="00087236"/>
    <w:rsid w:val="00091D2D"/>
    <w:rsid w:val="00092FAF"/>
    <w:rsid w:val="000950F6"/>
    <w:rsid w:val="000966EE"/>
    <w:rsid w:val="000A4813"/>
    <w:rsid w:val="000A6C96"/>
    <w:rsid w:val="000B5151"/>
    <w:rsid w:val="000B5B3B"/>
    <w:rsid w:val="000B7D94"/>
    <w:rsid w:val="000C539D"/>
    <w:rsid w:val="000D4025"/>
    <w:rsid w:val="000E28EB"/>
    <w:rsid w:val="000F0326"/>
    <w:rsid w:val="000F14D5"/>
    <w:rsid w:val="000F16BB"/>
    <w:rsid w:val="000F318E"/>
    <w:rsid w:val="000F7E1A"/>
    <w:rsid w:val="00111FF5"/>
    <w:rsid w:val="00112FA2"/>
    <w:rsid w:val="0011777E"/>
    <w:rsid w:val="00117D09"/>
    <w:rsid w:val="00122134"/>
    <w:rsid w:val="00122DC7"/>
    <w:rsid w:val="00125288"/>
    <w:rsid w:val="001267B6"/>
    <w:rsid w:val="00134B7D"/>
    <w:rsid w:val="00143854"/>
    <w:rsid w:val="00150ED2"/>
    <w:rsid w:val="001520B3"/>
    <w:rsid w:val="0015754B"/>
    <w:rsid w:val="00157BA3"/>
    <w:rsid w:val="00164243"/>
    <w:rsid w:val="0017417F"/>
    <w:rsid w:val="00174B99"/>
    <w:rsid w:val="00174E2E"/>
    <w:rsid w:val="00176824"/>
    <w:rsid w:val="00180B42"/>
    <w:rsid w:val="00183CF2"/>
    <w:rsid w:val="001A016E"/>
    <w:rsid w:val="001A0176"/>
    <w:rsid w:val="001A152B"/>
    <w:rsid w:val="001B1C17"/>
    <w:rsid w:val="001B34ED"/>
    <w:rsid w:val="001B3892"/>
    <w:rsid w:val="001B77E5"/>
    <w:rsid w:val="001C374B"/>
    <w:rsid w:val="001C38BD"/>
    <w:rsid w:val="001C7AE2"/>
    <w:rsid w:val="001F6D10"/>
    <w:rsid w:val="002017AD"/>
    <w:rsid w:val="00203054"/>
    <w:rsid w:val="00206A95"/>
    <w:rsid w:val="00211A27"/>
    <w:rsid w:val="00211F3F"/>
    <w:rsid w:val="002272CF"/>
    <w:rsid w:val="00242331"/>
    <w:rsid w:val="0024346F"/>
    <w:rsid w:val="00250C47"/>
    <w:rsid w:val="002518E2"/>
    <w:rsid w:val="00252794"/>
    <w:rsid w:val="0025280C"/>
    <w:rsid w:val="0025329A"/>
    <w:rsid w:val="0025584F"/>
    <w:rsid w:val="00257BF9"/>
    <w:rsid w:val="00260AEC"/>
    <w:rsid w:val="002755F2"/>
    <w:rsid w:val="0028052C"/>
    <w:rsid w:val="00282CCA"/>
    <w:rsid w:val="00285899"/>
    <w:rsid w:val="0029678A"/>
    <w:rsid w:val="002A5AC6"/>
    <w:rsid w:val="002A7F24"/>
    <w:rsid w:val="002B055C"/>
    <w:rsid w:val="002C6A74"/>
    <w:rsid w:val="002C759D"/>
    <w:rsid w:val="002D1C18"/>
    <w:rsid w:val="002D2537"/>
    <w:rsid w:val="002D6A86"/>
    <w:rsid w:val="002D6B4B"/>
    <w:rsid w:val="002D713C"/>
    <w:rsid w:val="002E030E"/>
    <w:rsid w:val="002E2EB6"/>
    <w:rsid w:val="002E3253"/>
    <w:rsid w:val="002E4376"/>
    <w:rsid w:val="002E51AA"/>
    <w:rsid w:val="002F040F"/>
    <w:rsid w:val="002F188F"/>
    <w:rsid w:val="002F46A1"/>
    <w:rsid w:val="003010A6"/>
    <w:rsid w:val="00302AA6"/>
    <w:rsid w:val="0030609A"/>
    <w:rsid w:val="00310343"/>
    <w:rsid w:val="003152E6"/>
    <w:rsid w:val="00317967"/>
    <w:rsid w:val="0032017E"/>
    <w:rsid w:val="00324A6C"/>
    <w:rsid w:val="00325B87"/>
    <w:rsid w:val="003269A6"/>
    <w:rsid w:val="003271CE"/>
    <w:rsid w:val="003346A2"/>
    <w:rsid w:val="00347474"/>
    <w:rsid w:val="00355AFE"/>
    <w:rsid w:val="0035728E"/>
    <w:rsid w:val="00360024"/>
    <w:rsid w:val="003653FC"/>
    <w:rsid w:val="003659AD"/>
    <w:rsid w:val="003839E5"/>
    <w:rsid w:val="00383F24"/>
    <w:rsid w:val="00384193"/>
    <w:rsid w:val="003849AE"/>
    <w:rsid w:val="00385CF4"/>
    <w:rsid w:val="003A014E"/>
    <w:rsid w:val="003A05AA"/>
    <w:rsid w:val="003A7C08"/>
    <w:rsid w:val="003C038C"/>
    <w:rsid w:val="003C4B95"/>
    <w:rsid w:val="003C7313"/>
    <w:rsid w:val="003C79C6"/>
    <w:rsid w:val="003D099A"/>
    <w:rsid w:val="003D1004"/>
    <w:rsid w:val="003D1A4B"/>
    <w:rsid w:val="003E1509"/>
    <w:rsid w:val="003E306F"/>
    <w:rsid w:val="00401CE1"/>
    <w:rsid w:val="004032CB"/>
    <w:rsid w:val="00403E7A"/>
    <w:rsid w:val="004138C4"/>
    <w:rsid w:val="0042306B"/>
    <w:rsid w:val="00424D08"/>
    <w:rsid w:val="004305C3"/>
    <w:rsid w:val="00434F17"/>
    <w:rsid w:val="00441568"/>
    <w:rsid w:val="00442138"/>
    <w:rsid w:val="00446AFF"/>
    <w:rsid w:val="00447979"/>
    <w:rsid w:val="00447FC2"/>
    <w:rsid w:val="004510F8"/>
    <w:rsid w:val="00451132"/>
    <w:rsid w:val="0045179D"/>
    <w:rsid w:val="004665D7"/>
    <w:rsid w:val="00467830"/>
    <w:rsid w:val="004722CB"/>
    <w:rsid w:val="00474320"/>
    <w:rsid w:val="004749B4"/>
    <w:rsid w:val="00476647"/>
    <w:rsid w:val="0049281A"/>
    <w:rsid w:val="00495E52"/>
    <w:rsid w:val="00497877"/>
    <w:rsid w:val="004A11F8"/>
    <w:rsid w:val="004B1BA7"/>
    <w:rsid w:val="004B356F"/>
    <w:rsid w:val="004C4254"/>
    <w:rsid w:val="004C4E2C"/>
    <w:rsid w:val="004D5A62"/>
    <w:rsid w:val="004E25CD"/>
    <w:rsid w:val="004F2CDA"/>
    <w:rsid w:val="00503E09"/>
    <w:rsid w:val="0050733F"/>
    <w:rsid w:val="0051202E"/>
    <w:rsid w:val="00512D94"/>
    <w:rsid w:val="00514D4E"/>
    <w:rsid w:val="0052360B"/>
    <w:rsid w:val="00533E73"/>
    <w:rsid w:val="00541BBC"/>
    <w:rsid w:val="005438EA"/>
    <w:rsid w:val="0054576D"/>
    <w:rsid w:val="00546B52"/>
    <w:rsid w:val="00546C2D"/>
    <w:rsid w:val="0055227F"/>
    <w:rsid w:val="00552D76"/>
    <w:rsid w:val="00553AAC"/>
    <w:rsid w:val="00557253"/>
    <w:rsid w:val="0056751C"/>
    <w:rsid w:val="00567BE6"/>
    <w:rsid w:val="005706B5"/>
    <w:rsid w:val="005711C1"/>
    <w:rsid w:val="00572A8C"/>
    <w:rsid w:val="00573D83"/>
    <w:rsid w:val="00577B35"/>
    <w:rsid w:val="005977B8"/>
    <w:rsid w:val="005A2E20"/>
    <w:rsid w:val="005A2F31"/>
    <w:rsid w:val="005A5330"/>
    <w:rsid w:val="005A5887"/>
    <w:rsid w:val="005A5ECA"/>
    <w:rsid w:val="005B2741"/>
    <w:rsid w:val="005C2638"/>
    <w:rsid w:val="005D0EDC"/>
    <w:rsid w:val="005D6950"/>
    <w:rsid w:val="005D6A47"/>
    <w:rsid w:val="005D6DD2"/>
    <w:rsid w:val="005D7EF2"/>
    <w:rsid w:val="005E103D"/>
    <w:rsid w:val="005E1CBE"/>
    <w:rsid w:val="005E3617"/>
    <w:rsid w:val="005E4DE4"/>
    <w:rsid w:val="005E546E"/>
    <w:rsid w:val="005F39BA"/>
    <w:rsid w:val="005F4AAE"/>
    <w:rsid w:val="005F73F2"/>
    <w:rsid w:val="00602EA9"/>
    <w:rsid w:val="00602FA7"/>
    <w:rsid w:val="00606867"/>
    <w:rsid w:val="00616025"/>
    <w:rsid w:val="0062474E"/>
    <w:rsid w:val="006303E6"/>
    <w:rsid w:val="00645B4C"/>
    <w:rsid w:val="006467A9"/>
    <w:rsid w:val="00662E38"/>
    <w:rsid w:val="00667DDE"/>
    <w:rsid w:val="00672036"/>
    <w:rsid w:val="00674081"/>
    <w:rsid w:val="00682413"/>
    <w:rsid w:val="00682E75"/>
    <w:rsid w:val="00687A35"/>
    <w:rsid w:val="006A27F1"/>
    <w:rsid w:val="006A2EFD"/>
    <w:rsid w:val="006A30A8"/>
    <w:rsid w:val="006A3587"/>
    <w:rsid w:val="006B3911"/>
    <w:rsid w:val="006B6D9B"/>
    <w:rsid w:val="006C2F67"/>
    <w:rsid w:val="006C334B"/>
    <w:rsid w:val="006C45A7"/>
    <w:rsid w:val="006C73BF"/>
    <w:rsid w:val="006D6AFB"/>
    <w:rsid w:val="006E6D0A"/>
    <w:rsid w:val="006F0955"/>
    <w:rsid w:val="006F295C"/>
    <w:rsid w:val="00711B0F"/>
    <w:rsid w:val="00726720"/>
    <w:rsid w:val="007321B3"/>
    <w:rsid w:val="00732AFC"/>
    <w:rsid w:val="0073377B"/>
    <w:rsid w:val="00737DFC"/>
    <w:rsid w:val="007404EB"/>
    <w:rsid w:val="00741A10"/>
    <w:rsid w:val="00746905"/>
    <w:rsid w:val="00752E6A"/>
    <w:rsid w:val="00755485"/>
    <w:rsid w:val="0075777D"/>
    <w:rsid w:val="00764F09"/>
    <w:rsid w:val="007700C4"/>
    <w:rsid w:val="00770CA2"/>
    <w:rsid w:val="00775558"/>
    <w:rsid w:val="00780EE4"/>
    <w:rsid w:val="00781006"/>
    <w:rsid w:val="00782E48"/>
    <w:rsid w:val="007A05D2"/>
    <w:rsid w:val="007A4008"/>
    <w:rsid w:val="007A4F30"/>
    <w:rsid w:val="007A79DD"/>
    <w:rsid w:val="007A7D3B"/>
    <w:rsid w:val="007B0973"/>
    <w:rsid w:val="007C26BA"/>
    <w:rsid w:val="007C7665"/>
    <w:rsid w:val="007D0696"/>
    <w:rsid w:val="007D6DD0"/>
    <w:rsid w:val="007E43A3"/>
    <w:rsid w:val="008018BC"/>
    <w:rsid w:val="00802382"/>
    <w:rsid w:val="00810554"/>
    <w:rsid w:val="00815416"/>
    <w:rsid w:val="00822B30"/>
    <w:rsid w:val="00832450"/>
    <w:rsid w:val="00832B5E"/>
    <w:rsid w:val="00833B04"/>
    <w:rsid w:val="008358BB"/>
    <w:rsid w:val="00844E4E"/>
    <w:rsid w:val="0085022E"/>
    <w:rsid w:val="008502AE"/>
    <w:rsid w:val="008554D6"/>
    <w:rsid w:val="0086201A"/>
    <w:rsid w:val="00865502"/>
    <w:rsid w:val="008670C6"/>
    <w:rsid w:val="00871696"/>
    <w:rsid w:val="00885125"/>
    <w:rsid w:val="008A2B55"/>
    <w:rsid w:val="008A3C75"/>
    <w:rsid w:val="008A4D5F"/>
    <w:rsid w:val="008A6073"/>
    <w:rsid w:val="008A744A"/>
    <w:rsid w:val="008B31B4"/>
    <w:rsid w:val="008B411D"/>
    <w:rsid w:val="008B4ED6"/>
    <w:rsid w:val="008B7BDE"/>
    <w:rsid w:val="008E0019"/>
    <w:rsid w:val="008E03B5"/>
    <w:rsid w:val="008E4F05"/>
    <w:rsid w:val="008F03CF"/>
    <w:rsid w:val="008F21C9"/>
    <w:rsid w:val="008F221A"/>
    <w:rsid w:val="0090425E"/>
    <w:rsid w:val="009046F6"/>
    <w:rsid w:val="00907CFD"/>
    <w:rsid w:val="00907EB8"/>
    <w:rsid w:val="009103A2"/>
    <w:rsid w:val="00910C99"/>
    <w:rsid w:val="00920E38"/>
    <w:rsid w:val="009261C8"/>
    <w:rsid w:val="00930DF1"/>
    <w:rsid w:val="009373BB"/>
    <w:rsid w:val="00942EB2"/>
    <w:rsid w:val="00944B04"/>
    <w:rsid w:val="00944C54"/>
    <w:rsid w:val="0094535A"/>
    <w:rsid w:val="009510A8"/>
    <w:rsid w:val="00954498"/>
    <w:rsid w:val="00967080"/>
    <w:rsid w:val="009724EF"/>
    <w:rsid w:val="009741CA"/>
    <w:rsid w:val="00974A27"/>
    <w:rsid w:val="009820EB"/>
    <w:rsid w:val="0098567C"/>
    <w:rsid w:val="0099028A"/>
    <w:rsid w:val="009A003E"/>
    <w:rsid w:val="009A10DD"/>
    <w:rsid w:val="009A4B57"/>
    <w:rsid w:val="009A5502"/>
    <w:rsid w:val="009B40BC"/>
    <w:rsid w:val="009B44D2"/>
    <w:rsid w:val="009D04D3"/>
    <w:rsid w:val="009D5754"/>
    <w:rsid w:val="009E0169"/>
    <w:rsid w:val="009E1920"/>
    <w:rsid w:val="009E2849"/>
    <w:rsid w:val="009E3B4F"/>
    <w:rsid w:val="009E5CCE"/>
    <w:rsid w:val="009E6DB9"/>
    <w:rsid w:val="009E78EA"/>
    <w:rsid w:val="009F03F3"/>
    <w:rsid w:val="009F21E5"/>
    <w:rsid w:val="009F42EE"/>
    <w:rsid w:val="00A04C12"/>
    <w:rsid w:val="00A06CDB"/>
    <w:rsid w:val="00A24C6B"/>
    <w:rsid w:val="00A26DCC"/>
    <w:rsid w:val="00A26EE3"/>
    <w:rsid w:val="00A308E8"/>
    <w:rsid w:val="00A31FE2"/>
    <w:rsid w:val="00A35739"/>
    <w:rsid w:val="00A37F76"/>
    <w:rsid w:val="00A41924"/>
    <w:rsid w:val="00A41994"/>
    <w:rsid w:val="00A61535"/>
    <w:rsid w:val="00A63A04"/>
    <w:rsid w:val="00A66178"/>
    <w:rsid w:val="00A70982"/>
    <w:rsid w:val="00A70A86"/>
    <w:rsid w:val="00A71ADB"/>
    <w:rsid w:val="00A8074E"/>
    <w:rsid w:val="00A92F5D"/>
    <w:rsid w:val="00A95BA5"/>
    <w:rsid w:val="00A9616C"/>
    <w:rsid w:val="00AA0086"/>
    <w:rsid w:val="00AA2D6E"/>
    <w:rsid w:val="00AB040E"/>
    <w:rsid w:val="00AB6EA2"/>
    <w:rsid w:val="00AC3013"/>
    <w:rsid w:val="00AC3E72"/>
    <w:rsid w:val="00AC43F8"/>
    <w:rsid w:val="00AD623A"/>
    <w:rsid w:val="00AE3A00"/>
    <w:rsid w:val="00AF715F"/>
    <w:rsid w:val="00AF71F2"/>
    <w:rsid w:val="00B0062E"/>
    <w:rsid w:val="00B03D0D"/>
    <w:rsid w:val="00B24C3A"/>
    <w:rsid w:val="00B26372"/>
    <w:rsid w:val="00B27704"/>
    <w:rsid w:val="00B31D24"/>
    <w:rsid w:val="00B4787D"/>
    <w:rsid w:val="00B5323A"/>
    <w:rsid w:val="00B53F8D"/>
    <w:rsid w:val="00B66FF3"/>
    <w:rsid w:val="00B71027"/>
    <w:rsid w:val="00B7422E"/>
    <w:rsid w:val="00B816BA"/>
    <w:rsid w:val="00B81978"/>
    <w:rsid w:val="00B912E6"/>
    <w:rsid w:val="00B9209B"/>
    <w:rsid w:val="00B92F3B"/>
    <w:rsid w:val="00BB171B"/>
    <w:rsid w:val="00BB1AA8"/>
    <w:rsid w:val="00BB26F8"/>
    <w:rsid w:val="00BB39B2"/>
    <w:rsid w:val="00BB3A51"/>
    <w:rsid w:val="00BB59E1"/>
    <w:rsid w:val="00BB709F"/>
    <w:rsid w:val="00BC06DE"/>
    <w:rsid w:val="00BC428C"/>
    <w:rsid w:val="00BC6DE2"/>
    <w:rsid w:val="00BD6F82"/>
    <w:rsid w:val="00BE35E2"/>
    <w:rsid w:val="00BE46B2"/>
    <w:rsid w:val="00BE6D12"/>
    <w:rsid w:val="00BF2A15"/>
    <w:rsid w:val="00BF4817"/>
    <w:rsid w:val="00BF49ED"/>
    <w:rsid w:val="00C01422"/>
    <w:rsid w:val="00C04024"/>
    <w:rsid w:val="00C07AA1"/>
    <w:rsid w:val="00C1235E"/>
    <w:rsid w:val="00C13172"/>
    <w:rsid w:val="00C13E0A"/>
    <w:rsid w:val="00C141BD"/>
    <w:rsid w:val="00C27DD7"/>
    <w:rsid w:val="00C31F1C"/>
    <w:rsid w:val="00C359F1"/>
    <w:rsid w:val="00C36C20"/>
    <w:rsid w:val="00C43B80"/>
    <w:rsid w:val="00C51821"/>
    <w:rsid w:val="00C552B8"/>
    <w:rsid w:val="00C628C0"/>
    <w:rsid w:val="00C644DB"/>
    <w:rsid w:val="00C65FA4"/>
    <w:rsid w:val="00C734F3"/>
    <w:rsid w:val="00C73DC2"/>
    <w:rsid w:val="00C817A8"/>
    <w:rsid w:val="00C85ED1"/>
    <w:rsid w:val="00C90E1E"/>
    <w:rsid w:val="00C94DB7"/>
    <w:rsid w:val="00CA0DCA"/>
    <w:rsid w:val="00CA248D"/>
    <w:rsid w:val="00CA2E04"/>
    <w:rsid w:val="00CB093D"/>
    <w:rsid w:val="00CB3290"/>
    <w:rsid w:val="00CC1DD8"/>
    <w:rsid w:val="00CC728D"/>
    <w:rsid w:val="00CD0682"/>
    <w:rsid w:val="00CD5B80"/>
    <w:rsid w:val="00CE28FF"/>
    <w:rsid w:val="00CE4C03"/>
    <w:rsid w:val="00CE5997"/>
    <w:rsid w:val="00D065CE"/>
    <w:rsid w:val="00D279D7"/>
    <w:rsid w:val="00D30018"/>
    <w:rsid w:val="00D30B3B"/>
    <w:rsid w:val="00D362D1"/>
    <w:rsid w:val="00D41B23"/>
    <w:rsid w:val="00D511D9"/>
    <w:rsid w:val="00D572C7"/>
    <w:rsid w:val="00D6119F"/>
    <w:rsid w:val="00D6439A"/>
    <w:rsid w:val="00D67CD7"/>
    <w:rsid w:val="00D855A8"/>
    <w:rsid w:val="00D86D1B"/>
    <w:rsid w:val="00DA1CF6"/>
    <w:rsid w:val="00DB0890"/>
    <w:rsid w:val="00DB31A3"/>
    <w:rsid w:val="00DC1549"/>
    <w:rsid w:val="00DC6CB8"/>
    <w:rsid w:val="00DD751E"/>
    <w:rsid w:val="00DE499B"/>
    <w:rsid w:val="00DF1723"/>
    <w:rsid w:val="00DF3C2E"/>
    <w:rsid w:val="00E00159"/>
    <w:rsid w:val="00E15EC8"/>
    <w:rsid w:val="00E26835"/>
    <w:rsid w:val="00E30E9C"/>
    <w:rsid w:val="00E33582"/>
    <w:rsid w:val="00E43575"/>
    <w:rsid w:val="00E43E76"/>
    <w:rsid w:val="00E54168"/>
    <w:rsid w:val="00E839C2"/>
    <w:rsid w:val="00E87DC6"/>
    <w:rsid w:val="00EA1E48"/>
    <w:rsid w:val="00EA210B"/>
    <w:rsid w:val="00EA5E13"/>
    <w:rsid w:val="00EB345F"/>
    <w:rsid w:val="00EC3910"/>
    <w:rsid w:val="00EC7DBE"/>
    <w:rsid w:val="00ED34CC"/>
    <w:rsid w:val="00ED5FD2"/>
    <w:rsid w:val="00EE1AE0"/>
    <w:rsid w:val="00EE22EB"/>
    <w:rsid w:val="00EE23A8"/>
    <w:rsid w:val="00EE5141"/>
    <w:rsid w:val="00EE5324"/>
    <w:rsid w:val="00EF0442"/>
    <w:rsid w:val="00EF188A"/>
    <w:rsid w:val="00EF2853"/>
    <w:rsid w:val="00EF2F83"/>
    <w:rsid w:val="00EF3211"/>
    <w:rsid w:val="00EF6929"/>
    <w:rsid w:val="00EF6B26"/>
    <w:rsid w:val="00F16181"/>
    <w:rsid w:val="00F16DF5"/>
    <w:rsid w:val="00F2012C"/>
    <w:rsid w:val="00F32412"/>
    <w:rsid w:val="00F332FA"/>
    <w:rsid w:val="00F412F8"/>
    <w:rsid w:val="00F45B90"/>
    <w:rsid w:val="00F46879"/>
    <w:rsid w:val="00F50237"/>
    <w:rsid w:val="00F52777"/>
    <w:rsid w:val="00F5361F"/>
    <w:rsid w:val="00F65332"/>
    <w:rsid w:val="00F7045A"/>
    <w:rsid w:val="00F706DB"/>
    <w:rsid w:val="00F75D37"/>
    <w:rsid w:val="00F803F5"/>
    <w:rsid w:val="00F872B6"/>
    <w:rsid w:val="00F9392B"/>
    <w:rsid w:val="00F93C13"/>
    <w:rsid w:val="00F95B5D"/>
    <w:rsid w:val="00FA01F3"/>
    <w:rsid w:val="00FA6B00"/>
    <w:rsid w:val="00FB250B"/>
    <w:rsid w:val="00FB39C1"/>
    <w:rsid w:val="00FB72D8"/>
    <w:rsid w:val="00FC7E26"/>
    <w:rsid w:val="00FD5BCC"/>
    <w:rsid w:val="00FE1168"/>
    <w:rsid w:val="00FE313D"/>
    <w:rsid w:val="00FE66A3"/>
    <w:rsid w:val="012A1F08"/>
    <w:rsid w:val="01F95D55"/>
    <w:rsid w:val="03E0753D"/>
    <w:rsid w:val="04764893"/>
    <w:rsid w:val="04B10188"/>
    <w:rsid w:val="06AF7965"/>
    <w:rsid w:val="071F2612"/>
    <w:rsid w:val="07995FF1"/>
    <w:rsid w:val="07D56FA1"/>
    <w:rsid w:val="085856B9"/>
    <w:rsid w:val="087A3746"/>
    <w:rsid w:val="09CE78D8"/>
    <w:rsid w:val="0CB86AA1"/>
    <w:rsid w:val="0DB717F6"/>
    <w:rsid w:val="0FB57E69"/>
    <w:rsid w:val="10CA7A92"/>
    <w:rsid w:val="11327EA0"/>
    <w:rsid w:val="13F7F826"/>
    <w:rsid w:val="145E38F9"/>
    <w:rsid w:val="15714980"/>
    <w:rsid w:val="16AC22B2"/>
    <w:rsid w:val="16FC0247"/>
    <w:rsid w:val="1772678E"/>
    <w:rsid w:val="19305FBC"/>
    <w:rsid w:val="19F31E7F"/>
    <w:rsid w:val="1A6F5B47"/>
    <w:rsid w:val="1BF37F61"/>
    <w:rsid w:val="1CA152AA"/>
    <w:rsid w:val="1D7416EB"/>
    <w:rsid w:val="1FC9324A"/>
    <w:rsid w:val="214A5565"/>
    <w:rsid w:val="215A3239"/>
    <w:rsid w:val="22FF2446"/>
    <w:rsid w:val="2433490B"/>
    <w:rsid w:val="258C4EBE"/>
    <w:rsid w:val="26064C71"/>
    <w:rsid w:val="266D0F82"/>
    <w:rsid w:val="276B172A"/>
    <w:rsid w:val="28005243"/>
    <w:rsid w:val="298365D8"/>
    <w:rsid w:val="29A80C53"/>
    <w:rsid w:val="2A035807"/>
    <w:rsid w:val="2A0A1A31"/>
    <w:rsid w:val="2B9F2A57"/>
    <w:rsid w:val="2DFF057D"/>
    <w:rsid w:val="2E951288"/>
    <w:rsid w:val="2F18568E"/>
    <w:rsid w:val="2F5FAA12"/>
    <w:rsid w:val="2FE3609B"/>
    <w:rsid w:val="30296827"/>
    <w:rsid w:val="316336A5"/>
    <w:rsid w:val="38975BFC"/>
    <w:rsid w:val="39D9307D"/>
    <w:rsid w:val="39EA0A1A"/>
    <w:rsid w:val="3A1F546C"/>
    <w:rsid w:val="3A6728D4"/>
    <w:rsid w:val="3B8B6ADF"/>
    <w:rsid w:val="3C1C1FFE"/>
    <w:rsid w:val="3D1D4F05"/>
    <w:rsid w:val="3D92324C"/>
    <w:rsid w:val="3D9E4592"/>
    <w:rsid w:val="3E974BA8"/>
    <w:rsid w:val="3EA7F4FB"/>
    <w:rsid w:val="3EAF03B2"/>
    <w:rsid w:val="3F7FA6A6"/>
    <w:rsid w:val="3FE70A81"/>
    <w:rsid w:val="40DB2356"/>
    <w:rsid w:val="41C73F29"/>
    <w:rsid w:val="42FE36BB"/>
    <w:rsid w:val="43C6519A"/>
    <w:rsid w:val="46EE13D8"/>
    <w:rsid w:val="48AC5A75"/>
    <w:rsid w:val="49314DED"/>
    <w:rsid w:val="49E5573F"/>
    <w:rsid w:val="4A7E38E7"/>
    <w:rsid w:val="4F583EE0"/>
    <w:rsid w:val="502A65FF"/>
    <w:rsid w:val="521C073F"/>
    <w:rsid w:val="52C01325"/>
    <w:rsid w:val="53107092"/>
    <w:rsid w:val="53846678"/>
    <w:rsid w:val="53C260C6"/>
    <w:rsid w:val="54027C25"/>
    <w:rsid w:val="550E0223"/>
    <w:rsid w:val="5647080A"/>
    <w:rsid w:val="56992E7A"/>
    <w:rsid w:val="56A47A0A"/>
    <w:rsid w:val="5938425A"/>
    <w:rsid w:val="59634ADB"/>
    <w:rsid w:val="59D61442"/>
    <w:rsid w:val="5A074538"/>
    <w:rsid w:val="5A6A297A"/>
    <w:rsid w:val="5B6872B4"/>
    <w:rsid w:val="5CE9E4B7"/>
    <w:rsid w:val="5CF63C07"/>
    <w:rsid w:val="5D3B8B7D"/>
    <w:rsid w:val="5EA66A16"/>
    <w:rsid w:val="5F3B6709"/>
    <w:rsid w:val="5F77B565"/>
    <w:rsid w:val="5FBFD855"/>
    <w:rsid w:val="5FED93AA"/>
    <w:rsid w:val="61C54782"/>
    <w:rsid w:val="6206523F"/>
    <w:rsid w:val="637B597F"/>
    <w:rsid w:val="63C13AB9"/>
    <w:rsid w:val="64E84379"/>
    <w:rsid w:val="66297ED0"/>
    <w:rsid w:val="66FE4F15"/>
    <w:rsid w:val="69241D36"/>
    <w:rsid w:val="69BB0E9B"/>
    <w:rsid w:val="69BEE493"/>
    <w:rsid w:val="69EF2E7C"/>
    <w:rsid w:val="6AB70A47"/>
    <w:rsid w:val="6B36D28D"/>
    <w:rsid w:val="6CA873A0"/>
    <w:rsid w:val="6CEE8FC0"/>
    <w:rsid w:val="6D67D59A"/>
    <w:rsid w:val="6D6B3263"/>
    <w:rsid w:val="6E272FA3"/>
    <w:rsid w:val="6F425734"/>
    <w:rsid w:val="6FBF29BD"/>
    <w:rsid w:val="6FEFCE79"/>
    <w:rsid w:val="70086B5C"/>
    <w:rsid w:val="70D7F1CF"/>
    <w:rsid w:val="72054D67"/>
    <w:rsid w:val="74EF5D24"/>
    <w:rsid w:val="7500226A"/>
    <w:rsid w:val="752B3379"/>
    <w:rsid w:val="762B03E4"/>
    <w:rsid w:val="767F70D7"/>
    <w:rsid w:val="77672662"/>
    <w:rsid w:val="77D35783"/>
    <w:rsid w:val="78B00E8E"/>
    <w:rsid w:val="7BDB45DC"/>
    <w:rsid w:val="7BE63089"/>
    <w:rsid w:val="7CDFE093"/>
    <w:rsid w:val="7D2F59D0"/>
    <w:rsid w:val="7D8908F9"/>
    <w:rsid w:val="7DA3E802"/>
    <w:rsid w:val="7EBF8817"/>
    <w:rsid w:val="7EDF2F12"/>
    <w:rsid w:val="7F0B01F0"/>
    <w:rsid w:val="7FB467C3"/>
    <w:rsid w:val="7FD7A3CD"/>
    <w:rsid w:val="7FF51BFA"/>
    <w:rsid w:val="7FF91855"/>
    <w:rsid w:val="7FF943C8"/>
    <w:rsid w:val="7FFF4423"/>
    <w:rsid w:val="7FFFF784"/>
    <w:rsid w:val="8FD6C811"/>
    <w:rsid w:val="96F7346C"/>
    <w:rsid w:val="9B6F549E"/>
    <w:rsid w:val="9DDF93A5"/>
    <w:rsid w:val="9FE97222"/>
    <w:rsid w:val="ABA7CC42"/>
    <w:rsid w:val="AFFB9888"/>
    <w:rsid w:val="BCFF78C7"/>
    <w:rsid w:val="BDF8C18C"/>
    <w:rsid w:val="BDFD7E62"/>
    <w:rsid w:val="BEF7F0F9"/>
    <w:rsid w:val="BF8F55E6"/>
    <w:rsid w:val="BFF5E1AE"/>
    <w:rsid w:val="C3FFE666"/>
    <w:rsid w:val="CFCD85FA"/>
    <w:rsid w:val="DBBB594E"/>
    <w:rsid w:val="DBBF8E52"/>
    <w:rsid w:val="DD5F4A6D"/>
    <w:rsid w:val="DEFD21A5"/>
    <w:rsid w:val="DF9F53A4"/>
    <w:rsid w:val="E17BEEF5"/>
    <w:rsid w:val="EAEF2422"/>
    <w:rsid w:val="EBAD1CA4"/>
    <w:rsid w:val="EDAFF678"/>
    <w:rsid w:val="EF1F2BB4"/>
    <w:rsid w:val="F3BBFFD2"/>
    <w:rsid w:val="F3FF8F83"/>
    <w:rsid w:val="F5B5AB29"/>
    <w:rsid w:val="F5B915E5"/>
    <w:rsid w:val="F5CFF5E9"/>
    <w:rsid w:val="F9FF0BF8"/>
    <w:rsid w:val="FC9F4386"/>
    <w:rsid w:val="FD1F9FC4"/>
    <w:rsid w:val="FD94649D"/>
    <w:rsid w:val="FDDBE588"/>
    <w:rsid w:val="FE87A32A"/>
    <w:rsid w:val="FEDFE99C"/>
    <w:rsid w:val="FEEFB627"/>
    <w:rsid w:val="FF9B4177"/>
    <w:rsid w:val="FFBD0E44"/>
    <w:rsid w:val="FFBEDD2B"/>
    <w:rsid w:val="FFF2F9D0"/>
    <w:rsid w:val="FFFFAD5A"/>
    <w:rsid w:val="FFFFD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outlineLvl w:val="1"/>
    </w:pPr>
    <w:rPr>
      <w:rFonts w:cstheme="majorBidi"/>
      <w:b/>
      <w:bCs/>
      <w:szCs w:val="32"/>
    </w:rPr>
  </w:style>
  <w:style w:type="paragraph" w:styleId="5">
    <w:name w:val="heading 3"/>
    <w:basedOn w:val="1"/>
    <w:next w:val="1"/>
    <w:link w:val="33"/>
    <w:unhideWhenUsed/>
    <w:qFormat/>
    <w:uiPriority w:val="9"/>
    <w:pPr>
      <w:keepNext/>
      <w:keepLines/>
      <w:outlineLvl w:val="2"/>
    </w:pPr>
    <w:rPr>
      <w:b/>
      <w:bCs/>
      <w:szCs w:val="3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styleId="6">
    <w:name w:val="annotation text"/>
    <w:basedOn w:val="1"/>
    <w:link w:val="28"/>
    <w:semiHidden/>
    <w:unhideWhenUsed/>
    <w:qFormat/>
    <w:uiPriority w:val="99"/>
    <w:pPr>
      <w:jc w:val="left"/>
    </w:pPr>
  </w:style>
  <w:style w:type="paragraph" w:styleId="7">
    <w:name w:val="Body Text Indent"/>
    <w:basedOn w:val="1"/>
    <w:unhideWhenUsed/>
    <w:qFormat/>
    <w:uiPriority w:val="99"/>
    <w:pPr>
      <w:ind w:left="901" w:leftChars="429" w:firstLine="600"/>
    </w:pPr>
    <w:rPr>
      <w:rFonts w:ascii="仿宋_GB2312"/>
      <w:sz w:val="30"/>
    </w:rPr>
  </w:style>
  <w:style w:type="paragraph" w:styleId="8">
    <w:name w:val="toc 3"/>
    <w:basedOn w:val="1"/>
    <w:next w:val="1"/>
    <w:semiHidden/>
    <w:unhideWhenUsed/>
    <w:qFormat/>
    <w:uiPriority w:val="39"/>
    <w:pPr>
      <w:ind w:left="840" w:leftChars="400"/>
    </w:pPr>
  </w:style>
  <w:style w:type="paragraph" w:styleId="9">
    <w:name w:val="Balloon Text"/>
    <w:basedOn w:val="1"/>
    <w:link w:val="24"/>
    <w:semiHidden/>
    <w:unhideWhenUsed/>
    <w:qFormat/>
    <w:uiPriority w:val="99"/>
    <w:rPr>
      <w:sz w:val="18"/>
      <w:szCs w:val="18"/>
    </w:rPr>
  </w:style>
  <w:style w:type="paragraph" w:styleId="10">
    <w:name w:val="footer"/>
    <w:basedOn w:val="1"/>
    <w:link w:val="26"/>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style>
  <w:style w:type="paragraph" w:styleId="13">
    <w:name w:val="toc 2"/>
    <w:basedOn w:val="1"/>
    <w:next w:val="1"/>
    <w:unhideWhenUsed/>
    <w:qFormat/>
    <w:uiPriority w:val="39"/>
    <w:pPr>
      <w:ind w:left="420" w:leftChars="200"/>
    </w:pPr>
  </w:style>
  <w:style w:type="paragraph" w:styleId="14">
    <w:name w:val="Normal (Web)"/>
    <w:basedOn w:val="1"/>
    <w:qFormat/>
    <w:uiPriority w:val="0"/>
    <w:pPr>
      <w:spacing w:beforeAutospacing="1" w:afterAutospacing="1"/>
      <w:jc w:val="left"/>
    </w:pPr>
    <w:rPr>
      <w:rFonts w:cs="Times New Roman"/>
      <w:kern w:val="0"/>
      <w:sz w:val="24"/>
    </w:rPr>
  </w:style>
  <w:style w:type="paragraph" w:styleId="15">
    <w:name w:val="annotation subject"/>
    <w:basedOn w:val="6"/>
    <w:next w:val="6"/>
    <w:link w:val="29"/>
    <w:semiHidden/>
    <w:unhideWhenUsed/>
    <w:qFormat/>
    <w:uiPriority w:val="99"/>
    <w:rPr>
      <w:b/>
      <w:bCs/>
    </w:rPr>
  </w:style>
  <w:style w:type="paragraph" w:styleId="16">
    <w:name w:val="Body Text First Indent 2"/>
    <w:basedOn w:val="7"/>
    <w:unhideWhenUsed/>
    <w:qFormat/>
    <w:uiPriority w:val="99"/>
    <w:pPr>
      <w:ind w:firstLine="420"/>
    </w:pPr>
  </w:style>
  <w:style w:type="character" w:styleId="19">
    <w:name w:val="Hyperlink"/>
    <w:basedOn w:val="18"/>
    <w:unhideWhenUsed/>
    <w:qFormat/>
    <w:uiPriority w:val="99"/>
    <w:rPr>
      <w:color w:val="0000FF" w:themeColor="hyperlink"/>
      <w:u w:val="single"/>
      <w14:textFill>
        <w14:solidFill>
          <w14:schemeClr w14:val="hlink"/>
        </w14:solidFill>
      </w14:textFill>
    </w:rPr>
  </w:style>
  <w:style w:type="character" w:styleId="20">
    <w:name w:val="annotation reference"/>
    <w:basedOn w:val="18"/>
    <w:semiHidden/>
    <w:unhideWhenUsed/>
    <w:qFormat/>
    <w:uiPriority w:val="99"/>
    <w:rPr>
      <w:sz w:val="21"/>
      <w:szCs w:val="21"/>
    </w:rPr>
  </w:style>
  <w:style w:type="paragraph" w:customStyle="1" w:styleId="21">
    <w:name w:val="索引 11"/>
    <w:next w:val="1"/>
    <w:qFormat/>
    <w:uiPriority w:val="0"/>
    <w:pPr>
      <w:widowControl w:val="0"/>
      <w:jc w:val="both"/>
    </w:pPr>
    <w:rPr>
      <w:rFonts w:ascii="Calibri" w:hAnsi="Calibri" w:eastAsia="宋体" w:cs="Times New Roman"/>
      <w:kern w:val="2"/>
      <w:sz w:val="21"/>
      <w:szCs w:val="22"/>
      <w:lang w:val="en-US" w:eastAsia="zh-CN" w:bidi="ar-SA"/>
    </w:rPr>
  </w:style>
  <w:style w:type="character" w:customStyle="1" w:styleId="22">
    <w:name w:val="标题 1 字符"/>
    <w:basedOn w:val="18"/>
    <w:link w:val="3"/>
    <w:qFormat/>
    <w:uiPriority w:val="9"/>
    <w:rPr>
      <w:b/>
      <w:bCs/>
      <w:kern w:val="44"/>
      <w:sz w:val="44"/>
      <w:szCs w:val="44"/>
    </w:rPr>
  </w:style>
  <w:style w:type="paragraph" w:customStyle="1" w:styleId="23">
    <w:name w:val="TOC Heading"/>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4">
    <w:name w:val="批注框文本 字符"/>
    <w:basedOn w:val="18"/>
    <w:link w:val="9"/>
    <w:semiHidden/>
    <w:qFormat/>
    <w:uiPriority w:val="99"/>
    <w:rPr>
      <w:sz w:val="18"/>
      <w:szCs w:val="18"/>
    </w:rPr>
  </w:style>
  <w:style w:type="character" w:customStyle="1" w:styleId="25">
    <w:name w:val="页眉 字符"/>
    <w:basedOn w:val="18"/>
    <w:link w:val="11"/>
    <w:qFormat/>
    <w:uiPriority w:val="99"/>
    <w:rPr>
      <w:sz w:val="18"/>
      <w:szCs w:val="18"/>
    </w:rPr>
  </w:style>
  <w:style w:type="character" w:customStyle="1" w:styleId="26">
    <w:name w:val="页脚 字符"/>
    <w:basedOn w:val="18"/>
    <w:link w:val="10"/>
    <w:qFormat/>
    <w:uiPriority w:val="99"/>
    <w:rPr>
      <w:sz w:val="18"/>
      <w:szCs w:val="18"/>
    </w:rPr>
  </w:style>
  <w:style w:type="paragraph" w:styleId="27">
    <w:name w:val="List Paragraph"/>
    <w:basedOn w:val="1"/>
    <w:qFormat/>
    <w:uiPriority w:val="34"/>
    <w:pPr>
      <w:ind w:firstLine="420" w:firstLineChars="200"/>
    </w:pPr>
  </w:style>
  <w:style w:type="character" w:customStyle="1" w:styleId="28">
    <w:name w:val="批注文字 字符"/>
    <w:basedOn w:val="18"/>
    <w:link w:val="6"/>
    <w:semiHidden/>
    <w:qFormat/>
    <w:uiPriority w:val="99"/>
  </w:style>
  <w:style w:type="character" w:customStyle="1" w:styleId="29">
    <w:name w:val="批注主题 字符"/>
    <w:basedOn w:val="28"/>
    <w:link w:val="15"/>
    <w:semiHidden/>
    <w:qFormat/>
    <w:uiPriority w:val="99"/>
    <w:rPr>
      <w:b/>
      <w:bCs/>
    </w:rPr>
  </w:style>
  <w:style w:type="paragraph" w:styleId="30">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闻政表文字"/>
    <w:basedOn w:val="32"/>
    <w:qFormat/>
    <w:uiPriority w:val="5"/>
    <w:pPr>
      <w:widowControl/>
      <w:pBdr>
        <w:between w:val="single" w:color="auto" w:sz="4" w:space="1"/>
      </w:pBdr>
      <w:spacing w:line="320" w:lineRule="exact"/>
      <w:ind w:firstLine="0" w:firstLineChars="0"/>
      <w:jc w:val="center"/>
    </w:pPr>
    <w:rPr>
      <w:rFonts w:cs="宋体"/>
      <w:bCs/>
      <w:color w:val="000000"/>
      <w:kern w:val="0"/>
      <w:sz w:val="22"/>
      <w:szCs w:val="22"/>
    </w:rPr>
  </w:style>
  <w:style w:type="paragraph" w:customStyle="1" w:styleId="32">
    <w:name w:val="闻政正文"/>
    <w:basedOn w:val="1"/>
    <w:qFormat/>
    <w:uiPriority w:val="0"/>
    <w:pPr>
      <w:spacing w:line="500" w:lineRule="exact"/>
      <w:ind w:firstLine="560"/>
    </w:pPr>
    <w:rPr>
      <w:rFonts w:cs="Times New Roman"/>
      <w:szCs w:val="28"/>
    </w:rPr>
  </w:style>
  <w:style w:type="character" w:customStyle="1" w:styleId="33">
    <w:name w:val="标题 3 Char"/>
    <w:basedOn w:val="18"/>
    <w:link w:val="5"/>
    <w:qFormat/>
    <w:uiPriority w:val="9"/>
    <w:rPr>
      <w:b/>
      <w:bCs/>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3150</Words>
  <Characters>3548</Characters>
  <Lines>97</Lines>
  <Paragraphs>27</Paragraphs>
  <TotalTime>23</TotalTime>
  <ScaleCrop>false</ScaleCrop>
  <LinksUpToDate>false</LinksUpToDate>
  <CharactersWithSpaces>3603</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2023-06-11T09:09:00Z</dcterms:created>
  <dc:creator>win10</dc:creator>
  <cp:lastModifiedBy>uos</cp:lastModifiedBy>
  <dcterms:modified xsi:type="dcterms:W3CDTF">2025-08-29T13:08:01Z</dcterms:modified>
  <cp:revision>244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928029F6C431458B8D77719F781B013D_13</vt:lpwstr>
  </property>
  <property fmtid="{D5CDD505-2E9C-101B-9397-08002B2CF9AE}" pid="4" name="KSOTemplateDocerSaveRecord">
    <vt:lpwstr>eyJoZGlkIjoiYWRiZjYwNDk0NWFmNTlkZjZlNjNlOWRjMjVlMjI2MGIiLCJ1c2VySWQiOiI1NDQ1NDA2MDAifQ==</vt:lpwstr>
  </property>
</Properties>
</file>