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4CB3">
      <w:pPr>
        <w:rPr>
          <w:rFonts w:ascii="黑体" w:eastAsia="黑体"/>
          <w:sz w:val="72"/>
          <w:szCs w:val="72"/>
        </w:rPr>
      </w:pPr>
      <w:bookmarkStart w:id="2" w:name="_GoBack"/>
      <w:bookmarkEnd w:id="2"/>
    </w:p>
    <w:p w14:paraId="50A8450A">
      <w:pPr>
        <w:jc w:val="center"/>
        <w:rPr>
          <w:rFonts w:ascii="黑体" w:eastAsia="黑体"/>
          <w:sz w:val="72"/>
          <w:szCs w:val="72"/>
        </w:rPr>
      </w:pPr>
    </w:p>
    <w:p w14:paraId="3BFCDDC9">
      <w:pPr>
        <w:jc w:val="center"/>
        <w:rPr>
          <w:rFonts w:ascii="黑体" w:eastAsia="黑体"/>
          <w:sz w:val="72"/>
          <w:szCs w:val="72"/>
        </w:rPr>
      </w:pPr>
      <w:r>
        <w:rPr>
          <w:rFonts w:hint="eastAsia" w:ascii="黑体" w:eastAsia="黑体"/>
          <w:sz w:val="72"/>
          <w:szCs w:val="72"/>
        </w:rPr>
        <w:t>2016年度北京市人力资源和社会保障局</w:t>
      </w:r>
    </w:p>
    <w:p w14:paraId="649F24B4">
      <w:pPr>
        <w:jc w:val="center"/>
        <w:rPr>
          <w:rFonts w:ascii="黑体" w:eastAsia="黑体"/>
          <w:sz w:val="72"/>
          <w:szCs w:val="72"/>
        </w:rPr>
      </w:pPr>
      <w:r>
        <w:rPr>
          <w:rFonts w:hint="eastAsia" w:ascii="黑体" w:eastAsia="黑体"/>
          <w:sz w:val="72"/>
          <w:szCs w:val="72"/>
        </w:rPr>
        <w:t>部门决算</w:t>
      </w:r>
    </w:p>
    <w:p w14:paraId="514C1706">
      <w:pPr>
        <w:jc w:val="center"/>
        <w:rPr>
          <w:rFonts w:ascii="黑体" w:eastAsia="黑体"/>
          <w:sz w:val="52"/>
          <w:szCs w:val="52"/>
        </w:rPr>
      </w:pPr>
    </w:p>
    <w:p w14:paraId="619C4678">
      <w:pPr>
        <w:ind w:firstLine="645"/>
        <w:rPr>
          <w:rFonts w:ascii="黑体" w:hAnsi="黑体" w:eastAsia="黑体"/>
          <w:sz w:val="36"/>
          <w:szCs w:val="36"/>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p>
    <w:p w14:paraId="7B263F04">
      <w:pPr>
        <w:ind w:firstLine="645"/>
        <w:rPr>
          <w:rFonts w:ascii="黑体" w:hAnsi="黑体" w:eastAsia="黑体"/>
          <w:sz w:val="36"/>
          <w:szCs w:val="36"/>
        </w:rPr>
      </w:pPr>
    </w:p>
    <w:p w14:paraId="7D00BC49">
      <w:pPr>
        <w:ind w:firstLine="645"/>
        <w:rPr>
          <w:rFonts w:ascii="黑体" w:hAnsi="黑体" w:eastAsia="黑体"/>
          <w:sz w:val="36"/>
          <w:szCs w:val="36"/>
        </w:rPr>
      </w:pPr>
    </w:p>
    <w:p w14:paraId="16C67476">
      <w:pPr>
        <w:ind w:firstLine="645"/>
        <w:rPr>
          <w:rFonts w:ascii="黑体" w:hAnsi="黑体" w:eastAsia="黑体"/>
          <w:sz w:val="36"/>
          <w:szCs w:val="36"/>
        </w:rPr>
      </w:pPr>
    </w:p>
    <w:p w14:paraId="1BFADC6B">
      <w:pPr>
        <w:ind w:firstLine="645"/>
        <w:rPr>
          <w:rFonts w:ascii="黑体" w:hAnsi="黑体" w:eastAsia="黑体"/>
          <w:sz w:val="36"/>
          <w:szCs w:val="36"/>
        </w:rPr>
      </w:pPr>
    </w:p>
    <w:p w14:paraId="4FD174CE">
      <w:pPr>
        <w:ind w:firstLine="645"/>
        <w:rPr>
          <w:rFonts w:ascii="黑体" w:hAnsi="黑体" w:eastAsia="黑体"/>
          <w:sz w:val="36"/>
          <w:szCs w:val="36"/>
        </w:rPr>
      </w:pPr>
    </w:p>
    <w:p w14:paraId="48AA461D">
      <w:pPr>
        <w:rPr>
          <w:rFonts w:ascii="宋体" w:hAnsi="宋体" w:cs="宋体"/>
          <w:b/>
          <w:bCs/>
          <w:kern w:val="0"/>
          <w:sz w:val="44"/>
          <w:szCs w:val="36"/>
        </w:rPr>
      </w:pPr>
    </w:p>
    <w:p w14:paraId="0704E0E0">
      <w:pPr>
        <w:tabs>
          <w:tab w:val="center" w:pos="6979"/>
        </w:tabs>
        <w:jc w:val="center"/>
        <w:rPr>
          <w:rFonts w:ascii="宋体" w:hAnsi="宋体" w:cs="宋体"/>
          <w:b/>
          <w:bCs/>
          <w:kern w:val="0"/>
          <w:sz w:val="28"/>
          <w:szCs w:val="28"/>
        </w:rPr>
      </w:pPr>
      <w:r>
        <w:rPr>
          <w:rFonts w:hint="eastAsia" w:ascii="宋体" w:hAnsi="宋体" w:cs="宋体"/>
          <w:b/>
          <w:bCs/>
          <w:kern w:val="0"/>
          <w:sz w:val="44"/>
          <w:szCs w:val="36"/>
        </w:rPr>
        <w:t>目    录</w:t>
      </w:r>
    </w:p>
    <w:p w14:paraId="4C34E501">
      <w:pPr>
        <w:tabs>
          <w:tab w:val="center" w:pos="6979"/>
        </w:tabs>
        <w:spacing w:beforeLines="100" w:afterLines="50" w:line="56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2016年度部门决算报表</w:t>
      </w:r>
    </w:p>
    <w:p w14:paraId="21E14950">
      <w:pPr>
        <w:tabs>
          <w:tab w:val="center" w:pos="6979"/>
        </w:tabs>
        <w:spacing w:line="560" w:lineRule="exact"/>
        <w:ind w:firstLine="2400" w:firstLineChars="600"/>
        <w:jc w:val="left"/>
        <w:rPr>
          <w:rFonts w:ascii="仿宋" w:hAnsi="仿宋" w:eastAsia="仿宋"/>
          <w:spacing w:val="40"/>
          <w:sz w:val="32"/>
          <w:szCs w:val="32"/>
        </w:rPr>
      </w:pPr>
      <w:r>
        <w:rPr>
          <w:rFonts w:hint="eastAsia" w:ascii="仿宋" w:hAnsi="仿宋" w:eastAsia="仿宋" w:cs="宋体"/>
          <w:bCs/>
          <w:spacing w:val="40"/>
          <w:kern w:val="0"/>
          <w:sz w:val="32"/>
          <w:szCs w:val="32"/>
        </w:rPr>
        <w:t>一、收入支出决算总表</w:t>
      </w:r>
    </w:p>
    <w:p w14:paraId="30BF30F8">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二、收入决算表</w:t>
      </w:r>
    </w:p>
    <w:p w14:paraId="29DD29D0">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三、支出决算表</w:t>
      </w:r>
    </w:p>
    <w:p w14:paraId="5663771F">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四、财政拨款收入支出决算总表</w:t>
      </w:r>
    </w:p>
    <w:p w14:paraId="26E2C7BA">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五、一般公共预算财政拨款支出决算表</w:t>
      </w:r>
    </w:p>
    <w:p w14:paraId="48ECF63B">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六、政府性基金预算财政拨款收入支出决算表</w:t>
      </w:r>
    </w:p>
    <w:p w14:paraId="59CED301">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七、财政拨款基本支出经济分类决算表</w:t>
      </w:r>
    </w:p>
    <w:p w14:paraId="7EEEDDA4">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八、“三公”经费财政拨款支出决算表</w:t>
      </w:r>
    </w:p>
    <w:p w14:paraId="19451082">
      <w:pPr>
        <w:tabs>
          <w:tab w:val="center" w:pos="6979"/>
        </w:tabs>
        <w:spacing w:line="560" w:lineRule="exact"/>
        <w:ind w:firstLine="2400" w:firstLineChars="600"/>
        <w:jc w:val="left"/>
        <w:rPr>
          <w:rFonts w:ascii="仿宋" w:hAnsi="仿宋" w:eastAsia="仿宋" w:cs="宋体"/>
          <w:bCs/>
          <w:spacing w:val="40"/>
          <w:kern w:val="0"/>
          <w:sz w:val="32"/>
          <w:szCs w:val="32"/>
        </w:rPr>
      </w:pPr>
      <w:r>
        <w:rPr>
          <w:rFonts w:hint="eastAsia" w:ascii="仿宋" w:hAnsi="仿宋" w:eastAsia="仿宋" w:cs="宋体"/>
          <w:bCs/>
          <w:spacing w:val="40"/>
          <w:kern w:val="0"/>
          <w:sz w:val="32"/>
          <w:szCs w:val="32"/>
        </w:rPr>
        <w:t>九、政府采购情况表</w:t>
      </w:r>
    </w:p>
    <w:p w14:paraId="10C55C3E">
      <w:pPr>
        <w:tabs>
          <w:tab w:val="center" w:pos="6979"/>
        </w:tabs>
        <w:spacing w:beforeLines="50" w:afterLines="50" w:line="56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2016年度部门决算说明</w:t>
      </w:r>
    </w:p>
    <w:p w14:paraId="77D12EF9">
      <w:pPr>
        <w:tabs>
          <w:tab w:val="center" w:pos="6979"/>
        </w:tabs>
        <w:spacing w:beforeLines="50" w:afterLines="50" w:line="56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2016年度</w:t>
      </w:r>
      <w:r>
        <w:rPr>
          <w:rFonts w:hint="eastAsia" w:ascii="宋体" w:hAnsi="宋体" w:cs="宋体"/>
          <w:spacing w:val="40"/>
          <w:kern w:val="0"/>
          <w:sz w:val="32"/>
          <w:szCs w:val="32"/>
        </w:rPr>
        <w:t>其他重要事项的情况说明</w:t>
      </w:r>
    </w:p>
    <w:p w14:paraId="740B2690">
      <w:pPr>
        <w:tabs>
          <w:tab w:val="center" w:pos="6979"/>
        </w:tabs>
        <w:spacing w:beforeLines="50" w:afterLines="50" w:line="56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2016年度部门绩效评价情况</w:t>
      </w:r>
    </w:p>
    <w:p w14:paraId="4061AF1C">
      <w:pPr>
        <w:tabs>
          <w:tab w:val="center" w:pos="6979"/>
        </w:tabs>
        <w:spacing w:beforeLines="50" w:afterLines="50"/>
        <w:jc w:val="center"/>
        <w:rPr>
          <w:rFonts w:ascii="宋体" w:hAnsi="宋体" w:cs="宋体"/>
          <w:b/>
          <w:bCs/>
          <w:spacing w:val="40"/>
          <w:kern w:val="0"/>
          <w:sz w:val="32"/>
          <w:szCs w:val="32"/>
        </w:rPr>
      </w:pPr>
    </w:p>
    <w:p w14:paraId="4202539A">
      <w:pPr>
        <w:tabs>
          <w:tab w:val="center" w:pos="6979"/>
        </w:tabs>
        <w:spacing w:beforeLines="50" w:afterLines="50"/>
        <w:jc w:val="center"/>
        <w:rPr>
          <w:rFonts w:ascii="宋体" w:hAnsi="宋体" w:cs="宋体"/>
          <w:b/>
          <w:bCs/>
          <w:spacing w:val="40"/>
          <w:kern w:val="0"/>
          <w:sz w:val="32"/>
          <w:szCs w:val="32"/>
        </w:rPr>
      </w:pPr>
    </w:p>
    <w:p w14:paraId="52458DC4">
      <w:pPr>
        <w:tabs>
          <w:tab w:val="center" w:pos="6979"/>
        </w:tabs>
        <w:spacing w:beforeLines="50" w:afterLines="50"/>
        <w:jc w:val="center"/>
        <w:rPr>
          <w:rFonts w:ascii="宋体" w:hAnsi="宋体" w:cs="宋体"/>
          <w:b/>
          <w:bCs/>
          <w:spacing w:val="40"/>
          <w:kern w:val="0"/>
          <w:sz w:val="32"/>
          <w:szCs w:val="32"/>
        </w:rPr>
      </w:pPr>
    </w:p>
    <w:p w14:paraId="24366E88">
      <w:pPr>
        <w:tabs>
          <w:tab w:val="center" w:pos="6979"/>
        </w:tabs>
        <w:spacing w:beforeLines="50" w:afterLines="50"/>
        <w:jc w:val="center"/>
        <w:rPr>
          <w:rFonts w:ascii="宋体" w:hAnsi="宋体" w:cs="宋体"/>
          <w:b/>
          <w:bCs/>
          <w:spacing w:val="40"/>
          <w:kern w:val="0"/>
          <w:sz w:val="32"/>
          <w:szCs w:val="32"/>
        </w:rPr>
      </w:pPr>
    </w:p>
    <w:p w14:paraId="580BB298">
      <w:pPr>
        <w:tabs>
          <w:tab w:val="center" w:pos="6979"/>
        </w:tabs>
        <w:spacing w:beforeLines="50" w:afterLines="50"/>
        <w:jc w:val="center"/>
        <w:rPr>
          <w:rFonts w:ascii="宋体" w:hAnsi="宋体" w:cs="宋体"/>
          <w:b/>
          <w:bCs/>
          <w:spacing w:val="40"/>
          <w:kern w:val="0"/>
          <w:sz w:val="32"/>
          <w:szCs w:val="32"/>
        </w:rPr>
      </w:pPr>
    </w:p>
    <w:p w14:paraId="3CDD40DA">
      <w:pPr>
        <w:tabs>
          <w:tab w:val="center" w:pos="6979"/>
        </w:tabs>
        <w:spacing w:beforeLines="50"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第一部分 2016年度部门决算报表</w:t>
      </w:r>
    </w:p>
    <w:p w14:paraId="1825D287">
      <w:pPr>
        <w:tabs>
          <w:tab w:val="center" w:pos="6979"/>
        </w:tabs>
        <w:spacing w:beforeLines="50" w:afterLines="50"/>
        <w:jc w:val="center"/>
        <w:rPr>
          <w:rFonts w:ascii="宋体" w:hAnsi="宋体" w:cs="宋体"/>
          <w:b/>
          <w:bCs/>
          <w:spacing w:val="40"/>
          <w:kern w:val="0"/>
          <w:sz w:val="32"/>
          <w:szCs w:val="32"/>
        </w:rPr>
      </w:pPr>
    </w:p>
    <w:p w14:paraId="6B909A05">
      <w:pPr>
        <w:tabs>
          <w:tab w:val="center" w:pos="6979"/>
        </w:tabs>
        <w:spacing w:beforeLines="50" w:afterLines="50"/>
        <w:jc w:val="center"/>
        <w:rPr>
          <w:rFonts w:ascii="宋体" w:hAnsi="宋体" w:cs="宋体"/>
          <w:b/>
          <w:bCs/>
          <w:spacing w:val="40"/>
          <w:kern w:val="0"/>
          <w:sz w:val="32"/>
          <w:szCs w:val="32"/>
        </w:rPr>
      </w:pPr>
    </w:p>
    <w:p w14:paraId="3FB60FF6">
      <w:pPr>
        <w:tabs>
          <w:tab w:val="center" w:pos="6979"/>
        </w:tabs>
        <w:spacing w:beforeLines="50" w:afterLines="50"/>
        <w:jc w:val="center"/>
        <w:rPr>
          <w:rFonts w:ascii="宋体" w:hAnsi="宋体" w:cs="宋体"/>
          <w:b/>
          <w:bCs/>
          <w:spacing w:val="40"/>
          <w:kern w:val="0"/>
          <w:sz w:val="32"/>
          <w:szCs w:val="32"/>
        </w:rPr>
      </w:pPr>
    </w:p>
    <w:p w14:paraId="1DDF1284">
      <w:pPr>
        <w:tabs>
          <w:tab w:val="center" w:pos="6979"/>
        </w:tabs>
        <w:spacing w:beforeLines="50" w:afterLines="50"/>
        <w:jc w:val="center"/>
        <w:rPr>
          <w:rFonts w:ascii="宋体" w:hAnsi="宋体" w:cs="宋体"/>
          <w:b/>
          <w:bCs/>
          <w:spacing w:val="40"/>
          <w:kern w:val="0"/>
          <w:sz w:val="32"/>
          <w:szCs w:val="32"/>
        </w:rPr>
      </w:pPr>
    </w:p>
    <w:p w14:paraId="7273DD30">
      <w:pPr>
        <w:tabs>
          <w:tab w:val="center" w:pos="6979"/>
        </w:tabs>
        <w:spacing w:beforeLines="50" w:afterLines="50"/>
        <w:rPr>
          <w:rFonts w:ascii="宋体" w:hAnsi="宋体" w:cs="宋体"/>
          <w:b/>
          <w:bCs/>
          <w:spacing w:val="40"/>
          <w:kern w:val="0"/>
          <w:sz w:val="32"/>
          <w:szCs w:val="32"/>
        </w:rPr>
      </w:pPr>
    </w:p>
    <w:p w14:paraId="1918A499"/>
    <w:p w14:paraId="3BEE8FB6">
      <w:pPr>
        <w:tabs>
          <w:tab w:val="center" w:pos="6979"/>
        </w:tabs>
        <w:spacing w:beforeLines="50"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2016年度部门决算说明</w:t>
      </w:r>
    </w:p>
    <w:p w14:paraId="4EBA0F0D">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一、部门基本情况</w:t>
      </w:r>
    </w:p>
    <w:p w14:paraId="7DAAEF60">
      <w:pPr>
        <w:tabs>
          <w:tab w:val="center" w:pos="6979"/>
        </w:tabs>
        <w:spacing w:line="580" w:lineRule="exact"/>
        <w:ind w:firstLine="420" w:firstLineChars="150"/>
        <w:rPr>
          <w:rFonts w:ascii="仿宋" w:hAnsi="仿宋" w:eastAsia="仿宋" w:cs="华文仿宋"/>
          <w:color w:val="231F20"/>
          <w:kern w:val="0"/>
          <w:sz w:val="28"/>
          <w:szCs w:val="28"/>
        </w:rPr>
      </w:pPr>
      <w:r>
        <w:rPr>
          <w:rFonts w:hint="eastAsia" w:ascii="仿宋" w:hAnsi="仿宋" w:eastAsia="仿宋" w:cs="华文仿宋"/>
          <w:color w:val="231F20"/>
          <w:kern w:val="0"/>
          <w:sz w:val="28"/>
          <w:szCs w:val="28"/>
        </w:rPr>
        <w:t>（一）部门职责</w:t>
      </w:r>
    </w:p>
    <w:p w14:paraId="62616727">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1.贯彻落实国家关于人力资源和社会保障方面的法律、法规、规章和政策，起草本市相关地方</w:t>
      </w:r>
    </w:p>
    <w:p w14:paraId="2633C183">
      <w:pPr>
        <w:tabs>
          <w:tab w:val="left" w:pos="540"/>
          <w:tab w:val="left" w:pos="720"/>
        </w:tabs>
        <w:autoSpaceDE w:val="0"/>
        <w:autoSpaceDN w:val="0"/>
        <w:adjustRightInd w:val="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性法规草案、政府规章草案，拟订人力资源和社会保障事业发展规划，并组织实施和监督检查。</w:t>
      </w:r>
    </w:p>
    <w:p w14:paraId="5C359CC9">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2.拟订并组织实施本市人力资源市场发展规划和人力资源流动政策，建立统一规范的人力资源</w:t>
      </w:r>
    </w:p>
    <w:p w14:paraId="0636DFF9">
      <w:pPr>
        <w:autoSpaceDE w:val="0"/>
        <w:autoSpaceDN w:val="0"/>
        <w:adjustRightInd w:val="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市场，依法管理人力资源市场，促进人力资源合理流动、有效配置。</w:t>
      </w:r>
    </w:p>
    <w:p w14:paraId="09FA5092">
      <w:pPr>
        <w:autoSpaceDE w:val="0"/>
        <w:autoSpaceDN w:val="0"/>
        <w:adjustRightInd w:val="0"/>
        <w:ind w:right="-111" w:rightChars="-53" w:firstLine="560" w:firstLineChars="200"/>
        <w:jc w:val="left"/>
        <w:rPr>
          <w:rFonts w:ascii="仿宋" w:hAnsi="仿宋" w:eastAsia="仿宋" w:cs="华文仿宋"/>
          <w:color w:val="231F20"/>
          <w:kern w:val="0"/>
          <w:sz w:val="28"/>
          <w:szCs w:val="28"/>
        </w:rPr>
      </w:pPr>
      <w:r>
        <w:rPr>
          <w:rFonts w:hint="eastAsia" w:ascii="仿宋" w:hAnsi="仿宋" w:eastAsia="仿宋" w:cs="华文仿宋"/>
          <w:color w:val="231F20"/>
          <w:kern w:val="0"/>
          <w:sz w:val="28"/>
          <w:szCs w:val="28"/>
        </w:rPr>
        <w:t>3.负责本市促进就业工作。拟订统筹城乡的就业发展规划和政策，完善公共就业服务体系，会同有关部门研究落实就业援助制度；拟订并落实职业资格制度相关政策，统筹建立面向城乡劳动者的职业培训制度；牵头拟订高校毕业生就业政策，会同有关部门拟订高技能人才、农村实用人才培养和激励政策。</w:t>
      </w:r>
    </w:p>
    <w:p w14:paraId="4611DBD6">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4.统筹建立覆盖城乡的社会保障体系。拟订并组织实施本市城乡社会保险及补充保险政策和标准；会同有关部门拟订社会保险及补充保险基金管理和监督制度，参与拟订本市社会保障基金投资政策。</w:t>
      </w:r>
    </w:p>
    <w:p w14:paraId="2F494423">
      <w:pPr>
        <w:autoSpaceDE w:val="0"/>
        <w:autoSpaceDN w:val="0"/>
        <w:adjustRightInd w:val="0"/>
        <w:ind w:left="1"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5.负责本市就业、失业、社会保险基金预测预警和信息引导，拟订应对预案，实施预防、调节和控制，保持就业形势稳定和社会保险基金总体收支平衡。</w:t>
      </w:r>
    </w:p>
    <w:p w14:paraId="731D2E21">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6.负责本市机关事业单位人员工资、福利的综合管理和分配制度改革工作；拟订机关事业单位工作人员工资、福利、津贴、补贴等政策并组织实施；研究建立机关企事业单位工作人员工资正常增长和支付保障机制；拟订机关事业单位工作人员离退休等政策并组织实施。</w:t>
      </w:r>
    </w:p>
    <w:p w14:paraId="60012D7E">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7.会同有关部门指导本市事业单位人事制度改革，拟订事业单位人员和机关工勤人员管理政策；参与人才管理工作，拟订专业技术人员管理和继续教育政策，牵头推进深化职称制度改革工作，健全博士后管理制度，负责高层次专业技术人才选拔、培养和管理、服务工作。</w:t>
      </w:r>
    </w:p>
    <w:p w14:paraId="1F319E90">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8.负责本市引进国外智力工作，拟订外国专家管理、出国（境）培训及重点聘请外国专家项目的政策、管理办法和计划，并组织实施。</w:t>
      </w:r>
    </w:p>
    <w:p w14:paraId="2C2E0803">
      <w:pPr>
        <w:autoSpaceDE w:val="0"/>
        <w:autoSpaceDN w:val="0"/>
        <w:adjustRightInd w:val="0"/>
        <w:ind w:right="-6" w:rightChars="-3"/>
        <w:jc w:val="left"/>
        <w:rPr>
          <w:rFonts w:ascii="仿宋" w:hAnsi="仿宋" w:eastAsia="仿宋"/>
          <w:color w:val="231F20"/>
          <w:kern w:val="0"/>
          <w:sz w:val="28"/>
          <w:szCs w:val="28"/>
        </w:rPr>
      </w:pPr>
      <w:r>
        <w:rPr>
          <w:rFonts w:hint="eastAsia" w:ascii="仿宋" w:hAnsi="仿宋" w:eastAsia="仿宋"/>
          <w:sz w:val="28"/>
          <w:szCs w:val="28"/>
        </w:rPr>
        <w:t xml:space="preserve">    9.</w:t>
      </w:r>
      <w:r>
        <w:rPr>
          <w:rFonts w:hint="eastAsia" w:ascii="仿宋" w:hAnsi="仿宋" w:eastAsia="仿宋" w:cs="华文仿宋"/>
          <w:color w:val="231F20"/>
          <w:kern w:val="0"/>
          <w:sz w:val="28"/>
          <w:szCs w:val="28"/>
        </w:rPr>
        <w:t>会同有关部门拟订本市军队转业干部安置政策和安置计划，负责军队转业干部教育培训工作，组织拟订企业军队转业干部解困和稳定政策，负责自主择业军队转业干部管理和服务工作。</w:t>
      </w:r>
    </w:p>
    <w:p w14:paraId="42FA2574">
      <w:pPr>
        <w:autoSpaceDE w:val="0"/>
        <w:autoSpaceDN w:val="0"/>
        <w:adjustRightInd w:val="0"/>
        <w:ind w:left="1"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10.负责本市行政机关公务员综合管理，会同有关部门拟订公务员管理方面的政策规定，并组织实施；按规定承担市政府部门的督查考核和绩效考评有关工作。</w:t>
      </w:r>
    </w:p>
    <w:p w14:paraId="69E463FE">
      <w:pPr>
        <w:autoSpaceDE w:val="0"/>
        <w:autoSpaceDN w:val="0"/>
        <w:adjustRightInd w:val="0"/>
        <w:ind w:firstLine="560" w:firstLineChars="20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11.会同有关部门拟订本市农民工工作综合性政策和规划，推动农民工相关政策的落实，协调解决重点、难点问题，维护农民工合法权益。</w:t>
      </w:r>
    </w:p>
    <w:p w14:paraId="2759144E">
      <w:pPr>
        <w:autoSpaceDE w:val="0"/>
        <w:autoSpaceDN w:val="0"/>
        <w:adjustRightInd w:val="0"/>
        <w:ind w:right="-216" w:rightChars="-103"/>
        <w:jc w:val="left"/>
        <w:rPr>
          <w:rFonts w:ascii="仿宋" w:hAnsi="仿宋" w:eastAsia="仿宋" w:cs="华文仿宋"/>
          <w:color w:val="231F20"/>
          <w:kern w:val="0"/>
          <w:sz w:val="28"/>
          <w:szCs w:val="28"/>
        </w:rPr>
      </w:pPr>
      <w:r>
        <w:rPr>
          <w:rFonts w:hint="eastAsia" w:ascii="仿宋" w:hAnsi="仿宋" w:eastAsia="仿宋" w:cs="华文仿宋"/>
          <w:color w:val="231F20"/>
          <w:kern w:val="0"/>
          <w:sz w:val="28"/>
          <w:szCs w:val="28"/>
        </w:rPr>
        <w:t xml:space="preserve">    12.统筹拟订本市劳动关系政策和劳动、人事争议调解仲裁制度，完善劳动关系协调机制，制定消除非法使用童工政策和女工、未成年工的特殊劳动保护政策，组织实施劳动监察，协调劳动者维权工作，依法查处重大案件。</w:t>
      </w:r>
    </w:p>
    <w:p w14:paraId="658E1E4F">
      <w:pPr>
        <w:autoSpaceDE w:val="0"/>
        <w:autoSpaceDN w:val="0"/>
        <w:adjustRightInd w:val="0"/>
        <w:jc w:val="left"/>
        <w:rPr>
          <w:rFonts w:ascii="仿宋" w:hAnsi="仿宋" w:eastAsia="仿宋"/>
          <w:color w:val="231F20"/>
          <w:kern w:val="0"/>
          <w:sz w:val="28"/>
          <w:szCs w:val="28"/>
        </w:rPr>
      </w:pPr>
      <w:r>
        <w:rPr>
          <w:rFonts w:hint="eastAsia" w:ascii="仿宋" w:hAnsi="仿宋" w:eastAsia="仿宋" w:cs="华文仿宋"/>
          <w:color w:val="231F20"/>
          <w:kern w:val="0"/>
          <w:sz w:val="28"/>
          <w:szCs w:val="28"/>
        </w:rPr>
        <w:t xml:space="preserve">   13.承办市政府交办的其他事项。</w:t>
      </w:r>
    </w:p>
    <w:p w14:paraId="1760808F">
      <w:pPr>
        <w:tabs>
          <w:tab w:val="center" w:pos="6979"/>
        </w:tabs>
        <w:spacing w:line="580" w:lineRule="exact"/>
        <w:ind w:firstLine="420" w:firstLineChars="150"/>
        <w:rPr>
          <w:rFonts w:ascii="仿宋" w:hAnsi="仿宋" w:eastAsia="仿宋" w:cs="华文仿宋"/>
          <w:color w:val="231F20"/>
          <w:kern w:val="0"/>
          <w:sz w:val="28"/>
          <w:szCs w:val="28"/>
        </w:rPr>
      </w:pPr>
      <w:r>
        <w:rPr>
          <w:rFonts w:hint="eastAsia" w:ascii="仿宋" w:hAnsi="仿宋" w:eastAsia="仿宋" w:cs="华文仿宋"/>
          <w:color w:val="231F20"/>
          <w:kern w:val="0"/>
          <w:sz w:val="28"/>
          <w:szCs w:val="28"/>
        </w:rPr>
        <w:t>（二）部门决算单位构成</w:t>
      </w:r>
    </w:p>
    <w:p w14:paraId="0CFB01F5">
      <w:pPr>
        <w:tabs>
          <w:tab w:val="center" w:pos="6979"/>
        </w:tabs>
        <w:spacing w:line="60" w:lineRule="auto"/>
        <w:ind w:firstLine="560" w:firstLineChars="200"/>
        <w:rPr>
          <w:rFonts w:ascii="仿宋" w:hAnsi="仿宋" w:eastAsia="仿宋" w:cs="华文仿宋"/>
          <w:color w:val="231F20"/>
          <w:kern w:val="0"/>
          <w:sz w:val="28"/>
          <w:szCs w:val="28"/>
        </w:rPr>
      </w:pPr>
      <w:r>
        <w:rPr>
          <w:rFonts w:hint="eastAsia" w:ascii="仿宋" w:hAnsi="仿宋" w:eastAsia="仿宋" w:cs="华文仿宋"/>
          <w:color w:val="231F20"/>
          <w:kern w:val="0"/>
          <w:sz w:val="28"/>
          <w:szCs w:val="28"/>
        </w:rPr>
        <w:t>北京市人力资源和社会保障局2016年部门决算单位共计23家，包括：行政单位1家，为北京市人力资源和社会保障局机关；所属单位22家，分别为：北京劳动保障职业学院、北京市劳动服务管理中心、北京市社会保险基金管理中心、北京市医疗保险事务管理中心、北京市劳动能力鉴定中心、北京市人事考试中心、北京市人力资源和社会保障宣传中心、北京市职业能力建设指导中心、北京市外国专家与外国人就业事务中心、北京市人力资源和社会保障局电话咨询服务中心、北京市职业技能鉴定管理中心、北京市人才服务中心、北京市职业介绍服务中心、北京市人才档案公共管理服务中心、北京市毕业生就业服务中心、北京市军队转业干部培训中心、北京市社会保险监督委员会办公室、北京市干部度假疗养中心、北京市实验技工学校、北京市退休职工活动站、</w:t>
      </w:r>
      <w:r>
        <w:rPr>
          <w:rFonts w:hint="eastAsia" w:ascii="仿宋" w:hAnsi="仿宋" w:eastAsia="仿宋"/>
          <w:sz w:val="28"/>
          <w:szCs w:val="28"/>
        </w:rPr>
        <w:t>北京市人力资源和社会保障局老干部服务中心、北京市人力资源和社会保障局机关事务服务中心。</w:t>
      </w:r>
    </w:p>
    <w:p w14:paraId="3E8E2AF6">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二、2016年收入支出决算总体情况说明</w:t>
      </w:r>
    </w:p>
    <w:p w14:paraId="1F2FE296">
      <w:pPr>
        <w:tabs>
          <w:tab w:val="center" w:pos="6979"/>
        </w:tabs>
        <w:spacing w:line="360" w:lineRule="auto"/>
        <w:ind w:firstLine="560" w:firstLineChars="200"/>
        <w:rPr>
          <w:rFonts w:ascii="仿宋" w:hAnsi="仿宋" w:eastAsia="仿宋"/>
          <w:sz w:val="28"/>
          <w:szCs w:val="28"/>
        </w:rPr>
      </w:pPr>
      <w:r>
        <w:rPr>
          <w:rFonts w:hint="eastAsia" w:ascii="仿宋" w:hAnsi="仿宋" w:eastAsia="仿宋"/>
          <w:sz w:val="28"/>
          <w:szCs w:val="28"/>
        </w:rPr>
        <w:t>2016年度收入总计227537.04万元，其中：本年收入216667.34万元，用事业基金弥补收支差额105.08万元，年初结转和结余10764.62万元。在本年收入中，财政拨款收入203905.72万元，占收入合计的94.11%；事业收入3769.89万元，占收入合计的1.74%；经营收入5.04万元，占收入合计的0.00%；附属单位上缴收入0万元，占收入合计的0.00%；其他收入8986.70万元，占收入合计的4.15%。</w:t>
      </w:r>
    </w:p>
    <w:p w14:paraId="1FF3AB46">
      <w:pPr>
        <w:tabs>
          <w:tab w:val="center" w:pos="6979"/>
        </w:tabs>
        <w:spacing w:line="360" w:lineRule="auto"/>
        <w:ind w:firstLine="570"/>
        <w:rPr>
          <w:rFonts w:ascii="仿宋" w:hAnsi="仿宋" w:eastAsia="仿宋"/>
          <w:sz w:val="28"/>
          <w:szCs w:val="28"/>
        </w:rPr>
      </w:pPr>
      <w:r>
        <w:rPr>
          <w:rFonts w:hint="eastAsia" w:ascii="仿宋" w:hAnsi="仿宋" w:eastAsia="仿宋"/>
          <w:sz w:val="28"/>
          <w:szCs w:val="28"/>
        </w:rPr>
        <w:t xml:space="preserve">2016年度本年支出合计206336.80万元，其中：基本支出47537.46万元，占支出合计的23.04%；项目支出158794.30万元，占支出合计的76.96%;上缴上级支出0万元，占支出合计的0.00%；经营支出5.04万元，占支出合计的0.00%；对附属单位补助支出0万元，占支出合计的0%。   </w:t>
      </w:r>
    </w:p>
    <w:p w14:paraId="362538CA">
      <w:pPr>
        <w:tabs>
          <w:tab w:val="center" w:pos="6979"/>
        </w:tabs>
        <w:spacing w:line="360" w:lineRule="auto"/>
        <w:ind w:firstLine="570"/>
        <w:rPr>
          <w:rFonts w:ascii="仿宋" w:hAnsi="仿宋" w:eastAsia="仿宋"/>
          <w:sz w:val="28"/>
          <w:szCs w:val="28"/>
        </w:rPr>
      </w:pPr>
      <w:r>
        <w:rPr>
          <w:rFonts w:hint="eastAsia" w:ascii="仿宋" w:hAnsi="仿宋" w:eastAsia="仿宋"/>
          <w:sz w:val="28"/>
          <w:szCs w:val="28"/>
        </w:rPr>
        <w:t xml:space="preserve">2016年结余分配1478.88万元，年末结转和结余19721.37万元。   </w:t>
      </w:r>
    </w:p>
    <w:p w14:paraId="58EAA17A">
      <w:pPr>
        <w:tabs>
          <w:tab w:val="center" w:pos="6979"/>
        </w:tabs>
        <w:spacing w:line="360" w:lineRule="auto"/>
        <w:ind w:firstLine="548" w:firstLineChars="196"/>
        <w:rPr>
          <w:rFonts w:ascii="黑体" w:eastAsia="黑体"/>
          <w:sz w:val="28"/>
          <w:szCs w:val="28"/>
        </w:rPr>
      </w:pPr>
      <w:r>
        <w:rPr>
          <w:rFonts w:hint="eastAsia" w:ascii="黑体" w:eastAsia="黑体"/>
          <w:sz w:val="28"/>
          <w:szCs w:val="28"/>
        </w:rPr>
        <w:t>三、2016年度一般公共预算财政拨款支出决算情况说明</w:t>
      </w:r>
    </w:p>
    <w:p w14:paraId="79FDD87C">
      <w:pPr>
        <w:autoSpaceDE w:val="0"/>
        <w:autoSpaceDN w:val="0"/>
        <w:adjustRightIn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（一）一般公共预算财政拨款支出决算总体情况</w:t>
      </w:r>
    </w:p>
    <w:p w14:paraId="643356ED">
      <w:pPr>
        <w:tabs>
          <w:tab w:val="center" w:pos="6979"/>
        </w:tabs>
        <w:spacing w:line="360" w:lineRule="auto"/>
        <w:ind w:firstLine="560" w:firstLineChars="200"/>
        <w:rPr>
          <w:rFonts w:ascii="仿宋" w:hAnsi="仿宋" w:eastAsia="仿宋"/>
          <w:sz w:val="28"/>
          <w:szCs w:val="28"/>
        </w:rPr>
      </w:pPr>
      <w:r>
        <w:rPr>
          <w:rFonts w:hint="eastAsia" w:ascii="仿宋" w:hAnsi="仿宋" w:eastAsia="仿宋"/>
          <w:sz w:val="28"/>
          <w:szCs w:val="28"/>
        </w:rPr>
        <w:t>2016年度一般公共预算财政拨款支出194737.77万元，主要用于以下方面（按大类）：一般公共服务支出6009.26万元，占本年财政拨款支出3.09%； 教育支出56635.12万元，占本年财政拨款支出29.08%；社会保障和就业支出67072.77万元，占本年财政拨款支出34.44%；医疗卫生与计划生育支出65020.62万元，占本年财政拨款支出33.39%</w:t>
      </w:r>
    </w:p>
    <w:p w14:paraId="0E146F59">
      <w:pPr>
        <w:autoSpaceDE w:val="0"/>
        <w:autoSpaceDN w:val="0"/>
        <w:adjustRightIn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（二）一般公共预算财政拨款支出决算具体情况</w:t>
      </w:r>
    </w:p>
    <w:p w14:paraId="74F8178F">
      <w:pPr>
        <w:autoSpaceDE w:val="0"/>
        <w:autoSpaceDN w:val="0"/>
        <w:adjustRightIn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1、“一般公共服务支出” 2016年度决算6009.26万元，比2016年年初预算减少276.92万元，下降4.41%。其中：</w:t>
      </w:r>
    </w:p>
    <w:p w14:paraId="2A1B7C5F">
      <w:pPr>
        <w:spacing w:line="360" w:lineRule="auto"/>
        <w:ind w:firstLine="560" w:firstLineChars="200"/>
        <w:rPr>
          <w:rFonts w:ascii="仿宋" w:hAnsi="仿宋" w:eastAsia="仿宋"/>
          <w:sz w:val="28"/>
          <w:szCs w:val="28"/>
        </w:rPr>
      </w:pPr>
      <w:r>
        <w:rPr>
          <w:rFonts w:hint="eastAsia" w:ascii="仿宋" w:hAnsi="仿宋" w:eastAsia="仿宋"/>
          <w:sz w:val="28"/>
          <w:szCs w:val="28"/>
        </w:rPr>
        <w:t>“人力资源事务”2016年度决算6009.26万元，比2016年年初预算减少276.92万元，下降4.41%。主要原因：一是我局机关本级留学人员专项经费，由于2016年我市入选高层次留学人才资助的项目少于预期，造成部分项目经费形成结余；二是我局机关本级全市系统表彰奖励专项经费，由于部分奖项主办单位未按计划开展评选表彰工作，造成部分项目经费形成结余。</w:t>
      </w:r>
    </w:p>
    <w:p w14:paraId="450BBC9C">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2、“教育支出”2016年度决算56635.12万元，比2016年年初预算减少1268.48万元，下降2.19%。</w:t>
      </w:r>
    </w:p>
    <w:p w14:paraId="64F13BF1">
      <w:pPr>
        <w:spacing w:line="360" w:lineRule="auto"/>
        <w:rPr>
          <w:rFonts w:ascii="仿宋" w:hAnsi="仿宋" w:eastAsia="仿宋"/>
          <w:sz w:val="28"/>
          <w:szCs w:val="28"/>
        </w:rPr>
      </w:pPr>
      <w:r>
        <w:rPr>
          <w:rFonts w:hint="eastAsia" w:ascii="仿宋" w:hAnsi="仿宋" w:eastAsia="仿宋"/>
          <w:sz w:val="28"/>
          <w:szCs w:val="28"/>
        </w:rPr>
        <w:t>其中：</w:t>
      </w:r>
    </w:p>
    <w:p w14:paraId="0FF1419E">
      <w:pPr>
        <w:spacing w:line="360" w:lineRule="auto"/>
        <w:ind w:firstLine="560" w:firstLineChars="200"/>
        <w:rPr>
          <w:rFonts w:ascii="仿宋" w:hAnsi="仿宋" w:eastAsia="仿宋"/>
          <w:sz w:val="28"/>
          <w:szCs w:val="28"/>
        </w:rPr>
      </w:pPr>
      <w:r>
        <w:rPr>
          <w:rFonts w:hint="eastAsia" w:ascii="仿宋" w:hAnsi="仿宋" w:eastAsia="仿宋"/>
          <w:sz w:val="28"/>
          <w:szCs w:val="28"/>
        </w:rPr>
        <w:t>“职业教育”2016年度决算21614.74万元，比2016年年初预算减少2492.37万元，下降10.34%。主要原因：一是我局所属北京劳动保障学院因2016年招生结构调整，文科生比例增加，学生实习实训支出降低，造成部分经费形成结余；二是部分项目执行完成后形成招标结余。以上结余资金已上交财政。</w:t>
      </w:r>
    </w:p>
    <w:p w14:paraId="73B9943F">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进修及培训</w:t>
      </w:r>
      <w:r>
        <w:rPr>
          <w:rFonts w:ascii="仿宋" w:hAnsi="仿宋" w:eastAsia="仿宋"/>
          <w:sz w:val="28"/>
          <w:szCs w:val="28"/>
        </w:rPr>
        <w:t>”</w:t>
      </w:r>
      <w:r>
        <w:rPr>
          <w:rFonts w:hint="eastAsia" w:ascii="仿宋" w:hAnsi="仿宋" w:eastAsia="仿宋"/>
          <w:sz w:val="28"/>
          <w:szCs w:val="28"/>
        </w:rPr>
        <w:t>2016年度决算346.16万元，比2016年年初预算减少69.47万元，下降16.71%。主要原因：我局严格执行</w:t>
      </w:r>
      <w:r>
        <w:rPr>
          <w:rFonts w:hint="eastAsia" w:ascii="仿宋" w:hAnsi="仿宋" w:eastAsia="仿宋"/>
          <w:sz w:val="28"/>
          <w:szCs w:val="28"/>
          <w:lang w:val="en-US" w:eastAsia="zh-Hans"/>
        </w:rPr>
        <w:t>厉行</w:t>
      </w:r>
      <w:r>
        <w:rPr>
          <w:rFonts w:hint="eastAsia" w:ascii="仿宋" w:hAnsi="仿宋" w:eastAsia="仿宋"/>
          <w:sz w:val="28"/>
          <w:szCs w:val="28"/>
        </w:rPr>
        <w:t>节约反对浪费的原则，尽量利用自有场地进行培训节约了支出。</w:t>
      </w:r>
    </w:p>
    <w:p w14:paraId="3D83A91E">
      <w:pPr>
        <w:spacing w:line="360" w:lineRule="auto"/>
        <w:ind w:firstLine="560" w:firstLineChars="200"/>
        <w:rPr>
          <w:rFonts w:ascii="仿宋" w:hAnsi="仿宋" w:eastAsia="仿宋"/>
          <w:sz w:val="28"/>
          <w:szCs w:val="28"/>
        </w:rPr>
      </w:pPr>
      <w:r>
        <w:rPr>
          <w:rFonts w:hint="eastAsia" w:ascii="仿宋" w:hAnsi="仿宋" w:eastAsia="仿宋"/>
          <w:sz w:val="28"/>
          <w:szCs w:val="28"/>
        </w:rPr>
        <w:t>“其他教育支出</w:t>
      </w:r>
      <w:r>
        <w:rPr>
          <w:rFonts w:ascii="仿宋" w:hAnsi="仿宋" w:eastAsia="仿宋"/>
          <w:sz w:val="28"/>
          <w:szCs w:val="28"/>
        </w:rPr>
        <w:t>”</w:t>
      </w:r>
      <w:r>
        <w:rPr>
          <w:rFonts w:hint="eastAsia" w:ascii="仿宋" w:hAnsi="仿宋" w:eastAsia="仿宋"/>
          <w:sz w:val="28"/>
          <w:szCs w:val="28"/>
        </w:rPr>
        <w:t>2016年度决算34674.22万元，比2016年年初预算增加1293.36万元，增长3.88 %。主要原因：一是我局所属事业单位市医保中心年中追加2014—2015年市属大专院校大病超支补助；二是我局所属事业单位市医保中心使用2015年结转资金支出市属大专院校公费医疗经费。</w:t>
      </w:r>
    </w:p>
    <w:p w14:paraId="05AC03F0">
      <w:pPr>
        <w:spacing w:line="360" w:lineRule="auto"/>
        <w:ind w:firstLine="560" w:firstLineChars="200"/>
        <w:rPr>
          <w:rFonts w:ascii="仿宋" w:hAnsi="仿宋" w:eastAsia="仿宋"/>
          <w:sz w:val="28"/>
          <w:szCs w:val="28"/>
        </w:rPr>
      </w:pPr>
      <w:r>
        <w:rPr>
          <w:rFonts w:hint="eastAsia" w:ascii="仿宋" w:hAnsi="仿宋" w:eastAsia="仿宋"/>
          <w:sz w:val="28"/>
          <w:szCs w:val="28"/>
        </w:rPr>
        <w:t>3、“社会保障和就业支出</w:t>
      </w:r>
      <w:r>
        <w:rPr>
          <w:rFonts w:ascii="仿宋" w:hAnsi="仿宋" w:eastAsia="仿宋"/>
          <w:sz w:val="28"/>
          <w:szCs w:val="28"/>
        </w:rPr>
        <w:t>”</w:t>
      </w:r>
      <w:r>
        <w:rPr>
          <w:rFonts w:hint="eastAsia" w:ascii="仿宋" w:hAnsi="仿宋" w:eastAsia="仿宋"/>
          <w:sz w:val="28"/>
          <w:szCs w:val="28"/>
        </w:rPr>
        <w:t>2016年度决算67072.77万元，比2016年年初预算增加减少4796.67万元，下降6.67%，其中：</w:t>
      </w:r>
    </w:p>
    <w:p w14:paraId="20BE5827">
      <w:pPr>
        <w:spacing w:line="360" w:lineRule="auto"/>
        <w:ind w:firstLine="560" w:firstLineChars="200"/>
        <w:rPr>
          <w:rFonts w:ascii="仿宋" w:hAnsi="仿宋" w:eastAsia="仿宋"/>
          <w:sz w:val="28"/>
          <w:szCs w:val="28"/>
        </w:rPr>
      </w:pPr>
      <w:r>
        <w:rPr>
          <w:rFonts w:hint="eastAsia" w:ascii="仿宋" w:hAnsi="仿宋" w:eastAsia="仿宋"/>
          <w:sz w:val="28"/>
          <w:szCs w:val="28"/>
        </w:rPr>
        <w:t>“人力资源和社会保障管理事务</w:t>
      </w:r>
      <w:r>
        <w:rPr>
          <w:rFonts w:ascii="仿宋" w:hAnsi="仿宋" w:eastAsia="仿宋"/>
          <w:sz w:val="28"/>
          <w:szCs w:val="28"/>
        </w:rPr>
        <w:t>”</w:t>
      </w:r>
      <w:r>
        <w:rPr>
          <w:rFonts w:hint="eastAsia" w:ascii="仿宋" w:hAnsi="仿宋" w:eastAsia="仿宋"/>
          <w:sz w:val="28"/>
          <w:szCs w:val="28"/>
        </w:rPr>
        <w:t>2016年度决算66548.46万元，比2016年年初预算减少4796.75万元，下降6.72%，主要原因：一是我局所属事业单位市人才档案管理中心“办公场地租赁费”项目经实地调查研究后由局内统筹协调解决，项目经费已全部上交财政；二是按照2016年全市机关事业单位养老保险改革实施步骤要求职业年金由单位负担部分尚未支出，结余资金已上交财政。</w:t>
      </w:r>
    </w:p>
    <w:p w14:paraId="481F5A11">
      <w:pPr>
        <w:spacing w:line="360" w:lineRule="auto"/>
        <w:ind w:firstLine="560" w:firstLineChars="200"/>
        <w:rPr>
          <w:rFonts w:ascii="仿宋" w:hAnsi="仿宋" w:eastAsia="仿宋"/>
          <w:sz w:val="28"/>
          <w:szCs w:val="28"/>
        </w:rPr>
      </w:pPr>
      <w:r>
        <w:rPr>
          <w:rFonts w:hint="eastAsia" w:ascii="仿宋" w:hAnsi="仿宋" w:eastAsia="仿宋"/>
          <w:sz w:val="28"/>
          <w:szCs w:val="28"/>
        </w:rPr>
        <w:t>“行政事业单位离退休</w:t>
      </w:r>
      <w:r>
        <w:rPr>
          <w:rFonts w:ascii="仿宋" w:hAnsi="仿宋" w:eastAsia="仿宋"/>
          <w:sz w:val="28"/>
          <w:szCs w:val="28"/>
        </w:rPr>
        <w:t>”</w:t>
      </w:r>
      <w:r>
        <w:rPr>
          <w:rFonts w:hint="eastAsia" w:ascii="仿宋" w:hAnsi="仿宋" w:eastAsia="仿宋"/>
          <w:sz w:val="28"/>
          <w:szCs w:val="28"/>
        </w:rPr>
        <w:t>2016年度决算404.31万元，比2016年年初预算增加0.08万元，增长0.02%。</w:t>
      </w:r>
    </w:p>
    <w:p w14:paraId="3E2C5486">
      <w:pPr>
        <w:spacing w:line="360" w:lineRule="auto"/>
        <w:ind w:firstLine="560" w:firstLineChars="200"/>
        <w:rPr>
          <w:rFonts w:ascii="仿宋" w:hAnsi="仿宋" w:eastAsia="仿宋"/>
          <w:sz w:val="28"/>
          <w:szCs w:val="28"/>
        </w:rPr>
      </w:pPr>
      <w:r>
        <w:rPr>
          <w:rFonts w:hint="eastAsia" w:ascii="仿宋" w:hAnsi="仿宋" w:eastAsia="仿宋"/>
          <w:sz w:val="28"/>
          <w:szCs w:val="28"/>
        </w:rPr>
        <w:t>“其他社会保障和就业支出</w:t>
      </w:r>
      <w:r>
        <w:rPr>
          <w:rFonts w:ascii="仿宋" w:hAnsi="仿宋" w:eastAsia="仿宋"/>
          <w:sz w:val="28"/>
          <w:szCs w:val="28"/>
        </w:rPr>
        <w:t>”</w:t>
      </w:r>
      <w:r>
        <w:rPr>
          <w:rFonts w:hint="eastAsia" w:ascii="仿宋" w:hAnsi="仿宋" w:eastAsia="仿宋"/>
          <w:sz w:val="28"/>
          <w:szCs w:val="28"/>
        </w:rPr>
        <w:t>2016年度决算120万元，与2016年年初预算持平。</w:t>
      </w:r>
    </w:p>
    <w:p w14:paraId="6D9A526A">
      <w:pPr>
        <w:spacing w:line="360" w:lineRule="auto"/>
        <w:ind w:firstLine="420" w:firstLineChars="150"/>
        <w:rPr>
          <w:rFonts w:ascii="仿宋" w:hAnsi="仿宋" w:eastAsia="仿宋"/>
          <w:sz w:val="28"/>
          <w:szCs w:val="28"/>
        </w:rPr>
      </w:pPr>
      <w:r>
        <w:rPr>
          <w:rFonts w:hint="eastAsia" w:ascii="仿宋" w:hAnsi="仿宋" w:eastAsia="仿宋"/>
          <w:sz w:val="28"/>
          <w:szCs w:val="28"/>
        </w:rPr>
        <w:t xml:space="preserve"> 4、“医疗卫生与计划生育支出</w:t>
      </w:r>
      <w:r>
        <w:rPr>
          <w:rFonts w:ascii="仿宋" w:hAnsi="仿宋" w:eastAsia="仿宋"/>
          <w:sz w:val="28"/>
          <w:szCs w:val="28"/>
        </w:rPr>
        <w:t>”</w:t>
      </w:r>
      <w:r>
        <w:rPr>
          <w:rFonts w:hint="eastAsia" w:ascii="仿宋" w:hAnsi="仿宋" w:eastAsia="仿宋"/>
          <w:sz w:val="28"/>
          <w:szCs w:val="28"/>
        </w:rPr>
        <w:t>2016年度决算65020.62万元，比2016年年初预算增加62685.10万元，增加2683.99%，其中：</w:t>
      </w:r>
    </w:p>
    <w:p w14:paraId="70E890E2">
      <w:pPr>
        <w:ind w:firstLine="560" w:firstLineChars="200"/>
        <w:rPr>
          <w:rFonts w:ascii="仿宋" w:hAnsi="仿宋" w:eastAsia="仿宋"/>
          <w:sz w:val="28"/>
          <w:szCs w:val="28"/>
        </w:rPr>
      </w:pPr>
      <w:r>
        <w:rPr>
          <w:rFonts w:hint="eastAsia" w:ascii="仿宋" w:hAnsi="仿宋" w:eastAsia="仿宋"/>
          <w:sz w:val="28"/>
          <w:szCs w:val="28"/>
        </w:rPr>
        <w:t xml:space="preserve"> “医疗保障</w:t>
      </w:r>
      <w:r>
        <w:rPr>
          <w:rFonts w:ascii="仿宋" w:hAnsi="仿宋" w:eastAsia="仿宋"/>
          <w:sz w:val="28"/>
          <w:szCs w:val="28"/>
        </w:rPr>
        <w:t>”</w:t>
      </w:r>
      <w:r>
        <w:rPr>
          <w:rFonts w:hint="eastAsia" w:ascii="仿宋" w:hAnsi="仿宋" w:eastAsia="仿宋"/>
          <w:sz w:val="28"/>
          <w:szCs w:val="28"/>
        </w:rPr>
        <w:t>2016年度决算65020.62万元，比2016年预算增加62685.10万元，增加2683.99%，主要原因：2016年8月市财政拨付我局所属事业单位市医保中心中央财政转移支付资金“在京中央大专院校医疗标准费”62760.57万元，由于该项目在年中拨付，未在年初预算中批复，致使决算数比年初预算增长较大。</w:t>
      </w:r>
    </w:p>
    <w:p w14:paraId="24E788E1">
      <w:pPr>
        <w:tabs>
          <w:tab w:val="center" w:pos="6979"/>
        </w:tabs>
        <w:spacing w:line="360" w:lineRule="auto"/>
        <w:ind w:firstLine="548" w:firstLineChars="196"/>
        <w:rPr>
          <w:rFonts w:ascii="黑体" w:eastAsia="黑体"/>
          <w:sz w:val="28"/>
          <w:szCs w:val="28"/>
        </w:rPr>
      </w:pPr>
      <w:r>
        <w:rPr>
          <w:rFonts w:hint="eastAsia" w:ascii="黑体" w:eastAsia="黑体"/>
          <w:sz w:val="28"/>
          <w:szCs w:val="28"/>
        </w:rPr>
        <w:t>四、2016年度政府性基金预算财政拨款支出决算情况说明</w:t>
      </w:r>
    </w:p>
    <w:p w14:paraId="7A8F9F5A">
      <w:pPr>
        <w:autoSpaceDE w:val="0"/>
        <w:autoSpaceDN w:val="0"/>
        <w:adjustRightIn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无此项支出</w:t>
      </w:r>
    </w:p>
    <w:p w14:paraId="41A52233">
      <w:pPr>
        <w:spacing w:line="580" w:lineRule="exact"/>
        <w:ind w:firstLine="548" w:firstLineChars="196"/>
        <w:rPr>
          <w:rFonts w:ascii="黑体" w:eastAsia="黑体"/>
          <w:sz w:val="28"/>
          <w:szCs w:val="28"/>
        </w:rPr>
      </w:pPr>
      <w:r>
        <w:rPr>
          <w:rFonts w:hint="eastAsia" w:ascii="黑体" w:eastAsia="黑体"/>
          <w:sz w:val="28"/>
          <w:szCs w:val="28"/>
        </w:rPr>
        <w:t>五、2016年度财政拨款基本支出经济分类决算情况说明</w:t>
      </w:r>
    </w:p>
    <w:p w14:paraId="768FBFC8">
      <w:pPr>
        <w:autoSpaceDE w:val="0"/>
        <w:autoSpaceDN w:val="0"/>
        <w:adjustRightInd w:val="0"/>
        <w:spacing w:line="580" w:lineRule="exact"/>
        <w:ind w:firstLine="560" w:firstLineChars="200"/>
        <w:jc w:val="left"/>
        <w:rPr>
          <w:rFonts w:ascii="仿宋" w:hAnsi="仿宋" w:eastAsia="仿宋"/>
          <w:sz w:val="28"/>
          <w:szCs w:val="28"/>
        </w:rPr>
      </w:pPr>
      <w:r>
        <w:rPr>
          <w:rFonts w:hint="eastAsia" w:ascii="仿宋" w:hAnsi="仿宋" w:eastAsia="仿宋"/>
          <w:sz w:val="28"/>
          <w:szCs w:val="28"/>
        </w:rPr>
        <w:t>2016年本部门使用财政拨款安排基本支出44815.68万元，其中包括：（1）工资福利支出包括</w:t>
      </w:r>
      <w:r>
        <w:rPr>
          <w:rFonts w:ascii="仿宋" w:hAnsi="仿宋" w:eastAsia="仿宋"/>
          <w:sz w:val="28"/>
          <w:szCs w:val="28"/>
        </w:rPr>
        <w:t>津贴补贴、奖金、</w:t>
      </w:r>
      <w:r>
        <w:rPr>
          <w:rFonts w:hint="eastAsia" w:ascii="仿宋" w:hAnsi="仿宋" w:eastAsia="仿宋"/>
          <w:sz w:val="28"/>
          <w:szCs w:val="28"/>
        </w:rPr>
        <w:t>其他</w:t>
      </w:r>
      <w:r>
        <w:rPr>
          <w:rFonts w:ascii="仿宋" w:hAnsi="仿宋" w:eastAsia="仿宋"/>
          <w:sz w:val="28"/>
          <w:szCs w:val="28"/>
        </w:rPr>
        <w:t>社会保障缴费、伙食补助费、绩效工资、其他工资福利</w:t>
      </w:r>
      <w:r>
        <w:rPr>
          <w:rFonts w:hint="eastAsia" w:ascii="仿宋" w:hAnsi="仿宋" w:eastAsia="仿宋"/>
          <w:sz w:val="28"/>
          <w:szCs w:val="28"/>
        </w:rPr>
        <w:t>等</w:t>
      </w:r>
      <w:r>
        <w:rPr>
          <w:rFonts w:ascii="仿宋" w:hAnsi="仿宋" w:eastAsia="仿宋"/>
          <w:sz w:val="28"/>
          <w:szCs w:val="28"/>
        </w:rPr>
        <w:t>支出</w:t>
      </w:r>
      <w:r>
        <w:rPr>
          <w:rFonts w:hint="eastAsia" w:ascii="仿宋" w:hAnsi="仿宋" w:eastAsia="仿宋"/>
          <w:sz w:val="28"/>
          <w:szCs w:val="28"/>
        </w:rPr>
        <w:t>；（2）商品和服务支出包括</w:t>
      </w:r>
      <w:r>
        <w:rPr>
          <w:rFonts w:ascii="仿宋" w:hAnsi="仿宋" w:eastAsia="仿宋"/>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Pr>
          <w:rFonts w:hint="eastAsia" w:ascii="仿宋" w:hAnsi="仿宋" w:eastAsia="仿宋"/>
          <w:sz w:val="28"/>
          <w:szCs w:val="28"/>
        </w:rPr>
        <w:t>；（3）对个人和家庭补助支出包括</w:t>
      </w:r>
      <w:r>
        <w:rPr>
          <w:rFonts w:ascii="仿宋" w:hAnsi="仿宋" w:eastAsia="仿宋"/>
          <w:sz w:val="28"/>
          <w:szCs w:val="28"/>
        </w:rPr>
        <w:t>离休费、退休费、抚恤金、生活补助、医疗费、助学金、奖励金、住房公积金、提租补贴、购房补贴、其他对个人和家庭的补助</w:t>
      </w:r>
      <w:r>
        <w:rPr>
          <w:rFonts w:hint="eastAsia" w:ascii="仿宋" w:hAnsi="仿宋" w:eastAsia="仿宋"/>
          <w:sz w:val="28"/>
          <w:szCs w:val="28"/>
        </w:rPr>
        <w:t>等</w:t>
      </w:r>
      <w:r>
        <w:rPr>
          <w:rFonts w:ascii="仿宋" w:hAnsi="仿宋" w:eastAsia="仿宋"/>
          <w:sz w:val="28"/>
          <w:szCs w:val="28"/>
        </w:rPr>
        <w:t>支出</w:t>
      </w:r>
      <w:r>
        <w:rPr>
          <w:rFonts w:hint="eastAsia" w:ascii="仿宋" w:hAnsi="仿宋" w:eastAsia="仿宋"/>
          <w:sz w:val="28"/>
          <w:szCs w:val="28"/>
        </w:rPr>
        <w:t>。（4）其他资本性支出包括</w:t>
      </w:r>
      <w:r>
        <w:rPr>
          <w:rFonts w:ascii="仿宋" w:hAnsi="仿宋" w:eastAsia="仿宋"/>
          <w:sz w:val="28"/>
          <w:szCs w:val="28"/>
        </w:rPr>
        <w:t>办公设备购置、专用设备购置</w:t>
      </w:r>
      <w:r>
        <w:rPr>
          <w:rFonts w:hint="eastAsia" w:ascii="仿宋" w:hAnsi="仿宋" w:eastAsia="仿宋"/>
          <w:sz w:val="28"/>
          <w:szCs w:val="28"/>
        </w:rPr>
        <w:t>等</w:t>
      </w:r>
      <w:r>
        <w:rPr>
          <w:rFonts w:ascii="仿宋" w:hAnsi="仿宋" w:eastAsia="仿宋"/>
          <w:sz w:val="28"/>
          <w:szCs w:val="28"/>
        </w:rPr>
        <w:t>。</w:t>
      </w:r>
    </w:p>
    <w:p w14:paraId="6DE2263E">
      <w:pPr>
        <w:autoSpaceDE w:val="0"/>
        <w:autoSpaceDN w:val="0"/>
        <w:adjustRightInd w:val="0"/>
        <w:spacing w:line="580" w:lineRule="exact"/>
        <w:rPr>
          <w:rFonts w:ascii="宋体" w:hAnsi="宋体" w:cs="宋体"/>
          <w:b/>
          <w:bCs/>
          <w:spacing w:val="40"/>
          <w:kern w:val="0"/>
          <w:sz w:val="32"/>
          <w:szCs w:val="32"/>
        </w:rPr>
      </w:pPr>
    </w:p>
    <w:p w14:paraId="022F4A15">
      <w:pPr>
        <w:tabs>
          <w:tab w:val="center" w:pos="6979"/>
        </w:tabs>
        <w:rPr>
          <w:rFonts w:ascii="宋体" w:hAnsi="宋体" w:cs="宋体"/>
          <w:b/>
          <w:bCs/>
          <w:spacing w:val="40"/>
          <w:kern w:val="0"/>
          <w:sz w:val="32"/>
          <w:szCs w:val="32"/>
        </w:rPr>
      </w:pPr>
    </w:p>
    <w:p w14:paraId="7C2F73CF">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2016年度</w:t>
      </w:r>
      <w:r>
        <w:rPr>
          <w:rFonts w:hint="eastAsia" w:ascii="宋体" w:hAnsi="宋体" w:cs="宋体"/>
          <w:b/>
          <w:spacing w:val="40"/>
          <w:kern w:val="0"/>
          <w:sz w:val="32"/>
          <w:szCs w:val="32"/>
        </w:rPr>
        <w:t>其他重要事项的情况说明</w:t>
      </w:r>
    </w:p>
    <w:p w14:paraId="30258584">
      <w:pPr>
        <w:spacing w:line="560" w:lineRule="exact"/>
        <w:ind w:firstLine="560" w:firstLineChars="200"/>
        <w:rPr>
          <w:rFonts w:ascii="黑体" w:eastAsia="黑体"/>
          <w:sz w:val="28"/>
          <w:szCs w:val="28"/>
        </w:rPr>
      </w:pPr>
    </w:p>
    <w:p w14:paraId="5971AE20">
      <w:pPr>
        <w:spacing w:line="560" w:lineRule="exact"/>
        <w:ind w:firstLine="560" w:firstLineChars="200"/>
        <w:rPr>
          <w:rFonts w:ascii="黑体" w:eastAsia="黑体"/>
          <w:sz w:val="28"/>
          <w:szCs w:val="28"/>
        </w:rPr>
      </w:pPr>
      <w:r>
        <w:rPr>
          <w:rFonts w:hint="eastAsia" w:ascii="黑体" w:hAnsi="黑体" w:eastAsia="黑体" w:cs="仿宋"/>
          <w:color w:val="000000"/>
          <w:sz w:val="28"/>
          <w:szCs w:val="28"/>
        </w:rPr>
        <w:t>一、</w:t>
      </w:r>
      <w:r>
        <w:rPr>
          <w:rFonts w:hint="eastAsia" w:ascii="黑体" w:eastAsia="黑体"/>
          <w:sz w:val="28"/>
          <w:szCs w:val="28"/>
        </w:rPr>
        <w:t>“三公”经费财政拨款决算情况说明</w:t>
      </w:r>
    </w:p>
    <w:p w14:paraId="220408F6">
      <w:pPr>
        <w:spacing w:line="560" w:lineRule="exact"/>
        <w:ind w:firstLine="600"/>
        <w:rPr>
          <w:rFonts w:ascii="仿宋" w:hAnsi="仿宋" w:eastAsia="仿宋"/>
          <w:sz w:val="28"/>
          <w:szCs w:val="28"/>
        </w:rPr>
      </w:pPr>
      <w:r>
        <w:rPr>
          <w:rFonts w:hint="eastAsia" w:ascii="仿宋" w:hAnsi="仿宋" w:eastAsia="仿宋"/>
          <w:sz w:val="28"/>
          <w:szCs w:val="28"/>
        </w:rPr>
        <w:t>“三公”经费是指本部门通过财政拨款资金安排的因公出国（境）费、公务用车购置及运行费和公务接待费，包括所属1个行政单位、6个</w:t>
      </w:r>
      <w:r>
        <w:rPr>
          <w:rFonts w:ascii="仿宋" w:hAnsi="仿宋" w:eastAsia="仿宋"/>
          <w:sz w:val="28"/>
          <w:szCs w:val="28"/>
        </w:rPr>
        <w:t>参</w:t>
      </w:r>
      <w:r>
        <w:rPr>
          <w:rFonts w:hint="eastAsia" w:ascii="仿宋" w:hAnsi="仿宋" w:eastAsia="仿宋"/>
          <w:sz w:val="28"/>
          <w:szCs w:val="28"/>
        </w:rPr>
        <w:t>照</w:t>
      </w:r>
      <w:r>
        <w:rPr>
          <w:rFonts w:ascii="仿宋" w:hAnsi="仿宋" w:eastAsia="仿宋"/>
          <w:sz w:val="28"/>
          <w:szCs w:val="28"/>
        </w:rPr>
        <w:t>公务员法管理事业单位、</w:t>
      </w:r>
      <w:r>
        <w:rPr>
          <w:rFonts w:hint="eastAsia" w:ascii="仿宋" w:hAnsi="仿宋" w:eastAsia="仿宋"/>
          <w:sz w:val="28"/>
          <w:szCs w:val="28"/>
        </w:rPr>
        <w:t>16个事业单位。其中，</w:t>
      </w:r>
      <w:r>
        <w:rPr>
          <w:rFonts w:hint="eastAsia" w:ascii="仿宋" w:hAnsi="仿宋" w:eastAsia="仿宋"/>
          <w:b/>
          <w:sz w:val="28"/>
          <w:szCs w:val="28"/>
        </w:rPr>
        <w:t>因公出国（境）费</w:t>
      </w:r>
      <w:r>
        <w:rPr>
          <w:rFonts w:hint="eastAsia" w:ascii="仿宋" w:hAnsi="仿宋" w:eastAsia="仿宋"/>
          <w:sz w:val="28"/>
          <w:szCs w:val="28"/>
        </w:rPr>
        <w:t>指单位公务出国（境）的国际旅费、国外城市间交通费、住宿费、伙食费、培训费、公杂费等支出；</w:t>
      </w:r>
      <w:r>
        <w:rPr>
          <w:rFonts w:hint="eastAsia" w:ascii="仿宋" w:hAnsi="仿宋" w:eastAsia="仿宋"/>
          <w:b/>
          <w:sz w:val="28"/>
          <w:szCs w:val="28"/>
        </w:rPr>
        <w:t>公务用车购置及运行费</w:t>
      </w:r>
      <w:r>
        <w:rPr>
          <w:rFonts w:hint="eastAsia" w:ascii="仿宋" w:hAnsi="仿宋" w:eastAsia="仿宋"/>
          <w:sz w:val="28"/>
          <w:szCs w:val="28"/>
        </w:rPr>
        <w:t>指单位公务用车车辆购置支出（含车辆购置税）及单位按规定保留的公务用车租用费、燃料费、维修费、过路过桥费、保险费、安全奖励费等支出；</w:t>
      </w:r>
      <w:r>
        <w:rPr>
          <w:rFonts w:hint="eastAsia" w:ascii="仿宋" w:hAnsi="仿宋" w:eastAsia="仿宋"/>
          <w:b/>
          <w:sz w:val="28"/>
          <w:szCs w:val="28"/>
        </w:rPr>
        <w:t>公务接待费</w:t>
      </w:r>
      <w:r>
        <w:rPr>
          <w:rFonts w:hint="eastAsia" w:ascii="仿宋" w:hAnsi="仿宋" w:eastAsia="仿宋"/>
          <w:sz w:val="28"/>
          <w:szCs w:val="28"/>
        </w:rPr>
        <w:t>指单位按规定开支的各类公务接待（含外宾接待）支出。</w:t>
      </w:r>
    </w:p>
    <w:p w14:paraId="11276BD9">
      <w:pPr>
        <w:spacing w:line="360" w:lineRule="auto"/>
        <w:ind w:firstLine="600"/>
        <w:rPr>
          <w:rFonts w:ascii="仿宋" w:hAnsi="仿宋" w:eastAsia="仿宋" w:cs="仿宋"/>
          <w:color w:val="000000"/>
          <w:sz w:val="28"/>
          <w:szCs w:val="28"/>
        </w:rPr>
      </w:pPr>
      <w:r>
        <w:rPr>
          <w:rFonts w:hint="eastAsia" w:ascii="仿宋" w:hAnsi="仿宋" w:eastAsia="仿宋" w:cs="仿宋"/>
          <w:color w:val="000000"/>
          <w:sz w:val="28"/>
          <w:szCs w:val="28"/>
        </w:rPr>
        <w:t>2016年 “三公”经费财政拨款决算数444.39万元，比2016年“三公”经费财政拨款年初预算582.47万元减少138.08万元。其中：</w:t>
      </w:r>
    </w:p>
    <w:p w14:paraId="234E72CF">
      <w:pPr>
        <w:spacing w:line="360" w:lineRule="auto"/>
        <w:ind w:firstLine="600"/>
        <w:rPr>
          <w:rFonts w:ascii="仿宋" w:hAnsi="仿宋" w:eastAsia="仿宋" w:cs="仿宋"/>
          <w:color w:val="000000"/>
          <w:sz w:val="28"/>
          <w:szCs w:val="28"/>
        </w:rPr>
      </w:pPr>
      <w:r>
        <w:rPr>
          <w:rFonts w:hint="eastAsia" w:ascii="仿宋" w:hAnsi="仿宋" w:eastAsia="仿宋" w:cs="仿宋"/>
          <w:color w:val="000000"/>
          <w:sz w:val="28"/>
          <w:szCs w:val="28"/>
        </w:rPr>
        <w:t>1.因公出国（境）费用。2016年决算数169.98万元，比2016年年初预算数210万元减少40.02万元。主要原因：我局响应北京市号召，减少出国团组，压缩出国经费；2016年因公出国（境）费用主要用于开发高端外国专家资源，搭建高层次海外人才交流平台，开辟境外培训和海外人才引进渠道，同时，开展社会保障国际合作项目，京港、京澳、京台人才交流等相关公务活动和境外培训。2016年组织因公出国（境）团组11个、65人次，人均因公出国（境）费用2.62万元。</w:t>
      </w:r>
    </w:p>
    <w:p w14:paraId="3DA14E9A">
      <w:pPr>
        <w:spacing w:line="360" w:lineRule="auto"/>
        <w:ind w:firstLine="600"/>
        <w:rPr>
          <w:rFonts w:ascii="仿宋" w:hAnsi="仿宋" w:eastAsia="仿宋" w:cs="仿宋"/>
          <w:color w:val="000000"/>
          <w:sz w:val="28"/>
          <w:szCs w:val="28"/>
        </w:rPr>
      </w:pPr>
      <w:r>
        <w:rPr>
          <w:rFonts w:hint="eastAsia" w:ascii="仿宋" w:hAnsi="仿宋" w:eastAsia="仿宋" w:cs="仿宋"/>
          <w:color w:val="000000"/>
          <w:sz w:val="28"/>
          <w:szCs w:val="28"/>
        </w:rPr>
        <w:t>2.公务接待费。2016年决算数1.89万元，比2016年年初预算数10.08万元减少8.19万元。主要原因是</w:t>
      </w:r>
      <w:r>
        <w:rPr>
          <w:rFonts w:hint="eastAsia" w:ascii="仿宋" w:hAnsi="仿宋" w:eastAsia="仿宋"/>
          <w:sz w:val="28"/>
          <w:szCs w:val="28"/>
        </w:rPr>
        <w:t>贯彻落实中央八项规定，</w:t>
      </w:r>
      <w:r>
        <w:rPr>
          <w:rFonts w:hint="eastAsia" w:ascii="仿宋" w:hAnsi="仿宋" w:eastAsia="仿宋"/>
          <w:sz w:val="28"/>
          <w:szCs w:val="28"/>
          <w:lang w:eastAsia="zh-CN"/>
        </w:rPr>
        <w:t>厉行</w:t>
      </w:r>
      <w:r>
        <w:rPr>
          <w:rFonts w:hint="eastAsia" w:ascii="仿宋" w:hAnsi="仿宋" w:eastAsia="仿宋"/>
          <w:sz w:val="28"/>
          <w:szCs w:val="28"/>
        </w:rPr>
        <w:t>勤俭节约，减少公务接待，使公务接待费有所减少。</w:t>
      </w:r>
      <w:r>
        <w:rPr>
          <w:rFonts w:hint="eastAsia" w:ascii="仿宋" w:hAnsi="仿宋" w:eastAsia="仿宋" w:cs="仿宋"/>
          <w:color w:val="000000"/>
          <w:sz w:val="28"/>
          <w:szCs w:val="28"/>
        </w:rPr>
        <w:t>2016年公务接待费主要用于</w:t>
      </w:r>
      <w:r>
        <w:rPr>
          <w:rFonts w:hint="eastAsia" w:ascii="仿宋" w:hAnsi="仿宋" w:eastAsia="仿宋"/>
          <w:sz w:val="28"/>
          <w:szCs w:val="28"/>
        </w:rPr>
        <w:t>外单位办事人员午餐费、外省市人力社保相关人员来我局检查、考察、调研餐费。</w:t>
      </w:r>
      <w:r>
        <w:rPr>
          <w:rFonts w:hint="eastAsia" w:ascii="仿宋" w:hAnsi="仿宋" w:eastAsia="仿宋" w:cs="仿宋"/>
          <w:color w:val="000000"/>
          <w:sz w:val="28"/>
          <w:szCs w:val="28"/>
        </w:rPr>
        <w:t>国内公务接待58批次，公务接待977人次。</w:t>
      </w:r>
    </w:p>
    <w:p w14:paraId="032A62D7">
      <w:pPr>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3.公务用车购置及运行维护费。2016年决算数272.52万元，比2016年年初预算数362.39万元减少89.87万元。其中，公务用车购置费2016年决算数0万元，比2016年年初预算数0万元减少0万元。2016年购置0 辆，车均购置费0万元。公务用车运行维护费2016年决算数272.52万元，比2016年年初预算数362.39万元减少89.87万元，主要原因：</w:t>
      </w:r>
      <w:r>
        <w:rPr>
          <w:rFonts w:hint="eastAsia" w:ascii="仿宋" w:hAnsi="仿宋" w:eastAsia="仿宋"/>
          <w:sz w:val="28"/>
          <w:szCs w:val="28"/>
        </w:rPr>
        <w:t>贯彻落实北京市政府公务车改革精神，减少机动车运行成本</w:t>
      </w:r>
      <w:r>
        <w:rPr>
          <w:rFonts w:hint="eastAsia" w:ascii="仿宋" w:hAnsi="仿宋" w:eastAsia="仿宋" w:cs="仿宋"/>
          <w:color w:val="000000"/>
          <w:sz w:val="28"/>
          <w:szCs w:val="28"/>
        </w:rPr>
        <w:t>。2016年公务用车运行维护费中，公务用车加油51.06万元，公务用车维修69.41万元，公务用车保险37.09万元，公务用车其他支出114.95万元。2016年公务用车保有量126辆，扣除班车租赁费74.94万元，车均运行维护费1.57万元。</w:t>
      </w:r>
    </w:p>
    <w:p w14:paraId="00744737">
      <w:pPr>
        <w:spacing w:line="360" w:lineRule="auto"/>
        <w:ind w:firstLine="480"/>
        <w:rPr>
          <w:rFonts w:ascii="仿宋" w:hAnsi="仿宋" w:eastAsia="仿宋" w:cs="仿宋"/>
          <w:color w:val="000000"/>
          <w:sz w:val="28"/>
          <w:szCs w:val="28"/>
        </w:rPr>
      </w:pPr>
    </w:p>
    <w:p w14:paraId="700A5FCC">
      <w:pPr>
        <w:spacing w:line="360" w:lineRule="auto"/>
        <w:ind w:firstLine="480"/>
        <w:rPr>
          <w:rFonts w:ascii="仿宋" w:hAnsi="仿宋" w:eastAsia="仿宋" w:cs="仿宋"/>
          <w:color w:val="000000"/>
          <w:sz w:val="28"/>
          <w:szCs w:val="28"/>
        </w:rPr>
      </w:pPr>
    </w:p>
    <w:p w14:paraId="5E54C519">
      <w:pPr>
        <w:spacing w:line="360" w:lineRule="auto"/>
        <w:ind w:left="540"/>
        <w:rPr>
          <w:rFonts w:ascii="黑体" w:hAnsi="黑体" w:eastAsia="黑体" w:cs="仿宋"/>
          <w:color w:val="000000"/>
          <w:sz w:val="28"/>
          <w:szCs w:val="28"/>
        </w:rPr>
      </w:pPr>
      <w:r>
        <w:rPr>
          <w:rFonts w:hint="eastAsia" w:ascii="黑体" w:hAnsi="黑体" w:eastAsia="黑体" w:cs="仿宋"/>
          <w:color w:val="000000"/>
          <w:sz w:val="28"/>
          <w:szCs w:val="28"/>
        </w:rPr>
        <w:t>二、机关运行经费支出情况</w:t>
      </w:r>
    </w:p>
    <w:p w14:paraId="6090BFA3">
      <w:pPr>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2016年本部门行政单位（含参照公务员法管理事业单位）使用一般公共预算财政拨款安排的基本支出中的日常公用经费支出，合计2960.89万元，比上年增加391.53万元，增加原因：差旅费、取暖费等经费标准上调及物价上涨等因素造成机关运行经费有所增加。</w:t>
      </w:r>
      <w:r>
        <w:rPr>
          <w:rFonts w:ascii="仿宋" w:hAnsi="仿宋" w:eastAsia="仿宋" w:cs="仿宋"/>
          <w:color w:val="000000"/>
          <w:sz w:val="28"/>
          <w:szCs w:val="28"/>
        </w:rPr>
        <w:t xml:space="preserve"> </w:t>
      </w:r>
    </w:p>
    <w:p w14:paraId="20C968F0">
      <w:pPr>
        <w:ind w:firstLine="540" w:firstLineChars="192"/>
        <w:rPr>
          <w:rFonts w:ascii="仿宋" w:hAnsi="仿宋" w:eastAsia="仿宋" w:cs="仿宋"/>
          <w:color w:val="000000"/>
          <w:sz w:val="28"/>
          <w:szCs w:val="28"/>
        </w:rPr>
      </w:pPr>
      <w:r>
        <w:rPr>
          <w:rFonts w:hint="eastAsia" w:ascii="仿宋" w:hAnsi="仿宋" w:eastAsia="仿宋" w:cs="仿宋"/>
          <w:b/>
          <w:color w:val="000000"/>
          <w:sz w:val="28"/>
          <w:szCs w:val="28"/>
        </w:rPr>
        <w:t>机关运行经费：</w:t>
      </w:r>
      <w:r>
        <w:rPr>
          <w:rFonts w:hint="eastAsia" w:ascii="仿宋" w:hAnsi="仿宋" w:eastAsia="仿宋" w:cs="仿宋"/>
          <w:color w:val="000000"/>
          <w:sz w:val="28"/>
          <w:szCs w:val="28"/>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C31CB2">
      <w:pPr>
        <w:spacing w:line="360" w:lineRule="auto"/>
        <w:ind w:left="540"/>
        <w:rPr>
          <w:rFonts w:ascii="黑体" w:hAnsi="黑体" w:eastAsia="黑体" w:cs="仿宋"/>
          <w:color w:val="000000"/>
          <w:sz w:val="28"/>
          <w:szCs w:val="28"/>
        </w:rPr>
      </w:pPr>
      <w:r>
        <w:rPr>
          <w:rFonts w:hint="eastAsia" w:ascii="黑体" w:hAnsi="黑体" w:eastAsia="黑体" w:cs="仿宋"/>
          <w:color w:val="000000"/>
          <w:sz w:val="28"/>
          <w:szCs w:val="28"/>
        </w:rPr>
        <w:t>三、政府采购支出情况</w:t>
      </w:r>
    </w:p>
    <w:p w14:paraId="6B51546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2016年本部门政府采购支出总额35353.20万元，其中:政府采购货物支出3248.06万元，政府采购工程支出4041.07万元，政府采购服务支出28064.07万元。授予中小企业合同金额33576.08万元，占政府采购支出总额的94.97%，其中：授予小微企业合同金额6164.50万元，占政府采购支出总额的17.44%。</w:t>
      </w:r>
    </w:p>
    <w:p w14:paraId="7ADC8B6A">
      <w:pPr>
        <w:spacing w:line="360" w:lineRule="auto"/>
        <w:ind w:left="540"/>
        <w:rPr>
          <w:rFonts w:ascii="黑体" w:hAnsi="黑体" w:eastAsia="黑体" w:cs="仿宋"/>
          <w:color w:val="000000"/>
          <w:sz w:val="28"/>
          <w:szCs w:val="28"/>
        </w:rPr>
      </w:pPr>
      <w:r>
        <w:rPr>
          <w:rFonts w:hint="eastAsia" w:ascii="黑体" w:hAnsi="黑体" w:eastAsia="黑体" w:cs="仿宋"/>
          <w:color w:val="000000"/>
          <w:sz w:val="28"/>
          <w:szCs w:val="28"/>
        </w:rPr>
        <w:t>四、国有资产占用情况</w:t>
      </w:r>
    </w:p>
    <w:p w14:paraId="42E463A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 w:val="28"/>
          <w:szCs w:val="28"/>
        </w:rPr>
        <w:t>固定资产总额94467.42万元，其中：汽车133辆（包含1辆非财政资金供养公务车及6辆已经按车改要求上交但尚未完成核销手续的公务车）， 3241.72万元；</w:t>
      </w:r>
      <w:r>
        <w:rPr>
          <w:rFonts w:hint="eastAsia" w:ascii="仿宋" w:hAnsi="仿宋" w:eastAsia="仿宋" w:cs="仿宋"/>
          <w:color w:val="000000" w:themeColor="text1"/>
          <w:sz w:val="28"/>
          <w:szCs w:val="28"/>
          <w14:textFill>
            <w14:solidFill>
              <w14:schemeClr w14:val="tx1"/>
            </w14:solidFill>
          </w14:textFill>
        </w:rPr>
        <w:t>单价100万元以上的设备7台（套），1442.30万元。</w:t>
      </w:r>
    </w:p>
    <w:p w14:paraId="27393E69">
      <w:pPr>
        <w:spacing w:line="360" w:lineRule="auto"/>
        <w:ind w:left="540"/>
        <w:rPr>
          <w:rFonts w:ascii="黑体" w:hAnsi="黑体" w:eastAsia="黑体" w:cs="仿宋"/>
          <w:color w:val="000000"/>
          <w:sz w:val="28"/>
          <w:szCs w:val="28"/>
        </w:rPr>
      </w:pPr>
      <w:r>
        <w:rPr>
          <w:rFonts w:hint="eastAsia" w:ascii="黑体" w:hAnsi="黑体" w:eastAsia="黑体" w:cs="黑体"/>
          <w:color w:val="000000"/>
          <w:sz w:val="28"/>
          <w:szCs w:val="28"/>
        </w:rPr>
        <w:t xml:space="preserve"> </w:t>
      </w:r>
      <w:r>
        <w:rPr>
          <w:rFonts w:hint="eastAsia" w:ascii="黑体" w:hAnsi="黑体" w:eastAsia="黑体" w:cs="仿宋"/>
          <w:color w:val="000000"/>
          <w:sz w:val="28"/>
          <w:szCs w:val="28"/>
        </w:rPr>
        <w:t>五、国有资本经营预算财政拨款收支情况</w:t>
      </w:r>
    </w:p>
    <w:p w14:paraId="07B74E58">
      <w:pPr>
        <w:ind w:firstLine="700" w:firstLineChars="250"/>
        <w:rPr>
          <w:rFonts w:ascii="仿宋" w:hAnsi="仿宋" w:eastAsia="仿宋" w:cs="仿宋"/>
          <w:color w:val="000000"/>
          <w:sz w:val="28"/>
          <w:szCs w:val="28"/>
        </w:rPr>
      </w:pPr>
      <w:r>
        <w:rPr>
          <w:rFonts w:hint="eastAsia" w:ascii="仿宋" w:hAnsi="仿宋" w:eastAsia="仿宋" w:cs="仿宋"/>
          <w:color w:val="000000"/>
          <w:sz w:val="28"/>
          <w:szCs w:val="28"/>
        </w:rPr>
        <w:t>无此项支出</w:t>
      </w:r>
    </w:p>
    <w:p w14:paraId="0510D63A">
      <w:pPr>
        <w:ind w:firstLine="643" w:firstLineChars="200"/>
        <w:jc w:val="center"/>
        <w:rPr>
          <w:rFonts w:ascii="黑体" w:eastAsia="黑体"/>
          <w:b/>
          <w:sz w:val="32"/>
          <w:szCs w:val="32"/>
        </w:rPr>
      </w:pPr>
    </w:p>
    <w:p w14:paraId="1D452B7D">
      <w:pPr>
        <w:rPr>
          <w:rFonts w:ascii="黑体" w:eastAsia="黑体"/>
          <w:b/>
          <w:sz w:val="32"/>
          <w:szCs w:val="32"/>
        </w:rPr>
      </w:pPr>
    </w:p>
    <w:p w14:paraId="50D061B2">
      <w:pPr>
        <w:tabs>
          <w:tab w:val="center" w:pos="6979"/>
        </w:tabs>
        <w:jc w:val="center"/>
        <w:rPr>
          <w:rFonts w:ascii="宋体" w:hAnsi="宋体" w:cs="宋体"/>
          <w:b/>
          <w:bCs/>
          <w:spacing w:val="40"/>
          <w:kern w:val="0"/>
          <w:sz w:val="32"/>
          <w:szCs w:val="32"/>
        </w:rPr>
      </w:pPr>
      <w:r>
        <w:rPr>
          <w:rFonts w:hint="eastAsia" w:ascii="宋体" w:hAnsi="宋体" w:cs="宋体"/>
          <w:b/>
          <w:bCs/>
          <w:spacing w:val="40"/>
          <w:kern w:val="0"/>
          <w:sz w:val="32"/>
          <w:szCs w:val="32"/>
        </w:rPr>
        <w:t>第四部分  2016年度部门绩效评价情况</w:t>
      </w:r>
    </w:p>
    <w:p w14:paraId="1DF70AD4">
      <w:pPr>
        <w:ind w:firstLine="560" w:firstLineChars="200"/>
        <w:rPr>
          <w:rFonts w:ascii="黑体" w:eastAsia="黑体"/>
          <w:sz w:val="28"/>
          <w:szCs w:val="28"/>
        </w:rPr>
      </w:pPr>
    </w:p>
    <w:p w14:paraId="30B3CC3D">
      <w:pPr>
        <w:ind w:firstLine="560" w:firstLineChars="200"/>
        <w:rPr>
          <w:rFonts w:ascii="黑体" w:eastAsia="黑体"/>
          <w:sz w:val="28"/>
          <w:szCs w:val="28"/>
        </w:rPr>
      </w:pPr>
      <w:r>
        <w:rPr>
          <w:rFonts w:hint="eastAsia" w:ascii="黑体" w:eastAsia="黑体"/>
          <w:sz w:val="28"/>
          <w:szCs w:val="28"/>
        </w:rPr>
        <w:t>一、绩效评价工作开展情况。</w:t>
      </w:r>
    </w:p>
    <w:p w14:paraId="7BEDAB21">
      <w:pPr>
        <w:ind w:firstLine="537" w:firstLineChars="192"/>
        <w:rPr>
          <w:rFonts w:ascii="仿宋" w:hAnsi="仿宋" w:eastAsia="仿宋"/>
          <w:sz w:val="28"/>
          <w:szCs w:val="28"/>
        </w:rPr>
      </w:pPr>
      <w:r>
        <w:rPr>
          <w:rFonts w:ascii="仿宋" w:hAnsi="仿宋" w:eastAsia="仿宋"/>
          <w:sz w:val="28"/>
          <w:szCs w:val="28"/>
        </w:rPr>
        <w:t>201</w:t>
      </w:r>
      <w:r>
        <w:rPr>
          <w:rFonts w:hint="eastAsia" w:ascii="仿宋" w:hAnsi="仿宋" w:eastAsia="仿宋"/>
          <w:sz w:val="28"/>
          <w:szCs w:val="28"/>
        </w:rPr>
        <w:t>7年，北京市人力资源和社会保障局对</w:t>
      </w:r>
      <w:r>
        <w:rPr>
          <w:rFonts w:ascii="仿宋" w:hAnsi="仿宋" w:eastAsia="仿宋"/>
          <w:sz w:val="28"/>
          <w:szCs w:val="28"/>
        </w:rPr>
        <w:t>201</w:t>
      </w:r>
      <w:r>
        <w:rPr>
          <w:rFonts w:hint="eastAsia" w:ascii="仿宋" w:hAnsi="仿宋" w:eastAsia="仿宋"/>
          <w:sz w:val="28"/>
          <w:szCs w:val="28"/>
        </w:rPr>
        <w:t>6年度部门项目支出实施绩效评价，评价项目97个，占部门项目总数的37.02%，涉及金额59286.37万元。评价结果在100-90分(含90分)，能够按照预期绩效目标设定情况达到预期绩效目标的85个；评价结果在90-75分(含75分)，基本达成预期绩效指标且效果较好的项目12个。从评价情况来看，上述项目立项符合部门职责和相关管理规定，绩效目标合理；项目管理制度较健全完善，业务监控有效性较好，各项业务工作有序开展；财务管理制度规范，建立了相应的财务监控措施和手段，有效防控各类财务风险。我局通过开展部门绩效评价促进了各项职责的履行，提高了资金的使用效益。</w:t>
      </w:r>
    </w:p>
    <w:p w14:paraId="108FB610">
      <w:pPr>
        <w:ind w:firstLine="560" w:firstLineChars="200"/>
        <w:rPr>
          <w:rFonts w:ascii="黑体" w:eastAsia="黑体"/>
          <w:sz w:val="28"/>
          <w:szCs w:val="28"/>
        </w:rPr>
      </w:pPr>
      <w:r>
        <w:rPr>
          <w:rFonts w:hint="eastAsia" w:ascii="黑体" w:eastAsia="黑体"/>
          <w:sz w:val="28"/>
          <w:szCs w:val="28"/>
        </w:rPr>
        <w:t>二、“</w:t>
      </w:r>
      <w:r>
        <w:rPr>
          <w:rFonts w:ascii="黑体" w:eastAsia="黑体"/>
          <w:sz w:val="28"/>
          <w:szCs w:val="28"/>
        </w:rPr>
        <w:t>12333</w:t>
      </w:r>
      <w:r>
        <w:rPr>
          <w:rFonts w:hint="eastAsia" w:ascii="黑体" w:eastAsia="黑体"/>
          <w:sz w:val="28"/>
          <w:szCs w:val="28"/>
        </w:rPr>
        <w:t>电话咨询外包服务经费”项目绩效评价报告</w:t>
      </w:r>
    </w:p>
    <w:p w14:paraId="5A445C4D">
      <w:pPr>
        <w:pStyle w:val="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评价对象概况</w:t>
      </w:r>
    </w:p>
    <w:p w14:paraId="1E6CE707">
      <w:pPr>
        <w:ind w:firstLine="537" w:firstLineChars="192"/>
        <w:rPr>
          <w:rFonts w:ascii="仿宋" w:hAnsi="仿宋" w:eastAsia="仿宋"/>
          <w:sz w:val="28"/>
          <w:szCs w:val="28"/>
        </w:rPr>
      </w:pPr>
      <w:r>
        <w:rPr>
          <w:rFonts w:hint="eastAsia" w:ascii="仿宋" w:hAnsi="仿宋" w:eastAsia="仿宋"/>
          <w:sz w:val="28"/>
          <w:szCs w:val="28"/>
        </w:rPr>
        <w:t>该项目实施单位为我局所属北京市人力资源和社会保障局电话咨询服务中心，该单位成立于2002年8月，是全额拨款事业单位。其主要职责是以12333热线为代表，充分利用电话、传真、互联网、自动语音等现代化信息技术，向群众提供本市社会保障、促进就业、劳动关系、人事人才和办事指南方面的咨询服务。为提升12333热线服务能力，自2012年起该项目采用服务外包形式实施，并通过公开招标确定服务提供商为</w:t>
      </w:r>
      <w:r>
        <w:rPr>
          <w:rFonts w:ascii="仿宋" w:hAnsi="仿宋" w:eastAsia="仿宋"/>
          <w:sz w:val="28"/>
          <w:szCs w:val="28"/>
        </w:rPr>
        <w:t>北京北控电信通信息技术有限公司</w:t>
      </w:r>
      <w:r>
        <w:rPr>
          <w:rFonts w:hint="eastAsia" w:ascii="仿宋" w:hAnsi="仿宋" w:eastAsia="仿宋"/>
          <w:sz w:val="28"/>
          <w:szCs w:val="28"/>
        </w:rPr>
        <w:t>。</w:t>
      </w:r>
    </w:p>
    <w:p w14:paraId="2BDDDE68">
      <w:pPr>
        <w:rPr>
          <w:rFonts w:ascii="仿宋" w:hAnsi="仿宋" w:eastAsia="仿宋"/>
          <w:sz w:val="28"/>
          <w:szCs w:val="28"/>
        </w:rPr>
      </w:pPr>
      <w:r>
        <w:rPr>
          <w:rFonts w:ascii="仿宋" w:hAnsi="仿宋" w:eastAsia="仿宋"/>
          <w:sz w:val="28"/>
          <w:szCs w:val="28"/>
        </w:rPr>
        <w:t xml:space="preserve">    2016年12333热线咨询服务量突破300万件，共为市民提供咨询服务377万件，同比增长25%，继2015年之后再创12333热线开通以来服务量历史新高。</w:t>
      </w:r>
      <w:r>
        <w:rPr>
          <w:rFonts w:hint="eastAsia" w:ascii="仿宋" w:hAnsi="仿宋" w:eastAsia="仿宋"/>
          <w:sz w:val="28"/>
          <w:szCs w:val="28"/>
        </w:rPr>
        <w:t>2016年</w:t>
      </w:r>
      <w:r>
        <w:rPr>
          <w:rFonts w:ascii="仿宋" w:hAnsi="仿宋" w:eastAsia="仿宋"/>
          <w:sz w:val="28"/>
          <w:szCs w:val="28"/>
        </w:rPr>
        <w:t>该项目预算批复资金1449.10万元，资金实际到位1449.10万元，全部为</w:t>
      </w:r>
      <w:r>
        <w:rPr>
          <w:rFonts w:hint="eastAsia" w:ascii="仿宋" w:hAnsi="仿宋" w:eastAsia="仿宋"/>
          <w:sz w:val="28"/>
          <w:szCs w:val="28"/>
        </w:rPr>
        <w:t>市级</w:t>
      </w:r>
      <w:r>
        <w:rPr>
          <w:rFonts w:ascii="仿宋" w:hAnsi="仿宋" w:eastAsia="仿宋"/>
          <w:sz w:val="28"/>
          <w:szCs w:val="28"/>
        </w:rPr>
        <w:t>财政拨款。截止2016年12月31日项目实际支出1449.10万元，项目无结余。</w:t>
      </w:r>
    </w:p>
    <w:p w14:paraId="44E0274E">
      <w:pPr>
        <w:pStyle w:val="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评价结论</w:t>
      </w:r>
    </w:p>
    <w:p w14:paraId="43654D7C">
      <w:pPr>
        <w:ind w:firstLine="560" w:firstLineChars="200"/>
        <w:rPr>
          <w:rFonts w:ascii="仿宋" w:hAnsi="仿宋" w:eastAsia="仿宋"/>
          <w:sz w:val="28"/>
          <w:szCs w:val="28"/>
        </w:rPr>
      </w:pPr>
      <w:r>
        <w:rPr>
          <w:rFonts w:ascii="仿宋" w:hAnsi="仿宋" w:eastAsia="仿宋"/>
          <w:sz w:val="28"/>
          <w:szCs w:val="28"/>
        </w:rPr>
        <w:t>经评价，“12333电话咨询外包服务经费”项目综合评价得分88.04分，其中，项目决策13.62分，项目管理24.98分，项目绩效49.44分，绩效级别评定为“良好”。</w:t>
      </w:r>
    </w:p>
    <w:p w14:paraId="5FAEF0FC">
      <w:pPr>
        <w:pStyle w:val="9"/>
        <w:numPr>
          <w:ilvl w:val="0"/>
          <w:numId w:val="1"/>
        </w:numPr>
        <w:spacing w:line="360" w:lineRule="auto"/>
        <w:ind w:firstLineChars="0"/>
        <w:rPr>
          <w:rFonts w:ascii="仿宋" w:hAnsi="仿宋" w:eastAsia="仿宋"/>
          <w:sz w:val="28"/>
          <w:szCs w:val="28"/>
        </w:rPr>
      </w:pPr>
      <w:bookmarkStart w:id="0" w:name="_Toc454875004"/>
      <w:r>
        <w:rPr>
          <w:rFonts w:hint="eastAsia" w:ascii="仿宋" w:hAnsi="仿宋" w:eastAsia="仿宋"/>
          <w:sz w:val="28"/>
          <w:szCs w:val="28"/>
        </w:rPr>
        <w:t>存在问题</w:t>
      </w:r>
      <w:bookmarkEnd w:id="0"/>
    </w:p>
    <w:p w14:paraId="722F8DBA">
      <w:pPr>
        <w:ind w:left="426" w:leftChars="203" w:firstLine="140" w:firstLineChars="5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项目决策</w:t>
      </w:r>
    </w:p>
    <w:p w14:paraId="5ED04F63">
      <w:pPr>
        <w:ind w:firstLine="560" w:firstLineChars="200"/>
        <w:rPr>
          <w:rFonts w:ascii="仿宋" w:hAnsi="仿宋" w:eastAsia="仿宋"/>
          <w:sz w:val="28"/>
          <w:szCs w:val="28"/>
        </w:rPr>
      </w:pPr>
      <w:r>
        <w:rPr>
          <w:rFonts w:ascii="仿宋" w:hAnsi="仿宋" w:eastAsia="仿宋"/>
          <w:sz w:val="28"/>
          <w:szCs w:val="28"/>
        </w:rPr>
        <w:t>该项目绩效目标不够合理，部分目标设定明显低于实际合理水平。例如产出数量指标“预计全年咨询服务总量200万件次”，申报预算为207人年，按每人日接通80次电话每年240日计算全年咨询服务总量为397.44万件次， 预算申请与绩效目标设定存在明显偏差。且2015年电话中心全年咨询服务总量301.46万件次，而2016年全年咨询服务总量实际达到377万件次，目标设定明显低于合理水平。</w:t>
      </w:r>
    </w:p>
    <w:p w14:paraId="54A1D277">
      <w:pPr>
        <w:ind w:left="426" w:leftChars="203" w:firstLine="140" w:firstLineChars="5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项目管理</w:t>
      </w:r>
    </w:p>
    <w:p w14:paraId="79C002F6">
      <w:pPr>
        <w:ind w:firstLine="560" w:firstLineChars="200"/>
        <w:rPr>
          <w:rFonts w:ascii="仿宋" w:hAnsi="仿宋" w:eastAsia="仿宋"/>
          <w:sz w:val="28"/>
          <w:szCs w:val="28"/>
        </w:rPr>
      </w:pPr>
      <w:r>
        <w:rPr>
          <w:rFonts w:hint="eastAsia" w:ascii="仿宋" w:hAnsi="仿宋" w:eastAsia="仿宋"/>
          <w:sz w:val="28"/>
          <w:szCs w:val="28"/>
        </w:rPr>
        <w:t>一是，</w:t>
      </w:r>
      <w:r>
        <w:rPr>
          <w:rFonts w:ascii="仿宋" w:hAnsi="仿宋" w:eastAsia="仿宋"/>
          <w:sz w:val="28"/>
          <w:szCs w:val="28"/>
        </w:rPr>
        <w:t>预算编制不够准确</w:t>
      </w:r>
      <w:r>
        <w:rPr>
          <w:rFonts w:hint="eastAsia" w:ascii="仿宋" w:hAnsi="仿宋" w:eastAsia="仿宋"/>
          <w:sz w:val="28"/>
          <w:szCs w:val="28"/>
        </w:rPr>
        <w:t>。</w:t>
      </w:r>
      <w:r>
        <w:rPr>
          <w:rFonts w:ascii="仿宋" w:hAnsi="仿宋" w:eastAsia="仿宋"/>
          <w:sz w:val="28"/>
          <w:szCs w:val="28"/>
        </w:rPr>
        <w:t>该项目预算申报文本中填报“2016年12333热线咨询人员经费按照207人、5100元/人/月标准申报，共计1,266.84万元”，实际服务提供商安排人员应为160人左右，与预算申报明细不符。</w:t>
      </w:r>
      <w:r>
        <w:rPr>
          <w:rFonts w:hint="eastAsia" w:ascii="仿宋" w:hAnsi="仿宋" w:eastAsia="仿宋"/>
          <w:sz w:val="28"/>
          <w:szCs w:val="28"/>
        </w:rPr>
        <w:t>二是，</w:t>
      </w:r>
      <w:r>
        <w:rPr>
          <w:rFonts w:ascii="仿宋" w:hAnsi="仿宋" w:eastAsia="仿宋"/>
          <w:sz w:val="28"/>
          <w:szCs w:val="28"/>
        </w:rPr>
        <w:t>合同管理存在瑕疵</w:t>
      </w:r>
      <w:r>
        <w:rPr>
          <w:rFonts w:hint="eastAsia" w:ascii="仿宋" w:hAnsi="仿宋" w:eastAsia="仿宋"/>
          <w:sz w:val="28"/>
          <w:szCs w:val="28"/>
        </w:rPr>
        <w:t>。</w:t>
      </w:r>
      <w:r>
        <w:rPr>
          <w:rFonts w:ascii="仿宋" w:hAnsi="仿宋" w:eastAsia="仿宋"/>
          <w:sz w:val="28"/>
          <w:szCs w:val="28"/>
        </w:rPr>
        <w:t>由于预算批复时间、采购程序等客观原因，项目所签订的服务合同存在瑕疵：（1）签约日期为2016年7月5日，而合同有效期限为2016年1月1日至2016年12月31日。（2）合同约定“支付方式：合同生效10日内支付20%，余款采用季度付款方式，甲方根据《12333服务外包合同执行情况考核评估报告》的考核结果，于每季度次月向乙方支付服务外包经费。”。电话中心实际于8月支付第一、二季度外包经费；10月支付第三季度外包经费；12月支付第四季度外包经费。实际付款方式与合同约定方式不符。</w:t>
      </w:r>
    </w:p>
    <w:p w14:paraId="1081146C">
      <w:pPr>
        <w:ind w:left="426" w:leftChars="203" w:firstLine="140" w:firstLineChars="5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项目绩效</w:t>
      </w:r>
    </w:p>
    <w:p w14:paraId="5AB445B3">
      <w:pPr>
        <w:ind w:firstLine="560" w:firstLineChars="200"/>
        <w:rPr>
          <w:rFonts w:ascii="仿宋" w:hAnsi="仿宋" w:eastAsia="仿宋"/>
          <w:sz w:val="28"/>
          <w:szCs w:val="28"/>
        </w:rPr>
      </w:pPr>
      <w:r>
        <w:rPr>
          <w:rFonts w:ascii="仿宋" w:hAnsi="仿宋" w:eastAsia="仿宋"/>
          <w:sz w:val="28"/>
          <w:szCs w:val="28"/>
        </w:rPr>
        <w:t>满意度调查样本数量不足</w:t>
      </w:r>
      <w:r>
        <w:rPr>
          <w:rFonts w:hint="eastAsia" w:ascii="仿宋" w:hAnsi="仿宋" w:eastAsia="仿宋"/>
          <w:sz w:val="28"/>
          <w:szCs w:val="28"/>
        </w:rPr>
        <w:t>。</w:t>
      </w:r>
      <w:r>
        <w:rPr>
          <w:rFonts w:ascii="仿宋" w:hAnsi="仿宋" w:eastAsia="仿宋"/>
          <w:sz w:val="28"/>
          <w:szCs w:val="28"/>
        </w:rPr>
        <w:t>2016年电话中心电话回访600人次，与377万件的咨询服务量相比，电话回访的样本数量不足，选取的样本不能充分说明服务对象满意的情况。</w:t>
      </w:r>
    </w:p>
    <w:p w14:paraId="30E73FD4">
      <w:pPr>
        <w:spacing w:line="360" w:lineRule="auto"/>
        <w:ind w:firstLine="560" w:firstLineChars="200"/>
        <w:outlineLvl w:val="0"/>
        <w:rPr>
          <w:rFonts w:ascii="仿宋" w:hAnsi="仿宋" w:eastAsia="仿宋"/>
          <w:sz w:val="28"/>
          <w:szCs w:val="28"/>
        </w:rPr>
      </w:pPr>
      <w:bookmarkStart w:id="1" w:name="_Toc454875005"/>
      <w:r>
        <w:rPr>
          <w:rFonts w:hint="eastAsia" w:ascii="仿宋" w:hAnsi="仿宋" w:eastAsia="仿宋"/>
          <w:sz w:val="28"/>
          <w:szCs w:val="28"/>
        </w:rPr>
        <w:t>（四）建议</w:t>
      </w:r>
      <w:bookmarkEnd w:id="1"/>
    </w:p>
    <w:p w14:paraId="33828ABF">
      <w:pPr>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提高绩效目标的合理性，加强绩效目标的科学设置</w:t>
      </w:r>
    </w:p>
    <w:p w14:paraId="17D2B6C3">
      <w:pPr>
        <w:ind w:firstLine="560" w:firstLineChars="200"/>
        <w:rPr>
          <w:rFonts w:ascii="仿宋" w:hAnsi="仿宋" w:eastAsia="仿宋"/>
          <w:sz w:val="28"/>
          <w:szCs w:val="28"/>
        </w:rPr>
      </w:pPr>
      <w:r>
        <w:rPr>
          <w:rFonts w:ascii="仿宋" w:hAnsi="仿宋" w:eastAsia="仿宋"/>
          <w:sz w:val="28"/>
          <w:szCs w:val="28"/>
        </w:rPr>
        <w:t>建议理顺各绩效目标之间的数量关系，制定更加合理的绩效目标，目标制定时应依照往年实际达成情况和新年度工作要求进行合理的分析后得出更加合理的绩效目标，进一步延伸和拓展服务范围，下一步要在深化为民服务的基础上，增强为决策服务的功能，更好地反映社情民意，增强绩效目标的科学性，提高项目绩效科学化管理水平。</w:t>
      </w:r>
    </w:p>
    <w:p w14:paraId="01EA1B9F">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完善预算编制</w:t>
      </w:r>
    </w:p>
    <w:p w14:paraId="508BEDC8">
      <w:pPr>
        <w:ind w:firstLine="560" w:firstLineChars="200"/>
        <w:rPr>
          <w:rFonts w:ascii="仿宋" w:hAnsi="仿宋" w:eastAsia="仿宋"/>
          <w:sz w:val="28"/>
          <w:szCs w:val="28"/>
        </w:rPr>
      </w:pPr>
      <w:r>
        <w:rPr>
          <w:rFonts w:ascii="仿宋" w:hAnsi="仿宋" w:eastAsia="仿宋"/>
          <w:sz w:val="28"/>
          <w:szCs w:val="28"/>
        </w:rPr>
        <w:t>建议项目单位科学、准确的填报项目预算明细，在预算申报前应充分考虑项目实际的资金需求，并参照市场因素及市场机制，确认后形成预算明细并申报。为今后政府购买服务项目的信息化公开做好基础工作。</w:t>
      </w:r>
    </w:p>
    <w:p w14:paraId="505EF2EC">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完善合同管理</w:t>
      </w:r>
    </w:p>
    <w:p w14:paraId="436FBC74">
      <w:pPr>
        <w:ind w:firstLine="560" w:firstLineChars="200"/>
        <w:rPr>
          <w:rFonts w:ascii="仿宋" w:hAnsi="仿宋" w:eastAsia="仿宋"/>
          <w:sz w:val="28"/>
          <w:szCs w:val="28"/>
        </w:rPr>
      </w:pPr>
      <w:r>
        <w:rPr>
          <w:rFonts w:ascii="仿宋" w:hAnsi="仿宋" w:eastAsia="仿宋"/>
          <w:sz w:val="28"/>
          <w:szCs w:val="28"/>
        </w:rPr>
        <w:t>建议合同协议签订前应严格审核项目所涉条款，如因客观因素造成部分合同条款与实际明显不符时，应对条款进行修订。</w:t>
      </w:r>
    </w:p>
    <w:p w14:paraId="5F4D614A">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完善满意度评价系统</w:t>
      </w:r>
    </w:p>
    <w:p w14:paraId="66038486">
      <w:pPr>
        <w:ind w:firstLine="560" w:firstLineChars="200"/>
        <w:rPr>
          <w:rFonts w:ascii="仿宋" w:hAnsi="仿宋" w:eastAsia="仿宋"/>
          <w:sz w:val="28"/>
          <w:szCs w:val="28"/>
        </w:rPr>
      </w:pPr>
      <w:r>
        <w:rPr>
          <w:rFonts w:ascii="仿宋" w:hAnsi="仿宋" w:eastAsia="仿宋"/>
          <w:sz w:val="28"/>
          <w:szCs w:val="28"/>
        </w:rPr>
        <w:t>建议在电话热线结束后加入满意度评价，系统后台自动统计，提高项目的服务质量和服务水平。</w:t>
      </w:r>
    </w:p>
    <w:p w14:paraId="40BDEC5B">
      <w:pPr>
        <w:ind w:firstLine="560" w:firstLineChars="200"/>
        <w:rPr>
          <w:rFonts w:ascii="仿宋" w:hAnsi="仿宋" w:eastAsia="仿宋"/>
          <w:sz w:val="28"/>
          <w:szCs w:val="28"/>
        </w:rPr>
      </w:pPr>
    </w:p>
    <w:p w14:paraId="6D116FE8">
      <w:pPr>
        <w:ind w:firstLine="560" w:firstLineChars="200"/>
        <w:rPr>
          <w:rFonts w:ascii="仿宋" w:hAnsi="仿宋" w:eastAsia="仿宋"/>
          <w:sz w:val="28"/>
          <w:szCs w:val="28"/>
        </w:rPr>
      </w:pPr>
    </w:p>
    <w:p w14:paraId="771878B7">
      <w:pPr>
        <w:ind w:firstLine="560" w:firstLineChars="200"/>
        <w:rPr>
          <w:rFonts w:ascii="仿宋" w:hAnsi="仿宋" w:eastAsia="仿宋"/>
          <w:sz w:val="28"/>
          <w:szCs w:val="28"/>
        </w:rPr>
      </w:pPr>
    </w:p>
    <w:sectPr>
      <w:footerReference r:id="rId3" w:type="default"/>
      <w:pgSz w:w="16838" w:h="11906" w:orient="landscape"/>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7444">
    <w:pPr>
      <w:pStyle w:val="2"/>
      <w:jc w:val="center"/>
    </w:pPr>
  </w:p>
  <w:p w14:paraId="78F9F8D7">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31638"/>
    <w:multiLevelType w:val="multilevel"/>
    <w:tmpl w:val="6DC31638"/>
    <w:lvl w:ilvl="0" w:tentative="0">
      <w:start w:val="1"/>
      <w:numFmt w:val="japaneseCounting"/>
      <w:lvlText w:val="（%1）"/>
      <w:lvlJc w:val="left"/>
      <w:pPr>
        <w:ind w:left="1422" w:hanging="855"/>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47"/>
    <w:rsid w:val="00037A35"/>
    <w:rsid w:val="000625A6"/>
    <w:rsid w:val="00065ED5"/>
    <w:rsid w:val="00070C8A"/>
    <w:rsid w:val="00073875"/>
    <w:rsid w:val="000A6FD1"/>
    <w:rsid w:val="000C5396"/>
    <w:rsid w:val="000F3701"/>
    <w:rsid w:val="000F4556"/>
    <w:rsid w:val="001348D8"/>
    <w:rsid w:val="0016390A"/>
    <w:rsid w:val="001D186A"/>
    <w:rsid w:val="001D3FA3"/>
    <w:rsid w:val="001E3EA3"/>
    <w:rsid w:val="001E57A4"/>
    <w:rsid w:val="002103D7"/>
    <w:rsid w:val="002366AE"/>
    <w:rsid w:val="00246F52"/>
    <w:rsid w:val="00264F4E"/>
    <w:rsid w:val="002A07EE"/>
    <w:rsid w:val="002A411F"/>
    <w:rsid w:val="002B61BF"/>
    <w:rsid w:val="002D4BD5"/>
    <w:rsid w:val="002F6378"/>
    <w:rsid w:val="00303E8E"/>
    <w:rsid w:val="00323AAB"/>
    <w:rsid w:val="00346002"/>
    <w:rsid w:val="0038070C"/>
    <w:rsid w:val="003A2595"/>
    <w:rsid w:val="003B15D9"/>
    <w:rsid w:val="003E5E76"/>
    <w:rsid w:val="003F589F"/>
    <w:rsid w:val="004243F7"/>
    <w:rsid w:val="00460CDB"/>
    <w:rsid w:val="004650E8"/>
    <w:rsid w:val="0047078B"/>
    <w:rsid w:val="00471A9A"/>
    <w:rsid w:val="00475749"/>
    <w:rsid w:val="00493A53"/>
    <w:rsid w:val="004C1013"/>
    <w:rsid w:val="004C5E48"/>
    <w:rsid w:val="004E311D"/>
    <w:rsid w:val="004F4AA6"/>
    <w:rsid w:val="005302DF"/>
    <w:rsid w:val="005517C4"/>
    <w:rsid w:val="005677A4"/>
    <w:rsid w:val="00584CFD"/>
    <w:rsid w:val="005878E8"/>
    <w:rsid w:val="005A65B2"/>
    <w:rsid w:val="005A6AA3"/>
    <w:rsid w:val="0061381F"/>
    <w:rsid w:val="00646135"/>
    <w:rsid w:val="00660D5B"/>
    <w:rsid w:val="006662E7"/>
    <w:rsid w:val="0067449F"/>
    <w:rsid w:val="00686391"/>
    <w:rsid w:val="006F002A"/>
    <w:rsid w:val="006F1AC2"/>
    <w:rsid w:val="00704188"/>
    <w:rsid w:val="00705C77"/>
    <w:rsid w:val="00736CFC"/>
    <w:rsid w:val="00783641"/>
    <w:rsid w:val="007864BB"/>
    <w:rsid w:val="0079345E"/>
    <w:rsid w:val="007B5047"/>
    <w:rsid w:val="007D35F3"/>
    <w:rsid w:val="007D3F42"/>
    <w:rsid w:val="007E1714"/>
    <w:rsid w:val="007F6704"/>
    <w:rsid w:val="00806AC7"/>
    <w:rsid w:val="008265DD"/>
    <w:rsid w:val="00836EBC"/>
    <w:rsid w:val="00843A04"/>
    <w:rsid w:val="00867FCC"/>
    <w:rsid w:val="0089090D"/>
    <w:rsid w:val="00894E93"/>
    <w:rsid w:val="008B6806"/>
    <w:rsid w:val="008B7565"/>
    <w:rsid w:val="008C116A"/>
    <w:rsid w:val="00913BB7"/>
    <w:rsid w:val="009448DB"/>
    <w:rsid w:val="009A42D8"/>
    <w:rsid w:val="00A1249B"/>
    <w:rsid w:val="00A23DD3"/>
    <w:rsid w:val="00A33175"/>
    <w:rsid w:val="00A35524"/>
    <w:rsid w:val="00A64630"/>
    <w:rsid w:val="00B50332"/>
    <w:rsid w:val="00B64981"/>
    <w:rsid w:val="00B67AE3"/>
    <w:rsid w:val="00B7095D"/>
    <w:rsid w:val="00B77963"/>
    <w:rsid w:val="00B9681E"/>
    <w:rsid w:val="00B968C0"/>
    <w:rsid w:val="00BA258C"/>
    <w:rsid w:val="00BC7DA9"/>
    <w:rsid w:val="00BD15EE"/>
    <w:rsid w:val="00BE5EA8"/>
    <w:rsid w:val="00BF08CF"/>
    <w:rsid w:val="00C10C4E"/>
    <w:rsid w:val="00C44351"/>
    <w:rsid w:val="00C73D22"/>
    <w:rsid w:val="00C94937"/>
    <w:rsid w:val="00CA0912"/>
    <w:rsid w:val="00CB3324"/>
    <w:rsid w:val="00CF10D5"/>
    <w:rsid w:val="00CF113D"/>
    <w:rsid w:val="00CF2C38"/>
    <w:rsid w:val="00D42458"/>
    <w:rsid w:val="00D55881"/>
    <w:rsid w:val="00D93F42"/>
    <w:rsid w:val="00DD3D9D"/>
    <w:rsid w:val="00DE0932"/>
    <w:rsid w:val="00DF5205"/>
    <w:rsid w:val="00E21310"/>
    <w:rsid w:val="00E42AC6"/>
    <w:rsid w:val="00ED726D"/>
    <w:rsid w:val="00F0132A"/>
    <w:rsid w:val="00F04817"/>
    <w:rsid w:val="00F26F42"/>
    <w:rsid w:val="00F30356"/>
    <w:rsid w:val="00F8172A"/>
    <w:rsid w:val="00F82912"/>
    <w:rsid w:val="00FD371A"/>
    <w:rsid w:val="00FD44E2"/>
    <w:rsid w:val="00FD7A48"/>
    <w:rsid w:val="00FF1DD7"/>
    <w:rsid w:val="00FF2DC8"/>
    <w:rsid w:val="499529C2"/>
    <w:rsid w:val="FDBF9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w:basedOn w:val="1"/>
    <w:qFormat/>
    <w:uiPriority w:val="0"/>
    <w:rPr>
      <w:rFonts w:ascii="Times New Roman" w:hAnsi="Times New Roman" w:cs="Times New Roman"/>
      <w:szCs w:val="20"/>
    </w:rPr>
  </w:style>
  <w:style w:type="character" w:customStyle="1" w:styleId="7">
    <w:name w:val="页眉 Char"/>
    <w:basedOn w:val="5"/>
    <w:link w:val="3"/>
    <w:qFormat/>
    <w:uiPriority w:val="99"/>
    <w:rPr>
      <w:rFonts w:ascii="Calibri" w:hAnsi="Calibri" w:eastAsia="宋体" w:cs="Calibri"/>
      <w:sz w:val="18"/>
      <w:szCs w:val="18"/>
    </w:rPr>
  </w:style>
  <w:style w:type="character" w:customStyle="1" w:styleId="8">
    <w:name w:val="页脚 Char"/>
    <w:basedOn w:val="5"/>
    <w:link w:val="2"/>
    <w:uiPriority w:val="99"/>
    <w:rPr>
      <w:rFonts w:ascii="Calibri" w:hAnsi="Calibri" w:eastAsia="宋体" w:cs="Calibri"/>
      <w:sz w:val="18"/>
      <w:szCs w:val="18"/>
    </w:rPr>
  </w:style>
  <w:style w:type="paragraph" w:styleId="9">
    <w:name w:val="List Paragraph"/>
    <w:basedOn w:val="1"/>
    <w:qFormat/>
    <w:uiPriority w:val="34"/>
    <w:pPr>
      <w:ind w:firstLine="420" w:firstLineChars="200"/>
    </w:pPr>
  </w:style>
  <w:style w:type="paragraph" w:styleId="10">
    <w:name w:val="No Spacing"/>
    <w:link w:val="11"/>
    <w:qFormat/>
    <w:uiPriority w:val="1"/>
    <w:rPr>
      <w:rFonts w:asciiTheme="minorHAnsi" w:hAnsiTheme="minorHAnsi" w:eastAsiaTheme="minorEastAsia" w:cstheme="minorBidi"/>
      <w:kern w:val="0"/>
      <w:sz w:val="22"/>
      <w:szCs w:val="22"/>
      <w:lang w:val="en-US" w:eastAsia="zh-CN" w:bidi="ar-SA"/>
    </w:rPr>
  </w:style>
  <w:style w:type="character" w:customStyle="1" w:styleId="11">
    <w:name w:val="无间隔 Char"/>
    <w:basedOn w:val="5"/>
    <w:link w:val="10"/>
    <w:uiPriority w:val="1"/>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6566</Words>
  <Characters>7560</Characters>
  <Lines>55</Lines>
  <Paragraphs>15</Paragraphs>
  <TotalTime>2031</TotalTime>
  <ScaleCrop>false</ScaleCrop>
  <LinksUpToDate>false</LinksUpToDate>
  <CharactersWithSpaces>7631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2017-06-05T14:12:00Z</dcterms:created>
  <dc:creator>User</dc:creator>
  <cp:lastModifiedBy>الجهل</cp:lastModifiedBy>
  <cp:lastPrinted>2017-08-11T09:56:00Z</cp:lastPrinted>
  <dcterms:modified xsi:type="dcterms:W3CDTF">2026-05-07T09:35:50Z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D464E924943B47BEB200A22D01B7403A_13</vt:lpwstr>
  </property>
  <property fmtid="{D5CDD505-2E9C-101B-9397-08002B2CF9AE}" pid="4" name="KSOTemplateDocerSaveRecord">
    <vt:lpwstr>eyJoZGlkIjoiM2IyZmM3ZWNhYjE5NDE5ZjZkMzI4ZTllZGJjMGM5YjUiLCJ1c2VySWQiOiI0MTM0OTIzMjcifQ==</vt:lpwstr>
  </property>
</Properties>
</file>