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rPr>
          <w:rFonts w:ascii="黑体" w:hAnsi="黑体" w:eastAsia="黑体" w:cs="方正小标宋简体"/>
          <w:sz w:val="44"/>
          <w:szCs w:val="44"/>
          <w:lang w:val="en"/>
        </w:rPr>
      </w:pPr>
      <w:r>
        <w:rPr>
          <w:rFonts w:hint="eastAsia" w:ascii="黑体" w:hAnsi="黑体" w:eastAsia="黑体" w:cs="方正黑体_GBK"/>
          <w:sz w:val="32"/>
          <w:szCs w:val="32"/>
        </w:rPr>
        <w:t xml:space="preserve">附件1 </w:t>
      </w:r>
      <w:r>
        <w:rPr>
          <w:rFonts w:ascii="黑体" w:hAnsi="黑体" w:eastAsia="黑体" w:cs="方正黑体_GBK"/>
          <w:sz w:val="32"/>
          <w:szCs w:val="32"/>
          <w:lang w:val="en"/>
        </w:rPr>
        <w:t xml:space="preserve">                            </w:t>
      </w:r>
    </w:p>
    <w:p>
      <w:pPr>
        <w:pStyle w:val="7"/>
        <w:widowControl/>
        <w:spacing w:before="0" w:beforeAutospacing="0" w:after="0" w:afterAutospacing="0" w:line="560" w:lineRule="exact"/>
        <w:jc w:val="center"/>
        <w:rPr>
          <w:rFonts w:ascii="方正小标宋简体" w:hAnsi="方正小标宋简体" w:eastAsia="方正小标宋简体" w:cs="方正小标宋简体"/>
          <w:kern w:val="2"/>
          <w:sz w:val="44"/>
          <w:szCs w:val="44"/>
          <w:lang w:val="en"/>
        </w:rPr>
      </w:pPr>
    </w:p>
    <w:p>
      <w:pPr>
        <w:pStyle w:val="7"/>
        <w:widowControl/>
        <w:spacing w:before="0" w:beforeAutospacing="0" w:after="0" w:afterAutospacing="0" w:line="560" w:lineRule="exact"/>
        <w:jc w:val="center"/>
        <w:rPr>
          <w:rFonts w:ascii="方正小标宋简体" w:hAnsi="方正小标宋简体" w:eastAsia="方正小标宋简体" w:cs="方正小标宋简体"/>
          <w:kern w:val="2"/>
          <w:sz w:val="44"/>
          <w:szCs w:val="44"/>
          <w:lang w:val="en"/>
        </w:rPr>
      </w:pPr>
      <w:r>
        <w:rPr>
          <w:rFonts w:hint="eastAsia" w:ascii="方正小标宋简体" w:hAnsi="方正小标宋简体" w:eastAsia="方正小标宋简体" w:cs="方正小标宋简体"/>
          <w:kern w:val="2"/>
          <w:sz w:val="44"/>
          <w:szCs w:val="44"/>
          <w:lang w:val="en"/>
        </w:rPr>
        <w:t>北京市技工院校教师职业能力</w:t>
      </w:r>
    </w:p>
    <w:p>
      <w:pPr>
        <w:pStyle w:val="7"/>
        <w:widowControl/>
        <w:spacing w:before="0" w:beforeAutospacing="0" w:after="0" w:afterAutospacing="0" w:line="560" w:lineRule="exact"/>
        <w:jc w:val="center"/>
        <w:rPr>
          <w:rFonts w:ascii="方正小标宋简体" w:hAnsi="方正小标宋简体" w:eastAsia="方正小标宋简体" w:cs="方正小标宋简体"/>
          <w:kern w:val="2"/>
          <w:sz w:val="44"/>
          <w:szCs w:val="44"/>
          <w:lang w:val="en"/>
        </w:rPr>
      </w:pPr>
      <w:r>
        <w:rPr>
          <w:rFonts w:hint="eastAsia" w:ascii="方正小标宋简体" w:hAnsi="方正小标宋简体" w:eastAsia="方正小标宋简体" w:cs="方正小标宋简体"/>
          <w:kern w:val="2"/>
          <w:sz w:val="44"/>
          <w:szCs w:val="44"/>
          <w:lang w:val="en"/>
        </w:rPr>
        <w:t>提升行动实施方案</w:t>
      </w:r>
    </w:p>
    <w:p>
      <w:pPr>
        <w:suppressAutoHyphens/>
        <w:spacing w:line="540" w:lineRule="exact"/>
        <w:rPr>
          <w:sz w:val="32"/>
          <w:szCs w:val="32"/>
          <w:lang w:val="en"/>
        </w:rPr>
      </w:pPr>
    </w:p>
    <w:p>
      <w:pPr>
        <w:suppressAutoHyphens/>
        <w:spacing w:line="540" w:lineRule="exact"/>
        <w:ind w:firstLine="640" w:firstLineChars="200"/>
        <w:rPr>
          <w:rFonts w:ascii="黑体" w:hAnsi="黑体" w:eastAsia="黑体" w:cs="方正黑体_GBK"/>
          <w:sz w:val="32"/>
          <w:szCs w:val="32"/>
          <w:lang w:val="en"/>
        </w:rPr>
      </w:pPr>
      <w:r>
        <w:rPr>
          <w:rFonts w:hint="eastAsia" w:ascii="黑体" w:hAnsi="黑体" w:eastAsia="黑体" w:cs="方正黑体_GBK"/>
          <w:sz w:val="32"/>
          <w:szCs w:val="32"/>
          <w:lang w:val="en"/>
        </w:rPr>
        <w:t>一、总体要求</w:t>
      </w:r>
    </w:p>
    <w:p>
      <w:pPr>
        <w:suppressAutoHyphens/>
        <w:spacing w:line="54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以习近平新时代中国特色社会主义思想为指导，全面贯彻党的二十大精神，</w:t>
      </w:r>
      <w:r>
        <w:rPr>
          <w:rFonts w:hint="eastAsia" w:ascii="仿宋_GB2312" w:hAnsi="方正仿宋_GBK" w:eastAsia="仿宋_GB2312" w:cs="方正仿宋_GBK"/>
          <w:sz w:val="32"/>
          <w:szCs w:val="32"/>
          <w:lang w:val="en"/>
        </w:rPr>
        <w:t>深入贯彻</w:t>
      </w:r>
      <w:r>
        <w:rPr>
          <w:rFonts w:hint="eastAsia" w:ascii="仿宋_GB2312" w:hAnsi="方正仿宋_GBK" w:eastAsia="仿宋_GB2312" w:cs="方正仿宋_GBK"/>
          <w:color w:val="000000"/>
          <w:sz w:val="32"/>
          <w:szCs w:val="32"/>
        </w:rPr>
        <w:t>习近平总书记关于大力发展技工教育</w:t>
      </w:r>
      <w:r>
        <w:rPr>
          <w:rFonts w:hint="eastAsia" w:ascii="仿宋_GB2312" w:hAnsi="方正仿宋_GBK" w:eastAsia="仿宋_GB2312" w:cs="方正仿宋_GBK"/>
          <w:color w:val="000000"/>
          <w:sz w:val="32"/>
          <w:szCs w:val="32"/>
          <w:lang w:val="en"/>
        </w:rPr>
        <w:t>及</w:t>
      </w:r>
      <w:r>
        <w:rPr>
          <w:rFonts w:ascii="仿宋_GB2312" w:hAnsi="方正仿宋_GBK" w:eastAsia="仿宋_GB2312" w:cs="方正仿宋_GBK"/>
          <w:color w:val="000000"/>
          <w:sz w:val="32"/>
          <w:szCs w:val="32"/>
          <w:lang w:val="en"/>
        </w:rPr>
        <w:t>强教必先强师</w:t>
      </w:r>
      <w:r>
        <w:rPr>
          <w:rFonts w:hint="eastAsia" w:ascii="仿宋_GB2312" w:hAnsi="方正仿宋_GBK" w:eastAsia="仿宋_GB2312" w:cs="方正仿宋_GBK"/>
          <w:color w:val="000000"/>
          <w:sz w:val="32"/>
          <w:szCs w:val="32"/>
        </w:rPr>
        <w:t>的重要指示精神，落实中央及我市关于加强新时代高技能人才队伍建设、深化现代职业教育体系建设改革的意见，</w:t>
      </w:r>
      <w:r>
        <w:rPr>
          <w:rFonts w:hint="eastAsia" w:ascii="仿宋_GB2312" w:hAnsi="方正仿宋_GBK" w:eastAsia="仿宋_GB2312" w:cs="方正仿宋_GBK"/>
          <w:sz w:val="32"/>
          <w:szCs w:val="32"/>
        </w:rPr>
        <w:t>以</w:t>
      </w:r>
      <w:r>
        <w:rPr>
          <w:rFonts w:hint="eastAsia" w:ascii="仿宋_GB2312" w:hAnsi="仿宋" w:eastAsia="仿宋_GB2312"/>
          <w:sz w:val="32"/>
          <w:szCs w:val="32"/>
        </w:rPr>
        <w:t>提升技工院校</w:t>
      </w:r>
      <w:r>
        <w:rPr>
          <w:rFonts w:hint="eastAsia" w:ascii="仿宋_GB2312" w:hAnsi="方正仿宋_GBK" w:eastAsia="仿宋_GB2312" w:cs="方正仿宋_GBK"/>
          <w:sz w:val="32"/>
          <w:szCs w:val="32"/>
        </w:rPr>
        <w:t>教师职业能力</w:t>
      </w:r>
      <w:r>
        <w:rPr>
          <w:rFonts w:hint="eastAsia" w:ascii="仿宋_GB2312" w:hAnsi="仿宋" w:eastAsia="仿宋_GB2312"/>
          <w:sz w:val="32"/>
          <w:szCs w:val="32"/>
        </w:rPr>
        <w:t>水平为目标，</w:t>
      </w:r>
      <w:r>
        <w:rPr>
          <w:rFonts w:hint="eastAsia" w:ascii="仿宋_GB2312" w:hAnsi="方正仿宋_GBK" w:eastAsia="仿宋_GB2312" w:cs="方正仿宋_GBK"/>
          <w:sz w:val="32"/>
          <w:szCs w:val="32"/>
        </w:rPr>
        <w:t>构建“工匠之师培养+教师能力大赛+师资提升培训+教学</w:t>
      </w:r>
      <w:r>
        <w:rPr>
          <w:rFonts w:ascii="仿宋_GB2312" w:hAnsi="方正仿宋_GBK" w:eastAsia="仿宋_GB2312" w:cs="方正仿宋_GBK"/>
          <w:sz w:val="32"/>
          <w:szCs w:val="32"/>
          <w:lang w:val="en"/>
        </w:rPr>
        <w:t>指导</w:t>
      </w:r>
      <w:r>
        <w:rPr>
          <w:rFonts w:hint="eastAsia" w:ascii="仿宋_GB2312" w:hAnsi="方正仿宋_GBK" w:eastAsia="仿宋_GB2312" w:cs="方正仿宋_GBK"/>
          <w:sz w:val="32"/>
          <w:szCs w:val="32"/>
        </w:rPr>
        <w:t>委员会建设”的教师职业能力提升工作机制，形成一支师德高尚、业务精湛、结构合理、充满活力的高素质专业化技工教育教师队伍，更好地服务技能人才成长，为促进就业创业、服务企业行业、助推首都经济高质量发展发挥积极作用。</w:t>
      </w:r>
    </w:p>
    <w:p>
      <w:pPr>
        <w:numPr>
          <w:ilvl w:val="0"/>
          <w:numId w:val="1"/>
        </w:numPr>
        <w:suppressAutoHyphens/>
        <w:spacing w:line="54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实施内容</w:t>
      </w:r>
    </w:p>
    <w:p>
      <w:pPr>
        <w:suppressAutoHyphens/>
        <w:spacing w:line="540" w:lineRule="exact"/>
        <w:ind w:firstLine="640" w:firstLineChars="200"/>
        <w:rPr>
          <w:rFonts w:ascii="仿宋_GB2312" w:hAnsi="方正仿宋_GBK" w:eastAsia="仿宋_GB2312" w:cs="方正仿宋_GBK"/>
          <w:sz w:val="32"/>
          <w:szCs w:val="32"/>
        </w:rPr>
      </w:pPr>
      <w:r>
        <w:rPr>
          <w:rFonts w:hint="eastAsia" w:ascii="楷体" w:hAnsi="楷体" w:eastAsia="楷体" w:cs="方正楷体_GBK"/>
          <w:sz w:val="32"/>
          <w:szCs w:val="32"/>
        </w:rPr>
        <w:t>（一）实施高水平工匠之师培养工程，大力开展一体化教师梯队培养。</w:t>
      </w:r>
      <w:r>
        <w:rPr>
          <w:rFonts w:hint="eastAsia" w:ascii="仿宋_GB2312" w:hAnsi="方正仿宋_GBK" w:eastAsia="仿宋_GB2312" w:cs="方正仿宋_GBK"/>
          <w:sz w:val="32"/>
          <w:szCs w:val="32"/>
        </w:rPr>
        <w:t xml:space="preserve">以落实人力资源社会保障部《推进技工院校工学一体化技能人才培养模式实施方案》任务为重点，以培养一批在全国及本市技工教育领域具有影响力的高水平工学一体化教师队伍为目标，每两年开展一次工匠名师、匠师带头人、优秀骨干匠师、优秀匠师团队的选拔工作，并对入选对象实行2-3年期项目制培养。入选对象与所在技工院校围绕工学一体化技能人才培养模式改革任务，编制个性化成长（建设）方案和任务书，分别确定整体绩效目标和年度绩效目标，开展培养工作。 </w:t>
      </w:r>
    </w:p>
    <w:p>
      <w:pPr>
        <w:suppressAutoHyphens/>
        <w:spacing w:line="540" w:lineRule="exact"/>
        <w:ind w:firstLine="640" w:firstLineChars="200"/>
        <w:rPr>
          <w:rFonts w:ascii="仿宋_GB2312" w:hAnsi="方正仿宋_GBK" w:eastAsia="仿宋_GB2312" w:cs="方正仿宋_GBK"/>
          <w:sz w:val="32"/>
          <w:szCs w:val="32"/>
        </w:rPr>
      </w:pPr>
      <w:r>
        <w:rPr>
          <w:rFonts w:hint="eastAsia" w:ascii="楷体" w:hAnsi="楷体" w:eastAsia="楷体" w:cs="方正楷体_GBK"/>
          <w:sz w:val="32"/>
          <w:szCs w:val="32"/>
        </w:rPr>
        <w:t>（二）举办技工院校教师职业能力大赛，不断增强教师立德树人本领。</w:t>
      </w:r>
      <w:r>
        <w:rPr>
          <w:rFonts w:hint="eastAsia" w:ascii="Times New Roman" w:eastAsia="仿宋_GB2312"/>
          <w:color w:val="000000"/>
          <w:sz w:val="32"/>
          <w:szCs w:val="32"/>
        </w:rPr>
        <w:t>坚持以赛促学、以赛促教、以赛促培，</w:t>
      </w:r>
      <w:r>
        <w:rPr>
          <w:rFonts w:hint="eastAsia" w:ascii="仿宋_GB2312" w:hAnsi="方正仿宋_GBK" w:eastAsia="仿宋_GB2312" w:cs="方正仿宋_GBK"/>
          <w:sz w:val="32"/>
          <w:szCs w:val="32"/>
        </w:rPr>
        <w:t>建立北京市技工院校教师职业能力大赛制度，设立教育教学赛和教研成果赛两个赛项，分别于单数年和双数年开展。其中，教育教学赛参照全国技工院校教师职业能力大赛设置专业教学赛和班主任赛类别，教研成果赛根据教研实践设置优质课堂、精品课程、课程思政案例、论文等类别。每个类别设一、二、三等奖，所获奖项按照相关规定作为参赛教师在评优评先、职称评审等方面的依据。</w:t>
      </w:r>
    </w:p>
    <w:p>
      <w:pPr>
        <w:suppressAutoHyphens/>
        <w:spacing w:line="540" w:lineRule="exact"/>
        <w:ind w:firstLine="640" w:firstLineChars="200"/>
        <w:rPr>
          <w:rFonts w:ascii="仿宋_GB2312" w:hAnsi="方正仿宋_GBK" w:eastAsia="仿宋_GB2312" w:cs="方正仿宋_GBK"/>
          <w:sz w:val="32"/>
          <w:szCs w:val="32"/>
        </w:rPr>
      </w:pPr>
      <w:r>
        <w:rPr>
          <w:rFonts w:hint="eastAsia" w:ascii="楷体" w:hAnsi="楷体" w:eastAsia="楷体" w:cs="方正楷体_GBK"/>
          <w:sz w:val="32"/>
          <w:szCs w:val="32"/>
        </w:rPr>
        <w:t>（三）开展技工院校教师职业能力提升系列培训，全面提升教师职业素养。</w:t>
      </w:r>
      <w:r>
        <w:rPr>
          <w:rFonts w:hint="eastAsia" w:ascii="仿宋_GB2312" w:hAnsi="方正仿宋_GBK" w:eastAsia="仿宋_GB2312" w:cs="方正仿宋_GBK"/>
          <w:sz w:val="32"/>
          <w:szCs w:val="32"/>
        </w:rPr>
        <w:t>健全技工院校教师研修、培训工作体系，面向全体教师和教育教学管理人员，以突出师德教育为引领，以提升教育教学水平为主线，强化课程思政建设能力，针对书记校长、一体化教师、班主任、新任职教师等不同</w:t>
      </w:r>
      <w:r>
        <w:rPr>
          <w:rFonts w:ascii="仿宋_GB2312" w:hAnsi="方正仿宋_GBK" w:eastAsia="仿宋_GB2312" w:cs="方正仿宋_GBK"/>
          <w:sz w:val="32"/>
          <w:szCs w:val="32"/>
        </w:rPr>
        <w:t>岗位，</w:t>
      </w:r>
      <w:r>
        <w:rPr>
          <w:rFonts w:hint="eastAsia" w:ascii="仿宋_GB2312" w:hAnsi="方正仿宋_GBK" w:eastAsia="仿宋_GB2312" w:cs="方正仿宋_GBK"/>
          <w:sz w:val="32"/>
          <w:szCs w:val="32"/>
        </w:rPr>
        <w:t>开展师德师风、课程思政、工学一体化技能人才培养模式建设、学生管理、教学管理、招生就业等专题培训。遴选优质社会培训资源，进一步推进教师网络研修活动。鼓励</w:t>
      </w:r>
      <w:r>
        <w:rPr>
          <w:rFonts w:ascii="仿宋_GB2312" w:hAnsi="方正仿宋_GBK" w:eastAsia="仿宋_GB2312" w:cs="方正仿宋_GBK"/>
          <w:sz w:val="32"/>
          <w:szCs w:val="32"/>
        </w:rPr>
        <w:t>教师</w:t>
      </w:r>
      <w:r>
        <w:rPr>
          <w:rFonts w:hint="eastAsia" w:ascii="仿宋_GB2312" w:hAnsi="方正仿宋_GBK" w:eastAsia="仿宋_GB2312" w:cs="方正仿宋_GBK"/>
          <w:sz w:val="32"/>
          <w:szCs w:val="32"/>
        </w:rPr>
        <w:t>到</w:t>
      </w:r>
      <w:r>
        <w:rPr>
          <w:rFonts w:ascii="仿宋_GB2312" w:hAnsi="方正仿宋_GBK" w:eastAsia="仿宋_GB2312" w:cs="方正仿宋_GBK"/>
          <w:sz w:val="32"/>
          <w:szCs w:val="32"/>
        </w:rPr>
        <w:t>企业</w:t>
      </w:r>
      <w:r>
        <w:rPr>
          <w:rFonts w:hint="eastAsia" w:ascii="仿宋_GB2312" w:hAnsi="方正仿宋_GBK" w:eastAsia="仿宋_GB2312" w:cs="方正仿宋_GBK"/>
          <w:sz w:val="32"/>
          <w:szCs w:val="32"/>
        </w:rPr>
        <w:t>或</w:t>
      </w:r>
      <w:r>
        <w:rPr>
          <w:rFonts w:ascii="仿宋_GB2312" w:hAnsi="方正仿宋_GBK" w:eastAsia="仿宋_GB2312" w:cs="方正仿宋_GBK"/>
          <w:sz w:val="32"/>
          <w:szCs w:val="32"/>
        </w:rPr>
        <w:t>生产服务一线实践，提升</w:t>
      </w:r>
      <w:r>
        <w:rPr>
          <w:rFonts w:hint="eastAsia" w:ascii="仿宋_GB2312" w:hAnsi="方正仿宋_GBK" w:eastAsia="仿宋_GB2312" w:cs="方正仿宋_GBK"/>
          <w:sz w:val="32"/>
          <w:szCs w:val="32"/>
        </w:rPr>
        <w:t>教师</w:t>
      </w:r>
      <w:r>
        <w:rPr>
          <w:rFonts w:ascii="仿宋_GB2312" w:hAnsi="方正仿宋_GBK" w:eastAsia="仿宋_GB2312" w:cs="方正仿宋_GBK"/>
          <w:sz w:val="32"/>
          <w:szCs w:val="32"/>
        </w:rPr>
        <w:t>实操水平</w:t>
      </w:r>
      <w:r>
        <w:rPr>
          <w:rFonts w:hint="eastAsia" w:ascii="仿宋_GB2312" w:hAnsi="方正仿宋_GBK" w:eastAsia="仿宋_GB2312" w:cs="方正仿宋_GBK"/>
          <w:sz w:val="32"/>
          <w:szCs w:val="32"/>
        </w:rPr>
        <w:t>，推进产教融合</w:t>
      </w:r>
      <w:r>
        <w:rPr>
          <w:rFonts w:ascii="仿宋_GB2312" w:hAnsi="方正仿宋_GBK" w:eastAsia="仿宋_GB2312" w:cs="方正仿宋_GBK"/>
          <w:sz w:val="32"/>
          <w:szCs w:val="32"/>
        </w:rPr>
        <w:t>。</w:t>
      </w:r>
    </w:p>
    <w:p>
      <w:pPr>
        <w:suppressAutoHyphens/>
        <w:spacing w:line="540" w:lineRule="exact"/>
        <w:ind w:firstLine="640" w:firstLineChars="200"/>
        <w:rPr>
          <w:rFonts w:ascii="仿宋_GB2312" w:hAnsi="方正黑体_GBK" w:eastAsia="仿宋_GB2312" w:cs="方正黑体_GBK"/>
          <w:sz w:val="32"/>
          <w:szCs w:val="32"/>
        </w:rPr>
      </w:pPr>
      <w:r>
        <w:rPr>
          <w:rFonts w:hint="eastAsia" w:ascii="楷体" w:hAnsi="楷体" w:eastAsia="楷体" w:cs="方正楷体_GBK"/>
          <w:sz w:val="32"/>
          <w:szCs w:val="32"/>
        </w:rPr>
        <w:t>（四）加强优秀教育教研成果应用转化，推动实现全体教师共享共赢。</w:t>
      </w:r>
      <w:r>
        <w:rPr>
          <w:rFonts w:hint="eastAsia" w:ascii="仿宋_GB2312" w:hAnsi="方正仿宋_GBK" w:eastAsia="仿宋_GB2312" w:cs="方正仿宋_GBK"/>
          <w:sz w:val="32"/>
          <w:szCs w:val="32"/>
        </w:rPr>
        <w:t>搭建技工院校教研成果交流展示和资源服务平台，以一体化课改、</w:t>
      </w:r>
      <w:r>
        <w:rPr>
          <w:rFonts w:ascii="Times New Roman" w:hAnsi="Times New Roman" w:eastAsia="仿宋_GB2312"/>
          <w:sz w:val="32"/>
          <w:szCs w:val="32"/>
        </w:rPr>
        <w:t>公共</w:t>
      </w:r>
      <w:r>
        <w:rPr>
          <w:rFonts w:hint="eastAsia" w:ascii="Times New Roman" w:hAnsi="Times New Roman" w:eastAsia="仿宋_GB2312"/>
          <w:sz w:val="32"/>
          <w:szCs w:val="32"/>
        </w:rPr>
        <w:t>课及</w:t>
      </w:r>
      <w:r>
        <w:rPr>
          <w:rFonts w:ascii="Times New Roman" w:hAnsi="Times New Roman" w:eastAsia="仿宋_GB2312"/>
          <w:sz w:val="32"/>
          <w:szCs w:val="32"/>
        </w:rPr>
        <w:t>通用职业素质</w:t>
      </w:r>
      <w:r>
        <w:rPr>
          <w:rFonts w:hint="eastAsia" w:ascii="Times New Roman" w:hAnsi="Times New Roman" w:eastAsia="仿宋_GB2312"/>
          <w:sz w:val="32"/>
          <w:szCs w:val="32"/>
        </w:rPr>
        <w:t>课</w:t>
      </w:r>
      <w:r>
        <w:rPr>
          <w:rFonts w:hint="eastAsia" w:ascii="仿宋_GB2312" w:hAnsi="方正仿宋_GBK" w:eastAsia="仿宋_GB2312" w:cs="方正仿宋_GBK"/>
          <w:sz w:val="32"/>
          <w:szCs w:val="32"/>
        </w:rPr>
        <w:t>为重点，通过调研、观摩、讲座、论坛、成果展示等多种形式，在全市技工院校推广工学一体化技能人才培养模式建设成果、教师职业能力大赛获奖成果等，不断提高全市技工院校教师整体职业能力水平。</w:t>
      </w:r>
    </w:p>
    <w:p>
      <w:pPr>
        <w:suppressAutoHyphens/>
        <w:spacing w:line="540" w:lineRule="exact"/>
        <w:ind w:firstLine="640" w:firstLineChars="200"/>
        <w:rPr>
          <w:rFonts w:ascii="仿宋_GB2312" w:hAnsi="方正仿宋_GBK" w:eastAsia="仿宋_GB2312" w:cs="方正仿宋_GBK"/>
          <w:sz w:val="32"/>
          <w:szCs w:val="32"/>
        </w:rPr>
      </w:pPr>
      <w:r>
        <w:rPr>
          <w:rFonts w:hint="eastAsia" w:ascii="楷体" w:hAnsi="楷体" w:eastAsia="楷体" w:cs="方正楷体_GBK"/>
          <w:sz w:val="32"/>
          <w:szCs w:val="32"/>
        </w:rPr>
        <w:t>（五）组建技工院校教学指导委员会，持续发挥权威引领作用</w:t>
      </w:r>
      <w:r>
        <w:rPr>
          <w:rFonts w:hint="eastAsia" w:ascii="仿宋_GB2312" w:hAnsi="方正仿宋_GBK" w:eastAsia="仿宋_GB2312" w:cs="方正仿宋_GBK"/>
          <w:sz w:val="32"/>
          <w:szCs w:val="32"/>
        </w:rPr>
        <w:t>。以</w:t>
      </w:r>
      <w:r>
        <w:rPr>
          <w:rFonts w:hint="eastAsia" w:ascii="仿宋" w:hAnsi="仿宋" w:eastAsia="仿宋"/>
          <w:sz w:val="32"/>
          <w:szCs w:val="32"/>
        </w:rPr>
        <w:t>《</w:t>
      </w:r>
      <w:r>
        <w:rPr>
          <w:rFonts w:hint="eastAsia" w:ascii="仿宋_GB2312" w:hAnsi="方正仿宋_GBK" w:eastAsia="仿宋_GB2312" w:cs="方正仿宋_GBK"/>
          <w:sz w:val="32"/>
          <w:szCs w:val="32"/>
        </w:rPr>
        <w:t>全国技工院校专业目录</w:t>
      </w:r>
      <w:r>
        <w:rPr>
          <w:rFonts w:hint="eastAsia" w:ascii="仿宋" w:hAnsi="仿宋" w:eastAsia="仿宋"/>
          <w:sz w:val="32"/>
          <w:szCs w:val="32"/>
        </w:rPr>
        <w:t>》</w:t>
      </w:r>
      <w:r>
        <w:rPr>
          <w:rFonts w:hint="eastAsia" w:ascii="仿宋_GB2312" w:hAnsi="方正仿宋_GBK" w:eastAsia="仿宋_GB2312" w:cs="方正仿宋_GBK"/>
          <w:sz w:val="32"/>
          <w:szCs w:val="32"/>
        </w:rPr>
        <w:t>为基础，围绕</w:t>
      </w:r>
      <w:r>
        <w:rPr>
          <w:rFonts w:ascii="Times New Roman" w:hAnsi="Times New Roman" w:eastAsia="仿宋_GB2312"/>
          <w:sz w:val="32"/>
          <w:szCs w:val="32"/>
        </w:rPr>
        <w:t>公共</w:t>
      </w:r>
      <w:r>
        <w:rPr>
          <w:rFonts w:hint="eastAsia" w:ascii="Times New Roman" w:hAnsi="Times New Roman" w:eastAsia="仿宋_GB2312"/>
          <w:sz w:val="32"/>
          <w:szCs w:val="32"/>
        </w:rPr>
        <w:t>课与</w:t>
      </w:r>
      <w:r>
        <w:rPr>
          <w:rFonts w:ascii="Times New Roman" w:hAnsi="Times New Roman" w:eastAsia="仿宋_GB2312"/>
          <w:sz w:val="32"/>
          <w:szCs w:val="32"/>
        </w:rPr>
        <w:t>通用职业素质类</w:t>
      </w:r>
      <w:r>
        <w:rPr>
          <w:rFonts w:hint="eastAsia" w:ascii="仿宋_GB2312" w:hAnsi="方正仿宋_GBK" w:eastAsia="仿宋_GB2312" w:cs="方正仿宋_GBK"/>
          <w:sz w:val="32"/>
          <w:szCs w:val="32"/>
        </w:rPr>
        <w:t>、机械类、电工电子类、信息类、交通类、服务类、财经商贸类、工业综合与农业类、文化艺术与综合类、班主任类等10个专业领域，聘请技工院校权威专家、行业专家、企业高技能人才，组建北京市技工院校教学指导委员会。教学指导委员会负责指导技工院校工学一体化专业（课程）建设、教材建设和数字资源建设、技工院校教学改革与教学实施，参与教学质量评价，工匠之师培养、教师职业能力大赛、师资培训，开展行业企业调研、课题研究、专业教学及职业培训研修交流等活动。</w:t>
      </w:r>
    </w:p>
    <w:p>
      <w:pPr>
        <w:suppressAutoHyphens/>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suppressAutoHyphens/>
        <w:spacing w:line="540" w:lineRule="exact"/>
        <w:ind w:firstLine="640" w:firstLineChars="200"/>
      </w:pPr>
      <w:r>
        <w:rPr>
          <w:rFonts w:hint="eastAsia" w:ascii="仿宋_GB2312" w:hAnsi="方正仿宋_GBK" w:eastAsia="仿宋_GB2312" w:cs="方正仿宋_GBK"/>
          <w:sz w:val="32"/>
          <w:szCs w:val="32"/>
        </w:rPr>
        <w:t>北京市人力资源和社会保障局负责北京市技工院校教师职业能力提升行动的组织实施和</w:t>
      </w:r>
      <w:r>
        <w:rPr>
          <w:rFonts w:hint="eastAsia" w:ascii="仿宋_GB2312" w:eastAsia="仿宋_GB2312"/>
          <w:color w:val="000000"/>
          <w:sz w:val="32"/>
          <w:szCs w:val="32"/>
        </w:rPr>
        <w:t>统筹协调，</w:t>
      </w:r>
      <w:r>
        <w:rPr>
          <w:rFonts w:hint="eastAsia" w:ascii="仿宋_GB2312" w:hAnsi="仿宋_GB2312" w:eastAsia="仿宋_GB2312" w:cs="仿宋_GB2312"/>
          <w:sz w:val="32"/>
          <w:szCs w:val="32"/>
        </w:rPr>
        <w:t>加强监督管理</w:t>
      </w:r>
      <w:r>
        <w:rPr>
          <w:rFonts w:hint="eastAsia" w:ascii="仿宋_GB2312" w:hAnsi="方正仿宋_GBK" w:eastAsia="仿宋_GB2312" w:cs="方正仿宋_GBK"/>
          <w:sz w:val="32"/>
          <w:szCs w:val="32"/>
        </w:rPr>
        <w:t>，具体工作由北京市就业促进中心承担。各技工院校主管部门及技工院校要将建设高素质教师队伍作为学校建设的基础性和战略性工作，以提升教师职业能力作为业务工作重点，结合实际，制定配套措施，给予经费保障，在自身不断加强教师培养工作的基础上，积极支持优秀教师参与职业能力提升行动。</w:t>
      </w:r>
    </w:p>
    <w:p>
      <w:pPr>
        <w:pStyle w:val="3"/>
        <w:ind w:firstLine="3840" w:firstLineChars="1200"/>
        <w:rPr>
          <w:rFonts w:hint="eastAsia" w:ascii="仿宋_GB2312" w:hAnsi="方正仿宋_GBK" w:eastAsia="仿宋_GB2312"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7BE15"/>
    <w:multiLevelType w:val="singleLevel"/>
    <w:tmpl w:val="FF97BE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38"/>
    <w:rsid w:val="000472F3"/>
    <w:rsid w:val="000573DA"/>
    <w:rsid w:val="00447302"/>
    <w:rsid w:val="00572C38"/>
    <w:rsid w:val="006E37A3"/>
    <w:rsid w:val="0080739A"/>
    <w:rsid w:val="00AA502A"/>
    <w:rsid w:val="00D61F17"/>
    <w:rsid w:val="7FE79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12"/>
    <w:qFormat/>
    <w:uiPriority w:val="0"/>
    <w:pPr>
      <w:snapToGrid w:val="0"/>
      <w:jc w:val="left"/>
    </w:pPr>
    <w:rPr>
      <w:rFonts w:ascii="Times New Roman" w:hAnsi="Times New Roman"/>
      <w:sz w:val="18"/>
      <w:szCs w:val="18"/>
    </w:rPr>
  </w:style>
  <w:style w:type="paragraph" w:styleId="3">
    <w:name w:val="Body Text First Indent 2"/>
    <w:basedOn w:val="4"/>
    <w:link w:val="14"/>
    <w:unhideWhenUsed/>
    <w:qFormat/>
    <w:uiPriority w:val="99"/>
    <w:pPr>
      <w:ind w:firstLine="420" w:firstLineChars="200"/>
    </w:pPr>
  </w:style>
  <w:style w:type="paragraph" w:styleId="4">
    <w:name w:val="Body Text Indent"/>
    <w:basedOn w:val="1"/>
    <w:link w:val="13"/>
    <w:semiHidden/>
    <w:unhideWhenUsed/>
    <w:qFormat/>
    <w:uiPriority w:val="99"/>
    <w:pPr>
      <w:spacing w:after="120"/>
      <w:ind w:left="420" w:left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uppressAutoHyphens/>
      <w:spacing w:before="100" w:beforeAutospacing="1" w:after="100" w:afterAutospacing="1"/>
    </w:pPr>
    <w:rPr>
      <w:rFonts w:ascii="Calibri" w:hAnsi="Calibri" w:eastAsia="宋体" w:cs="Times New Roman"/>
      <w:kern w:val="0"/>
      <w:sz w:val="24"/>
      <w:szCs w:val="24"/>
      <w:lang w:val="en-US" w:eastAsia="zh-CN" w:bidi="ar-SA"/>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脚注文本 Char"/>
    <w:basedOn w:val="9"/>
    <w:link w:val="2"/>
    <w:qFormat/>
    <w:uiPriority w:val="0"/>
    <w:rPr>
      <w:rFonts w:ascii="Times New Roman" w:hAnsi="Times New Roman" w:eastAsia="宋体" w:cs="Times New Roman"/>
      <w:sz w:val="18"/>
      <w:szCs w:val="18"/>
    </w:rPr>
  </w:style>
  <w:style w:type="character" w:customStyle="1" w:styleId="13">
    <w:name w:val="正文文本缩进 Char"/>
    <w:basedOn w:val="9"/>
    <w:link w:val="4"/>
    <w:semiHidden/>
    <w:qFormat/>
    <w:uiPriority w:val="99"/>
    <w:rPr>
      <w:rFonts w:ascii="Calibri" w:hAnsi="Calibri" w:eastAsia="宋体" w:cs="Times New Roman"/>
      <w:szCs w:val="24"/>
    </w:rPr>
  </w:style>
  <w:style w:type="character" w:customStyle="1" w:styleId="14">
    <w:name w:val="正文首行缩进 2 Char"/>
    <w:basedOn w:val="13"/>
    <w:link w:val="3"/>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252</Words>
  <Characters>1438</Characters>
  <Lines>11</Lines>
  <Paragraphs>3</Paragraphs>
  <TotalTime>2</TotalTime>
  <ScaleCrop>false</ScaleCrop>
  <LinksUpToDate>false</LinksUpToDate>
  <CharactersWithSpaces>1687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2023-10-30T15:29:00Z</dcterms:created>
  <dc:creator>lenovo</dc:creator>
  <cp:lastModifiedBy>uos</cp:lastModifiedBy>
  <dcterms:modified xsi:type="dcterms:W3CDTF">2023-10-30T15:57:02Z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