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bookmarkStart w:id="0" w:name="_GoBack"/>
      <w:bookmarkEnd w:id="0"/>
      <w:r>
        <w:rPr>
          <w:rFonts w:hint="eastAsia" w:ascii="黑体" w:eastAsia="黑体"/>
          <w:szCs w:val="32"/>
        </w:rPr>
        <w:t>附件2</w:t>
      </w:r>
    </w:p>
    <w:p>
      <w:pPr>
        <w:rPr>
          <w:rFonts w:ascii="黑体" w:eastAsia="黑体"/>
          <w:szCs w:val="32"/>
        </w:rPr>
      </w:pPr>
    </w:p>
    <w:p>
      <w:pPr>
        <w:suppressAutoHyphens/>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促进本市农村劳动力就业参保工作目标及任务分工</w:t>
      </w:r>
    </w:p>
    <w:p>
      <w:pPr>
        <w:suppressAutoHyphens/>
        <w:spacing w:line="560" w:lineRule="exact"/>
        <w:jc w:val="center"/>
        <w:rPr>
          <w:rFonts w:eastAsia="仿宋_GB231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8041"/>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黑体" w:eastAsia="黑体" w:cs="CESI仿宋-GB2312"/>
                <w:sz w:val="28"/>
                <w:szCs w:val="28"/>
              </w:rPr>
            </w:pPr>
            <w:r>
              <w:rPr>
                <w:rFonts w:hint="eastAsia" w:ascii="黑体" w:eastAsia="黑体" w:cs="CESI仿宋-GB2312"/>
                <w:sz w:val="28"/>
                <w:szCs w:val="28"/>
              </w:rPr>
              <w:t>序号</w:t>
            </w:r>
          </w:p>
        </w:tc>
        <w:tc>
          <w:tcPr>
            <w:tcW w:w="8041" w:type="dxa"/>
            <w:vAlign w:val="center"/>
          </w:tcPr>
          <w:p>
            <w:pPr>
              <w:suppressAutoHyphens/>
              <w:spacing w:line="500" w:lineRule="exact"/>
              <w:jc w:val="center"/>
              <w:rPr>
                <w:rFonts w:ascii="黑体" w:eastAsia="黑体" w:cs="CESI仿宋-GB2312"/>
                <w:sz w:val="28"/>
                <w:szCs w:val="28"/>
              </w:rPr>
            </w:pPr>
            <w:r>
              <w:rPr>
                <w:rFonts w:hint="eastAsia" w:ascii="黑体" w:eastAsia="黑体" w:cs="CESI仿宋-GB2312"/>
                <w:sz w:val="28"/>
                <w:szCs w:val="28"/>
              </w:rPr>
              <w:t>目标任务</w:t>
            </w:r>
          </w:p>
        </w:tc>
        <w:tc>
          <w:tcPr>
            <w:tcW w:w="4348" w:type="dxa"/>
            <w:vAlign w:val="center"/>
          </w:tcPr>
          <w:p>
            <w:pPr>
              <w:suppressAutoHyphens/>
              <w:spacing w:line="500" w:lineRule="exact"/>
              <w:jc w:val="center"/>
              <w:rPr>
                <w:rFonts w:ascii="黑体" w:eastAsia="黑体" w:cs="CESI仿宋-GB2312"/>
                <w:sz w:val="28"/>
                <w:szCs w:val="28"/>
              </w:rPr>
            </w:pPr>
            <w:r>
              <w:rPr>
                <w:rFonts w:hint="eastAsia" w:ascii="黑体" w:eastAsia="黑体" w:cs="CESI仿宋-GB2312"/>
                <w:sz w:val="28"/>
                <w:szCs w:val="28"/>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vAlign w:val="center"/>
          </w:tcPr>
          <w:p>
            <w:pPr>
              <w:suppressAutoHyphens/>
              <w:rPr>
                <w:rFonts w:ascii="仿宋" w:eastAsia="仿宋" w:cs="CESI仿宋-GB2312"/>
                <w:b/>
                <w:sz w:val="28"/>
                <w:szCs w:val="28"/>
              </w:rPr>
            </w:pPr>
            <w:r>
              <w:rPr>
                <w:rFonts w:hint="eastAsia" w:ascii="黑体" w:eastAsia="黑体" w:cs="CESI仿宋-GB2312"/>
                <w:sz w:val="28"/>
                <w:szCs w:val="28"/>
              </w:rPr>
              <w:t>一、工作目标</w:t>
            </w:r>
            <w:r>
              <w:rPr>
                <w:rFonts w:hint="eastAsia" w:ascii="仿宋" w:eastAsia="仿宋" w:cs="CESI仿宋-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保持经济运行平稳，防止已就业参保农村劳动力大规模失业回流。</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市发展改革委、市人力资源社会保障局、市农业农村局、市经济信息化局，各区政府。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提升农村劳动力职业技能，每年开展岗位技能提升培训1万人和转移就业培训1万人。</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3</w:t>
            </w:r>
          </w:p>
        </w:tc>
        <w:tc>
          <w:tcPr>
            <w:tcW w:w="8041" w:type="dxa"/>
            <w:vAlign w:val="center"/>
          </w:tcPr>
          <w:p>
            <w:pPr>
              <w:pStyle w:val="10"/>
              <w:jc w:val="both"/>
              <w:rPr>
                <w:rFonts w:ascii="仿宋_GB2312" w:eastAsia="仿宋_GB2312" w:cs="仿宋_GB2312"/>
                <w:sz w:val="28"/>
                <w:szCs w:val="28"/>
              </w:rPr>
            </w:pPr>
            <w:r>
              <w:rPr>
                <w:rFonts w:hint="eastAsia" w:ascii="仿宋_GB2312" w:eastAsia="仿宋_GB2312" w:cs="仿宋_GB2312"/>
                <w:sz w:val="28"/>
                <w:szCs w:val="28"/>
              </w:rPr>
              <w:t>实施高素质农民和农村创新创业人才培训，每年培训2万人次以上。</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市农业农村局，各涉农区政府。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4</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稳定和扩大一产就业规模，促进农村集体经济组织、村办企业、农民合作社等实体在职职工参保。</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市农业农村局、市人力资源社会保障局，各涉农区政府。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5</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发展新型集体林场，将生态林管护农村劳动力纳入职工社会保险体系。</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市园林绿化局，各涉农区政府。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6</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每年帮扶3万名农村劳动力（含农村就业困难人员）转移就业参保，农村“零就业家庭”动态清零。</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7</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每年北京高校本市农业户籍高校毕业生离校时就业率不低于70%，年底本市农业户籍高校毕业生和技校毕业生就业率达到95%以上。</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市教委、市人力资源社会保障局、市农业农村局，各区政府。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8</w:t>
            </w:r>
          </w:p>
        </w:tc>
        <w:tc>
          <w:tcPr>
            <w:tcW w:w="8041" w:type="dxa"/>
            <w:vAlign w:val="center"/>
          </w:tcPr>
          <w:p>
            <w:pPr>
              <w:suppressAutoHyphens/>
              <w:spacing w:line="500" w:lineRule="exact"/>
              <w:rPr>
                <w:rFonts w:ascii="仿宋_GB2312" w:eastAsia="仿宋_GB2312" w:cs="仿宋_GB2312"/>
                <w:sz w:val="28"/>
                <w:szCs w:val="28"/>
                <w:u w:val="single"/>
              </w:rPr>
            </w:pPr>
            <w:r>
              <w:rPr>
                <w:rFonts w:hint="eastAsia" w:ascii="仿宋_GB2312" w:eastAsia="仿宋_GB2312" w:cs="仿宋_GB2312"/>
                <w:sz w:val="28"/>
                <w:szCs w:val="28"/>
              </w:rPr>
              <w:t>规范乡村公益性岗位，促进在岗农村劳动力就业参保。</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各涉农区政府，市农业农村局、市人力资源社会保障局、市民政局。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9</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通过正规就业分流、政策引导等方式，促进一产灵活就业且有参保意愿的农村劳动力参加职工社会保险。</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市人力资源社会保障局、市农业农村局、市财政局，各涉农区政府。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10</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支持达到法定退休年龄时累计缴费不足最低缴费年限的农村劳动力选择延期缴费，纳入职工养老保险体系退休享受待遇。</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各涉农区政府，市人力资源社会保障局、市财政局。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vAlign w:val="center"/>
          </w:tcPr>
          <w:p>
            <w:pPr>
              <w:suppressAutoHyphens/>
              <w:rPr>
                <w:rFonts w:ascii="仿宋" w:eastAsia="仿宋" w:cs="CESI仿宋-GB2312"/>
                <w:b/>
                <w:sz w:val="28"/>
                <w:szCs w:val="28"/>
              </w:rPr>
            </w:pPr>
            <w:r>
              <w:rPr>
                <w:rFonts w:hint="eastAsia" w:ascii="黑体" w:eastAsia="黑体" w:cs="CESI仿宋-GB2312"/>
                <w:sz w:val="28"/>
                <w:szCs w:val="28"/>
              </w:rPr>
              <w:t>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0" w:type="auto"/>
            <w:gridSpan w:val="3"/>
            <w:vAlign w:val="center"/>
          </w:tcPr>
          <w:p>
            <w:pPr>
              <w:suppressAutoHyphens/>
              <w:rPr>
                <w:rFonts w:ascii="仿宋_GB2312" w:eastAsia="仿宋_GB2312" w:cs="CESI仿宋-GB2312"/>
                <w:b/>
                <w:sz w:val="28"/>
                <w:szCs w:val="28"/>
              </w:rPr>
            </w:pPr>
            <w:r>
              <w:rPr>
                <w:rFonts w:hint="eastAsia" w:ascii="仿宋_GB2312" w:eastAsia="仿宋_GB2312" w:cs="CESI仿宋-GB2312"/>
                <w:bCs/>
                <w:sz w:val="28"/>
                <w:szCs w:val="28"/>
              </w:rPr>
              <w:t>（一）支持企业稳定扩大就业参保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w:t>
            </w:r>
          </w:p>
        </w:tc>
        <w:tc>
          <w:tcPr>
            <w:tcW w:w="8041" w:type="dxa"/>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仿宋_GB2312"/>
                <w:sz w:val="28"/>
                <w:szCs w:val="28"/>
              </w:rPr>
            </w:pPr>
            <w:r>
              <w:rPr>
                <w:rFonts w:hint="eastAsia" w:ascii="仿宋_GB2312" w:eastAsia="仿宋_GB2312" w:cs="仿宋_GB2312"/>
                <w:sz w:val="28"/>
                <w:szCs w:val="28"/>
              </w:rPr>
              <w:t>落实纾困惠企和创新创业扶持政策，持续深化“放管服”改革，支持各类市场主体稳定扩大就业。强化企业创新，挖掘和支持创新项目，推动大中小企业加速研发应用，扩大转移就业参保。</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市发展改革委、市人力资源社会保障局、市政务服务局、市科委、中关村管委会、市经济信息化局、市农业农村局，各区政府。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w:t>
            </w:r>
          </w:p>
        </w:tc>
        <w:tc>
          <w:tcPr>
            <w:tcW w:w="8041" w:type="dxa"/>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仿宋_GB2312"/>
                <w:sz w:val="28"/>
                <w:szCs w:val="28"/>
              </w:rPr>
            </w:pPr>
            <w:r>
              <w:rPr>
                <w:rFonts w:hint="eastAsia" w:ascii="仿宋_GB2312" w:eastAsia="仿宋_GB2312" w:cs="仿宋_GB2312"/>
                <w:sz w:val="28"/>
                <w:szCs w:val="28"/>
              </w:rPr>
              <w:t>持续实施职业技能提升行动和技能中国行动，面向企业在职农村劳动力开展岗位技能提升培训，取得国家职业资格证书或职业技能等级证书且符合条件的给予技能提升补贴，增强转移就业能力和参保稳定性。</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市人力资源社会保障局、市国资委，各区政府。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3</w:t>
            </w:r>
          </w:p>
        </w:tc>
        <w:tc>
          <w:tcPr>
            <w:tcW w:w="8041" w:type="dxa"/>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仿宋_GB2312"/>
                <w:sz w:val="28"/>
                <w:szCs w:val="28"/>
              </w:rPr>
            </w:pPr>
            <w:r>
              <w:rPr>
                <w:rFonts w:hint="eastAsia" w:ascii="仿宋_GB2312" w:eastAsia="仿宋_GB2312" w:cs="仿宋_GB2312"/>
                <w:sz w:val="28"/>
                <w:szCs w:val="28"/>
              </w:rPr>
              <w:t>落实“城乡手拉手”就业协作机制，鼓励国有企业对接涉农区公共就业服务机构，利用市级”就业超市“公共就业服务平台，做好空岗信息发布和组织招聘活动，吸纳农村劳动力就业。支持经营性人力资源服务机构创新服务方式，面向农村劳动力提供求职招聘等服务。</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市人力资源社会保障局、市国资委，各区政府。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4</w:t>
            </w:r>
          </w:p>
        </w:tc>
        <w:tc>
          <w:tcPr>
            <w:tcW w:w="8041" w:type="dxa"/>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仿宋_GB2312"/>
                <w:sz w:val="28"/>
                <w:szCs w:val="28"/>
              </w:rPr>
            </w:pPr>
            <w:r>
              <w:rPr>
                <w:rFonts w:hint="eastAsia" w:ascii="仿宋_GB2312" w:eastAsia="仿宋_GB2312" w:cs="仿宋_GB2312"/>
                <w:sz w:val="28"/>
                <w:szCs w:val="28"/>
              </w:rPr>
              <w:t>用人单位招用农村劳动力的，给予最长3年社会保险补贴；招用农村就业困难人员、生态涵养地区农村劳动力的，给予最长5年岗位补贴和社会保险补贴。</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市人力资源社会保障局、市财政局，各区政府。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vAlign w:val="center"/>
          </w:tcPr>
          <w:p>
            <w:pPr>
              <w:suppressAutoHyphens/>
              <w:spacing w:line="500" w:lineRule="exact"/>
              <w:rPr>
                <w:rFonts w:ascii="仿宋_GB2312" w:eastAsia="仿宋_GB2312" w:cs="CESI仿宋-GB2312"/>
                <w:b/>
                <w:sz w:val="28"/>
                <w:szCs w:val="28"/>
              </w:rPr>
            </w:pPr>
            <w:r>
              <w:rPr>
                <w:rFonts w:hint="eastAsia" w:ascii="仿宋_GB2312" w:eastAsia="仿宋_GB2312" w:cs="CESI仿宋-GB2312"/>
                <w:bCs/>
                <w:sz w:val="28"/>
                <w:szCs w:val="28"/>
              </w:rPr>
              <w:t>（二）促进农村劳动力</w:t>
            </w:r>
            <w:r>
              <w:rPr>
                <w:rFonts w:ascii="仿宋_GB2312" w:eastAsia="仿宋_GB2312" w:cs="CESI仿宋-GB2312"/>
                <w:bCs/>
                <w:sz w:val="28"/>
                <w:szCs w:val="28"/>
              </w:rPr>
              <w:t>乡村</w:t>
            </w:r>
            <w:r>
              <w:rPr>
                <w:rFonts w:hint="eastAsia" w:ascii="仿宋_GB2312" w:eastAsia="仿宋_GB2312" w:cs="CESI仿宋-GB2312"/>
                <w:bCs/>
                <w:sz w:val="28"/>
                <w:szCs w:val="28"/>
              </w:rPr>
              <w:t>产业就业参保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5</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统筹产业布局，延伸产业链条，推进“五个百万”工程和现代农业产业园建设，鼓励项目和园区企业吸纳本地农村劳动力就业；盘活农村闲置房屋等各类资源，支持发展精品民宿、休闲农业和乡村旅游、农事体验、电子商务等新产业新业态；围绕镇域主导产业，打造特色鲜明、布局合理、融合发展的农业产业强镇，稳定扩大农村劳动力就近就地就业参保规模。</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市农业农村局、市发展改革委、市规划自然资源委、市文化旅游局、市园林绿化局、市商务局，各涉农区政府。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6</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将生态林管护农村劳动力转化为林业工人，组建属地政府主导，集体企业或农村集体经济组织出资，以吸纳本地农村劳动力就业为主的新型集体林场，与招用农村劳动力依法签订劳动合同，按月发放工资，参加职工社会保险。</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市园林绿化局，各涉农区政府。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7</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实施农村集体经济薄弱村帮扶专项行动和农民合作社质量提升行动。加强行业管理，规范农村集体经济组织、农民合作社、村集体企业等实体用工，推进用工实体与职工依法签订劳动合同、支付工资和参加职工社会保险。</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市农业农村局、市人力资源社会保障局，各涉农区政府。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8</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强化农村劳动力法律援助，加大劳动用工法律法规政策宣传，畅通维权渠道，引导用人单位与农村劳动力通过协商解决争议。</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市人力资源和社会保障局、市农业农村局、市总工会，各区政府。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9</w:t>
            </w:r>
          </w:p>
        </w:tc>
        <w:tc>
          <w:tcPr>
            <w:tcW w:w="8041" w:type="dxa"/>
            <w:vAlign w:val="center"/>
          </w:tcPr>
          <w:p>
            <w:pPr>
              <w:suppressAutoHyphens/>
              <w:spacing w:line="500" w:lineRule="exact"/>
              <w:rPr>
                <w:rFonts w:ascii="仿宋_GB2312" w:eastAsia="仿宋_GB2312" w:cs="仿宋_GB2312"/>
                <w:sz w:val="28"/>
                <w:szCs w:val="28"/>
                <w:u w:val="single"/>
              </w:rPr>
            </w:pPr>
            <w:r>
              <w:rPr>
                <w:rFonts w:hint="eastAsia" w:ascii="仿宋_GB2312" w:eastAsia="仿宋_GB2312" w:cs="仿宋_GB2312"/>
                <w:sz w:val="28"/>
                <w:szCs w:val="28"/>
              </w:rPr>
              <w:t>乡镇新注册经营的企业招用本区农村劳动力的，给予最长5年岗位补贴和社会保险补贴。鼓励农村集体经济组织、农民合作社、新型集体林场、涉农企业招用农村劳动力，符合条件的给予单位招用岗位补贴、社会保险补贴。</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市人力资源社会保障局、市财政局，各涉农区政府。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10</w:t>
            </w:r>
          </w:p>
        </w:tc>
        <w:tc>
          <w:tcPr>
            <w:tcW w:w="8041" w:type="dxa"/>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仿宋_GB2312"/>
                <w:sz w:val="28"/>
                <w:szCs w:val="28"/>
              </w:rPr>
            </w:pPr>
            <w:r>
              <w:rPr>
                <w:rFonts w:hint="eastAsia" w:ascii="仿宋_GB2312" w:eastAsia="仿宋_GB2312" w:cs="仿宋_GB2312"/>
                <w:sz w:val="28"/>
                <w:szCs w:val="28"/>
              </w:rPr>
              <w:t>实施高素质农民培训，依托农村产业发展、林下经济、民宿、旅游等绿色经济发展，集成本市职业院校、企业培训中心等优质培训资源，支持农村劳动力就近就地就业培训。农村劳动力可根据自身实际按照培训补贴项目，免费参加就业培训或创业培训。</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市农业农村局、市文化旅游局、市园林绿化局、市人力资源社会保障局，各涉农区政府。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CESI仿宋-GB2312"/>
                <w:b/>
                <w:sz w:val="28"/>
                <w:szCs w:val="28"/>
              </w:rPr>
            </w:pPr>
            <w:r>
              <w:rPr>
                <w:rFonts w:hint="eastAsia" w:ascii="仿宋_GB2312" w:eastAsia="仿宋_GB2312" w:cs="CESI仿宋-GB2312"/>
                <w:bCs/>
                <w:sz w:val="28"/>
                <w:szCs w:val="28"/>
              </w:rPr>
              <w:t>（三）推进公共服务</w:t>
            </w:r>
            <w:r>
              <w:rPr>
                <w:rFonts w:hint="eastAsia" w:ascii="仿宋_GB2312" w:eastAsia="仿宋_GB2312"/>
                <w:bCs/>
                <w:sz w:val="28"/>
                <w:szCs w:val="28"/>
              </w:rPr>
              <w:t>岗位就业参保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11</w:t>
            </w:r>
          </w:p>
        </w:tc>
        <w:tc>
          <w:tcPr>
            <w:tcW w:w="8041" w:type="dxa"/>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仿宋_GB2312"/>
                <w:sz w:val="28"/>
                <w:szCs w:val="28"/>
              </w:rPr>
            </w:pPr>
            <w:r>
              <w:rPr>
                <w:rFonts w:hint="eastAsia" w:ascii="仿宋_GB2312" w:eastAsia="仿宋_GB2312" w:cs="仿宋_GB2312"/>
                <w:sz w:val="28"/>
                <w:szCs w:val="28"/>
              </w:rPr>
              <w:t>加强政府购买服务项目主管部门、公共服务承接企业与公共就业服务机构对接，面向农村劳动力开展系列招聘活动，引导企业吸纳农村劳动力就业。</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市人力资源社会保障局、市公安局、市交通委、市应急管理局，各区政府。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12</w:t>
            </w:r>
          </w:p>
        </w:tc>
        <w:tc>
          <w:tcPr>
            <w:tcW w:w="8041" w:type="dxa"/>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仿宋_GB2312"/>
                <w:sz w:val="28"/>
                <w:szCs w:val="28"/>
              </w:rPr>
            </w:pPr>
            <w:r>
              <w:rPr>
                <w:rFonts w:hint="eastAsia" w:ascii="仿宋_GB2312" w:eastAsia="仿宋_GB2312" w:cs="仿宋_GB2312"/>
                <w:sz w:val="28"/>
                <w:szCs w:val="28"/>
              </w:rPr>
              <w:t>承担城市运行公共管理、公共服务项目的市、区属国有企业，每年空岗及招聘计划，提交同级国资委和公共就业服务机构，并预留一定比例空岗，优先招用本市农村就业困难人员。</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市人力资源社会保障局、市国资委、市农业农村局，各区政府。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13</w:t>
            </w:r>
          </w:p>
        </w:tc>
        <w:tc>
          <w:tcPr>
            <w:tcW w:w="8041" w:type="dxa"/>
            <w:vAlign w:val="center"/>
          </w:tcPr>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ascii="仿宋_GB2312" w:eastAsia="仿宋_GB2312" w:cs="仿宋_GB2312"/>
                <w:sz w:val="28"/>
                <w:szCs w:val="28"/>
              </w:rPr>
            </w:pPr>
            <w:r>
              <w:rPr>
                <w:rFonts w:hint="eastAsia" w:ascii="仿宋_GB2312" w:eastAsia="仿宋_GB2312" w:cs="仿宋_GB2312"/>
                <w:sz w:val="28"/>
                <w:szCs w:val="28"/>
              </w:rPr>
              <w:t>各涉农区利用本区公共服务岗位资源，实现农村劳动力转移就业参保。加强输入区与输出区对接，鼓励开发城市公共服务岗位，落实城市公共服务岗位补贴政策，引导农村地区劳动力进城稳定就业参保。</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各区政府，市人力资源社会保障局、市财政局、市国资委。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vAlign w:val="center"/>
          </w:tcPr>
          <w:p>
            <w:pPr>
              <w:suppressAutoHyphens/>
              <w:spacing w:line="500" w:lineRule="exact"/>
              <w:rPr>
                <w:rFonts w:ascii="仿宋_GB2312" w:eastAsia="仿宋_GB2312" w:cs="CESI仿宋-GB2312"/>
                <w:sz w:val="28"/>
                <w:szCs w:val="28"/>
              </w:rPr>
            </w:pPr>
            <w:r>
              <w:rPr>
                <w:rFonts w:hint="eastAsia" w:ascii="仿宋_GB2312" w:eastAsia="仿宋_GB2312" w:cs="CESI仿宋-GB2312"/>
                <w:bCs/>
                <w:sz w:val="28"/>
                <w:szCs w:val="28"/>
              </w:rPr>
              <w:t>（四）规范乡村公益性</w:t>
            </w:r>
            <w:r>
              <w:rPr>
                <w:rFonts w:hint="eastAsia" w:ascii="仿宋_GB2312" w:eastAsia="仿宋_GB2312"/>
                <w:bCs/>
                <w:sz w:val="28"/>
                <w:szCs w:val="28"/>
              </w:rPr>
              <w:t>岗位就业参保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14</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支持农村基础设施建设与运营、应急管理服务、便民服务等项目，开发防疫消杀、河湖巡查与管护、托老托幼助残、乡村快递收发、保洁保绿、垃圾分类指导等乡村公益性岗位，吸纳更多农村劳动力就业参保。</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各涉农区政府，市农业农村局、市人力资源社会保障局、市民政局。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15</w:t>
            </w:r>
          </w:p>
        </w:tc>
        <w:tc>
          <w:tcPr>
            <w:tcW w:w="8041" w:type="dxa"/>
            <w:vAlign w:val="center"/>
          </w:tcPr>
          <w:p>
            <w:pPr>
              <w:suppressAutoHyphens/>
              <w:spacing w:line="500" w:lineRule="exact"/>
              <w:rPr>
                <w:rFonts w:ascii="仿宋_GB2312" w:eastAsia="仿宋_GB2312" w:cs="仿宋_GB2312"/>
                <w:sz w:val="28"/>
                <w:szCs w:val="28"/>
                <w:u w:val="single"/>
              </w:rPr>
            </w:pPr>
            <w:r>
              <w:rPr>
                <w:rFonts w:hint="eastAsia" w:ascii="仿宋_GB2312" w:eastAsia="仿宋_GB2312" w:cs="仿宋_GB2312"/>
                <w:sz w:val="28"/>
                <w:szCs w:val="28"/>
              </w:rPr>
              <w:t>结合推进城市协管员队伍管理体制改革工作，通过调整岗位职责、统筹使用或一岗多责等方式，探索将部分现有非全日制公益性岗位整合优化为‘签合同、发工资、上保险’的全日制就业岗位，促进农村劳动力就业参保。</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各涉农区政府，市人力资源社会保障局、市民政局、市财政局。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16</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帮扶农村就业困难人员就业，向“4050”、残疾、低保、“零就业家庭”、低收入标准线边缘户、返低风险户等农村劳动力，提供精细化就业服务，符合条件的纳入公益性岗位托底安置。</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各涉农区政府，市人力资源社会保障局、市农业农村局、市民政局、市残联。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17</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乡镇（街道）根据区域就业困难人员规模和需求，可以安排一定比例适合就业困难人员的城市协管员岗位用于托底安置。支持涉农区试点利用1-2个非全日制乡村公益性岗位，托底安置农村就业困难人员，人员劳动报酬由项目资金保障，以个人身份缴纳职工社会保险的，按照灵活就业社会保险补贴标准给予补贴，所需资金市、区分担。</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各涉农区政府，市人力资源社会保障局、市农业农村局、市民政局、市财政局。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vAlign w:val="center"/>
          </w:tcPr>
          <w:p>
            <w:pPr>
              <w:suppressAutoHyphens/>
              <w:spacing w:line="500" w:lineRule="exact"/>
              <w:rPr>
                <w:rFonts w:ascii="仿宋_GB2312" w:eastAsia="仿宋_GB2312"/>
                <w:b/>
                <w:sz w:val="28"/>
                <w:szCs w:val="28"/>
              </w:rPr>
            </w:pPr>
            <w:r>
              <w:rPr>
                <w:rFonts w:hint="eastAsia" w:ascii="仿宋_GB2312" w:eastAsia="仿宋_GB2312"/>
                <w:bCs/>
                <w:sz w:val="28"/>
                <w:szCs w:val="28"/>
              </w:rPr>
              <w:t>（五）引导多途径就业参保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18</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支持农村劳动力灵活就业，将农村灵活就业纳入公共就业服务范围，建立“灵活就业服务平台”，采集农村季节性、非全日制用工信息，向农村劳动力提供就业服务。</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市人力资源社会保障局、市农业农村局，各涉农区政府。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19</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对“4045”、低保、“零就业家庭”、低收入、低收入标准线边缘户、返低风险户等农村劳动力，通过农民合作社等一产用工单位实现灵活就业的，试点给予3-5年的灵活就业社会保险补贴，所需资金市、区分担。</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市人力资源社会保障局、市农业农村局、市财政局、市民政局，各涉农区政府。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20</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畅通职工基本养老保险延缴通道，试点给予最长5年的职工基本养老保险延期缴费补贴，支持达到法定退休年龄时累计缴费不足最低缴费年限的农村劳动力选择延期缴费。所需资金由区财政保障。</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各涉农区政府，市人力资源社会保障局、市财政局。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0" w:type="auto"/>
            <w:gridSpan w:val="3"/>
            <w:vAlign w:val="center"/>
          </w:tcPr>
          <w:p>
            <w:pPr>
              <w:suppressAutoHyphens/>
              <w:spacing w:line="500" w:lineRule="exact"/>
              <w:rPr>
                <w:rFonts w:ascii="仿宋_GB2312" w:eastAsia="仿宋_GB2312"/>
                <w:b/>
                <w:sz w:val="28"/>
                <w:szCs w:val="28"/>
              </w:rPr>
            </w:pPr>
            <w:r>
              <w:rPr>
                <w:rFonts w:hint="eastAsia" w:ascii="仿宋_GB2312" w:eastAsia="仿宋_GB2312"/>
                <w:bCs/>
                <w:sz w:val="28"/>
                <w:szCs w:val="28"/>
              </w:rPr>
              <w:t>（六）鼓励创业带动就业参保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21</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支持示范带动能力强的农村创新创业基地发展，开展农村创新创业人才培训，鼓励“生鲜电商+冷链宅配”“中央厨房+食材冷链配送”等农村创新创业新模式，落实创业担保贷款、一次性创业补贴等创业扶持政策，促进农村劳动力创业就业。</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市农业农村局、市人力资源社会保障局、市发展改革委、市商务局、市金融监管局，各涉农区政府。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22</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加强创新创业教育支持，把创新创业教育融入人才培养全过程，开展免费创业培训，全面提升创新创业能力。市级大学生创业园向农业户籍毕业生（毕业两年内）开放，鼓励农业户籍毕业生返乡创业，支持大学生创业服务平台跟踪辅导，引导多层次资本市场资源对接优质大学生</w:t>
            </w:r>
            <w:r>
              <w:rPr>
                <w:rFonts w:ascii="仿宋_GB2312" w:eastAsia="仿宋_GB2312" w:cs="仿宋_GB2312"/>
                <w:sz w:val="28"/>
                <w:szCs w:val="28"/>
              </w:rPr>
              <w:t>创业企业，</w:t>
            </w:r>
            <w:r>
              <w:rPr>
                <w:rFonts w:hint="eastAsia" w:ascii="仿宋_GB2312" w:eastAsia="仿宋_GB2312" w:cs="仿宋_GB2312"/>
                <w:sz w:val="28"/>
                <w:szCs w:val="28"/>
              </w:rPr>
              <w:t>落实创业扶持政策，助力创业就业。</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市教委、市人力资源社会保障局、市农业农村局，各区政府。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0" w:type="auto"/>
            <w:gridSpan w:val="3"/>
            <w:vAlign w:val="center"/>
          </w:tcPr>
          <w:p>
            <w:pPr>
              <w:suppressAutoHyphens/>
              <w:spacing w:line="500" w:lineRule="exact"/>
              <w:rPr>
                <w:rFonts w:ascii="仿宋_GB2312" w:eastAsia="仿宋_GB2312" w:cs="CESI仿宋-GB2312"/>
                <w:b/>
                <w:sz w:val="28"/>
                <w:szCs w:val="28"/>
              </w:rPr>
            </w:pPr>
            <w:r>
              <w:rPr>
                <w:rFonts w:hint="eastAsia" w:ascii="仿宋_GB2312" w:eastAsia="仿宋_GB2312" w:cs="CESI仿宋-GB2312"/>
                <w:bCs/>
                <w:sz w:val="28"/>
                <w:szCs w:val="28"/>
              </w:rPr>
              <w:t>（七）保障措施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0" w:type="auto"/>
            <w:vAlign w:val="center"/>
          </w:tcPr>
          <w:p>
            <w:pPr>
              <w:suppressAutoHyphens/>
              <w:spacing w:line="500" w:lineRule="exact"/>
              <w:jc w:val="center"/>
              <w:rPr>
                <w:rFonts w:ascii="仿宋" w:eastAsia="仿宋" w:cs="CESI仿宋-GB2312"/>
                <w:bCs/>
                <w:sz w:val="28"/>
                <w:szCs w:val="28"/>
              </w:rPr>
            </w:pPr>
            <w:r>
              <w:rPr>
                <w:rFonts w:hint="eastAsia" w:ascii="仿宋" w:eastAsia="仿宋" w:cs="CESI仿宋-GB2312"/>
                <w:bCs/>
                <w:sz w:val="28"/>
                <w:szCs w:val="28"/>
              </w:rPr>
              <w:t>23</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将推进农村劳动力就业参保纳入市、区就业工作领导小组年度重点工作，明确任务，定期调度。</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市人力资源社会保障局，各区政府。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24</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将农村劳动力就业参保作为农业农村示范载体建设、涉农政策支持、农村评先创优等项目的重要考量，推进农村劳动力就业参保。</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市农业农村局，各涉农区政府。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25</w:t>
            </w:r>
          </w:p>
        </w:tc>
        <w:tc>
          <w:tcPr>
            <w:tcW w:w="8041" w:type="dxa"/>
            <w:vAlign w:val="center"/>
          </w:tcPr>
          <w:p>
            <w:pPr>
              <w:suppressAutoHyphens/>
              <w:spacing w:line="500" w:lineRule="exact"/>
              <w:rPr>
                <w:rFonts w:ascii="仿宋_GB2312" w:eastAsia="仿宋_GB2312" w:cs="仿宋_GB2312"/>
                <w:sz w:val="28"/>
                <w:szCs w:val="28"/>
                <w:u w:val="single"/>
              </w:rPr>
            </w:pPr>
            <w:r>
              <w:rPr>
                <w:rFonts w:hint="eastAsia" w:ascii="仿宋_GB2312" w:eastAsia="仿宋_GB2312" w:cs="仿宋_GB2312"/>
                <w:sz w:val="28"/>
                <w:szCs w:val="28"/>
              </w:rPr>
              <w:t>围绕农业农村现代化建设，大力发展农村产业，稳定乡村农业产业就业容量。</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市农业农村局，各涉农区政府。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26</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建立农村集体经济组织及所属企业、农民合作社等实体职工实名数据库，动态掌握职工数量以及“签合同、发工资、上保险”情况。</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各涉农区政府，市农业农村局、市人力资源社会保障局。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0" w:type="auto"/>
            <w:vAlign w:val="center"/>
          </w:tcPr>
          <w:p>
            <w:pPr>
              <w:suppressAutoHyphens/>
              <w:spacing w:line="500" w:lineRule="exact"/>
              <w:jc w:val="center"/>
              <w:rPr>
                <w:rFonts w:ascii="仿宋" w:eastAsia="仿宋" w:cs="CESI仿宋-GB2312"/>
                <w:sz w:val="28"/>
                <w:szCs w:val="28"/>
              </w:rPr>
            </w:pPr>
            <w:r>
              <w:rPr>
                <w:rFonts w:hint="eastAsia" w:ascii="仿宋" w:eastAsia="仿宋" w:cs="CESI仿宋-GB2312"/>
                <w:sz w:val="28"/>
                <w:szCs w:val="28"/>
              </w:rPr>
              <w:t>27</w:t>
            </w:r>
          </w:p>
        </w:tc>
        <w:tc>
          <w:tcPr>
            <w:tcW w:w="8041"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建立新型集体林场职工实名数据库，动态掌握职工数量以及“签合同、发工资、上保险”情况。</w:t>
            </w:r>
          </w:p>
        </w:tc>
        <w:tc>
          <w:tcPr>
            <w:tcW w:w="4348" w:type="dxa"/>
            <w:vAlign w:val="center"/>
          </w:tcPr>
          <w:p>
            <w:pPr>
              <w:suppressAutoHyphens/>
              <w:spacing w:line="500" w:lineRule="exact"/>
              <w:rPr>
                <w:rFonts w:ascii="仿宋_GB2312" w:eastAsia="仿宋_GB2312" w:cs="仿宋_GB2312"/>
                <w:sz w:val="28"/>
                <w:szCs w:val="28"/>
              </w:rPr>
            </w:pPr>
            <w:r>
              <w:rPr>
                <w:rFonts w:hint="eastAsia" w:ascii="仿宋_GB2312" w:eastAsia="仿宋_GB2312" w:cs="仿宋_GB2312"/>
                <w:sz w:val="28"/>
                <w:szCs w:val="28"/>
              </w:rPr>
              <w:t>市园林绿化局、市人力资源社会保障局，各涉农区政府。</w:t>
            </w:r>
          </w:p>
        </w:tc>
      </w:tr>
    </w:tbl>
    <w:p>
      <w:pPr>
        <w:pStyle w:val="2"/>
        <w:ind w:left="0" w:leftChars="0" w:firstLine="0" w:firstLineChars="0"/>
        <w:rPr>
          <w:rFonts w:hint="default"/>
          <w:sz w:val="36"/>
          <w:szCs w:val="24"/>
        </w:rPr>
      </w:pPr>
    </w:p>
    <w:sectPr>
      <w:footerReference r:id="rId3" w:type="default"/>
      <w:footerReference r:id="rId4" w:type="even"/>
      <w:pgSz w:w="16838" w:h="11906" w:orient="landscape"/>
      <w:pgMar w:top="1588" w:right="2098" w:bottom="1474" w:left="1985" w:header="851" w:footer="992" w:gutter="0"/>
      <w:pgNumType w:fmt="numberInDash"/>
      <w:cols w:space="720" w:num="1"/>
      <w:docGrid w:type="lines" w:linePitch="439" w:charSpace="-47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宋体">
    <w:altName w:val="Noto Sans CJK SC"/>
    <w:panose1 w:val="02010600040101010101"/>
    <w:charset w:val="86"/>
    <w:family w:val="auto"/>
    <w:pitch w:val="default"/>
    <w:sig w:usb0="00000000" w:usb1="00000000" w:usb2="00000010" w:usb3="00000000" w:csb0="0004009F" w:csb1="00000000"/>
  </w:font>
  <w:font w:name="Calibri Light">
    <w:altName w:val="DejaVu Sans"/>
    <w:panose1 w:val="020F0302020204030204"/>
    <w:charset w:val="00"/>
    <w:family w:val="swiss"/>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altName w:val="Noto Sans CJK SC"/>
    <w:panose1 w:val="02000000000000000000"/>
    <w:charset w:val="86"/>
    <w:family w:val="auto"/>
    <w:pitch w:val="default"/>
    <w:sig w:usb0="00000000" w:usb1="00000000" w:usb2="00000000" w:usb3="00000000" w:csb0="00040000" w:csb1="00000000"/>
  </w:font>
  <w:font w:name="方正黑体_GBK">
    <w:altName w:val="方正小标宋简体"/>
    <w:panose1 w:val="02000000000000000000"/>
    <w:charset w:val="86"/>
    <w:family w:val="auto"/>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楷体_GBK">
    <w:altName w:val="方正小标宋简体"/>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Noto Sans CJK SC"/>
    <w:panose1 w:val="02010609060101010101"/>
    <w:charset w:val="86"/>
    <w:family w:val="modern"/>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1 -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jc w:val="right"/>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1 -</w:t>
                    </w:r>
                    <w:r>
                      <w:rPr>
                        <w:rFonts w:ascii="宋体" w:eastAsia="宋体"/>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6 -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7"/>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6 -</w:t>
                    </w:r>
                    <w:r>
                      <w:rPr>
                        <w:rFonts w:ascii="宋体" w:eastAsia="宋体"/>
                        <w:sz w:val="28"/>
                        <w:szCs w:val="28"/>
                      </w:rP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297"/>
  <w:drawingGridVerticalSpacing w:val="43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DF2FDD"/>
    <w:rsid w:val="001450AA"/>
    <w:rsid w:val="00392253"/>
    <w:rsid w:val="007E40CF"/>
    <w:rsid w:val="00855292"/>
    <w:rsid w:val="008E1C37"/>
    <w:rsid w:val="00CA28EC"/>
    <w:rsid w:val="00DF2FDD"/>
    <w:rsid w:val="00EB4523"/>
    <w:rsid w:val="00F45896"/>
    <w:rsid w:val="00F63D7E"/>
    <w:rsid w:val="00FD0469"/>
    <w:rsid w:val="146F4015"/>
    <w:rsid w:val="1739076F"/>
    <w:rsid w:val="1EFFFC8B"/>
    <w:rsid w:val="27184BCE"/>
    <w:rsid w:val="328E4226"/>
    <w:rsid w:val="37CA2F53"/>
    <w:rsid w:val="57DC3BD0"/>
    <w:rsid w:val="5CFFA024"/>
    <w:rsid w:val="5E7DB7D2"/>
    <w:rsid w:val="66C2E1D8"/>
    <w:rsid w:val="6FF013D3"/>
    <w:rsid w:val="77D7E41E"/>
    <w:rsid w:val="78142C00"/>
    <w:rsid w:val="7E9F9926"/>
    <w:rsid w:val="7FF54E50"/>
    <w:rsid w:val="93F5DA59"/>
    <w:rsid w:val="9DFF8EE8"/>
    <w:rsid w:val="9FE4A13D"/>
    <w:rsid w:val="B75FD221"/>
    <w:rsid w:val="B7E1FA87"/>
    <w:rsid w:val="BBEFD54E"/>
    <w:rsid w:val="BBFF8BB1"/>
    <w:rsid w:val="BDCC4D7F"/>
    <w:rsid w:val="CFEF540D"/>
    <w:rsid w:val="D3FF7247"/>
    <w:rsid w:val="DF57166B"/>
    <w:rsid w:val="F97F3544"/>
    <w:rsid w:val="FDBDED13"/>
    <w:rsid w:val="FEFA7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宋体" w:cs="宋体"/>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Calibri Light" w:hAnsi="Calibri Light" w:eastAsia="宋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index 5"/>
    <w:basedOn w:val="1"/>
    <w:next w:val="1"/>
    <w:qFormat/>
    <w:uiPriority w:val="2"/>
    <w:pPr>
      <w:ind w:left="1680"/>
    </w:pPr>
  </w:style>
  <w:style w:type="paragraph" w:styleId="6">
    <w:name w:val="Balloon Text"/>
    <w:basedOn w:val="1"/>
    <w:qFormat/>
    <w:uiPriority w:val="0"/>
    <w:rPr>
      <w:sz w:val="18"/>
      <w:szCs w:val="18"/>
    </w:rPr>
  </w:style>
  <w:style w:type="paragraph" w:styleId="7">
    <w:name w:val="footer"/>
    <w:basedOn w:val="1"/>
    <w:next w:val="5"/>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eastAsia="宋体"/>
      <w:kern w:val="0"/>
      <w:sz w:val="24"/>
      <w:szCs w:val="24"/>
    </w:rPr>
  </w:style>
  <w:style w:type="paragraph" w:styleId="10">
    <w:name w:val="Title"/>
    <w:basedOn w:val="1"/>
    <w:next w:val="1"/>
    <w:qFormat/>
    <w:uiPriority w:val="0"/>
    <w:pPr>
      <w:snapToGrid w:val="0"/>
      <w:jc w:val="center"/>
      <w:outlineLvl w:val="0"/>
    </w:pPr>
    <w:rPr>
      <w:rFonts w:ascii="方正小标宋简体" w:hAnsi="Calibri" w:eastAsia="方正小标宋简体" w:cs="Times New Roman"/>
      <w:bCs/>
      <w:sz w:val="44"/>
      <w:szCs w:val="44"/>
    </w:rPr>
  </w:style>
  <w:style w:type="paragraph" w:customStyle="1" w:styleId="13">
    <w:name w:val="UserStyle_0"/>
    <w:basedOn w:val="1"/>
    <w:next w:val="1"/>
    <w:qFormat/>
    <w:uiPriority w:val="0"/>
    <w:pPr>
      <w:keepNext/>
      <w:keepLines/>
      <w:spacing w:before="280" w:after="290" w:line="376" w:lineRule="auto"/>
      <w:ind w:firstLine="250" w:firstLineChars="250"/>
    </w:pPr>
    <w:rPr>
      <w:rFonts w:ascii="Cambria" w:hAnsi="Cambria" w:cs="Cambria"/>
      <w:sz w:val="28"/>
      <w:szCs w:val="28"/>
    </w:rPr>
  </w:style>
  <w:style w:type="paragraph" w:customStyle="1" w:styleId="14">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1874</Words>
  <Characters>10683</Characters>
  <Lines>89</Lines>
  <Paragraphs>25</Paragraphs>
  <TotalTime>2590</TotalTime>
  <ScaleCrop>false</ScaleCrop>
  <LinksUpToDate>false</LinksUpToDate>
  <CharactersWithSpaces>12532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2020-06-29T11:18:00Z</dcterms:created>
  <dc:creator>pc</dc:creator>
  <cp:lastModifiedBy>乾坤</cp:lastModifiedBy>
  <cp:lastPrinted>2021-09-15T14:37:00Z</cp:lastPrinted>
  <dcterms:modified xsi:type="dcterms:W3CDTF">2021-09-16T10:18:09Z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EFFD00E131294AFD9241DCB6B6905532</vt:lpwstr>
  </property>
</Properties>
</file>