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方正小标宋简体" w:hAnsi="方正小标宋简体" w:eastAsia="方正小标宋简体" w:cs="方正小标宋简体"/>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color w:val="auto"/>
          <w:sz w:val="44"/>
          <w:szCs w:val="44"/>
          <w:lang w:eastAsia="zh-CN"/>
        </w:rPr>
      </w:pPr>
      <w:bookmarkStart w:id="4" w:name="_GoBack"/>
      <w:r>
        <w:rPr>
          <w:rFonts w:hint="eastAsia" w:ascii="方正小标宋简体" w:hAnsi="方正小标宋简体" w:eastAsia="方正小标宋简体" w:cs="方正小标宋简体"/>
          <w:color w:val="auto"/>
          <w:sz w:val="44"/>
          <w:szCs w:val="44"/>
        </w:rPr>
        <w:t>北京市工伤保险</w:t>
      </w:r>
      <w:r>
        <w:rPr>
          <w:rFonts w:hint="eastAsia" w:ascii="方正小标宋简体" w:hAnsi="方正小标宋简体" w:eastAsia="方正小标宋简体" w:cs="方正小标宋简体"/>
          <w:color w:val="auto"/>
          <w:sz w:val="44"/>
          <w:szCs w:val="44"/>
          <w:lang w:eastAsia="zh-CN"/>
        </w:rPr>
        <w:t>服务机构协议</w:t>
      </w:r>
      <w:r>
        <w:rPr>
          <w:rFonts w:hint="eastAsia" w:ascii="方正小标宋简体" w:hAnsi="方正小标宋简体" w:eastAsia="方正小标宋简体" w:cs="方正小标宋简体"/>
          <w:color w:val="auto"/>
          <w:sz w:val="44"/>
          <w:szCs w:val="44"/>
        </w:rPr>
        <w:t>管理</w:t>
      </w:r>
      <w:r>
        <w:rPr>
          <w:rFonts w:hint="eastAsia" w:ascii="方正小标宋简体" w:hAnsi="方正小标宋简体" w:eastAsia="方正小标宋简体" w:cs="方正小标宋简体"/>
          <w:color w:val="auto"/>
          <w:sz w:val="44"/>
          <w:szCs w:val="44"/>
          <w:lang w:eastAsia="zh-CN"/>
        </w:rPr>
        <w:t>细则</w:t>
      </w:r>
      <w:bookmarkEnd w:id="4"/>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CESI仿宋-GB2312" w:hAnsi="CESI仿宋-GB2312" w:eastAsia="CESI仿宋-GB2312" w:cs="CESI仿宋-GB2312"/>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第一章 总</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2" w:firstLineChars="200"/>
        <w:jc w:val="both"/>
        <w:textAlignment w:val="auto"/>
        <w:rPr>
          <w:rFonts w:hint="eastAsia" w:ascii="仿宋_GB2312" w:hAnsi="仿宋_GB2312" w:eastAsia="仿宋_GB2312" w:cs="仿宋_GB2312"/>
          <w:b/>
          <w:bCs/>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第一条</w:t>
      </w:r>
      <w:r>
        <w:rPr>
          <w:rFonts w:hint="eastAsia" w:ascii="仿宋_GB2312" w:hAnsi="仿宋_GB2312" w:eastAsia="仿宋_GB2312" w:cs="仿宋_GB2312"/>
          <w:color w:val="auto"/>
          <w:sz w:val="32"/>
          <w:szCs w:val="32"/>
        </w:rPr>
        <w:t xml:space="preserve"> 为切实做好</w:t>
      </w:r>
      <w:r>
        <w:rPr>
          <w:rFonts w:hint="eastAsia" w:ascii="仿宋_GB2312" w:hAnsi="仿宋_GB2312" w:eastAsia="仿宋_GB2312" w:cs="仿宋_GB2312"/>
          <w:color w:val="auto"/>
          <w:sz w:val="32"/>
          <w:szCs w:val="32"/>
          <w:lang w:eastAsia="zh-CN"/>
        </w:rPr>
        <w:t>本市</w:t>
      </w:r>
      <w:r>
        <w:rPr>
          <w:rFonts w:hint="eastAsia" w:ascii="仿宋_GB2312" w:hAnsi="仿宋_GB2312" w:eastAsia="仿宋_GB2312" w:cs="仿宋_GB2312"/>
          <w:color w:val="auto"/>
          <w:sz w:val="32"/>
          <w:szCs w:val="32"/>
        </w:rPr>
        <w:t>工伤保险</w:t>
      </w:r>
      <w:r>
        <w:rPr>
          <w:rFonts w:hint="eastAsia" w:ascii="仿宋_GB2312" w:hAnsi="仿宋_GB2312" w:eastAsia="仿宋_GB2312" w:cs="仿宋_GB2312"/>
          <w:color w:val="auto"/>
          <w:sz w:val="32"/>
          <w:szCs w:val="32"/>
          <w:lang w:eastAsia="zh-CN"/>
        </w:rPr>
        <w:t>服务机构协议</w:t>
      </w:r>
      <w:r>
        <w:rPr>
          <w:rFonts w:hint="eastAsia" w:ascii="仿宋_GB2312" w:hAnsi="仿宋_GB2312" w:eastAsia="仿宋_GB2312" w:cs="仿宋_GB2312"/>
          <w:color w:val="auto"/>
          <w:sz w:val="32"/>
          <w:szCs w:val="32"/>
        </w:rPr>
        <w:t>管理工作，规范工伤医疗</w:t>
      </w:r>
      <w:r>
        <w:rPr>
          <w:rFonts w:hint="eastAsia" w:ascii="仿宋_GB2312" w:hAnsi="仿宋_GB2312" w:eastAsia="仿宋_GB2312" w:cs="仿宋_GB2312"/>
          <w:color w:val="auto"/>
          <w:sz w:val="32"/>
          <w:szCs w:val="32"/>
          <w:lang w:eastAsia="zh-CN"/>
        </w:rPr>
        <w:t>、康复和辅助器具配置</w:t>
      </w:r>
      <w:r>
        <w:rPr>
          <w:rFonts w:hint="eastAsia" w:ascii="仿宋_GB2312" w:hAnsi="仿宋_GB2312" w:eastAsia="仿宋_GB2312" w:cs="仿宋_GB2312"/>
          <w:color w:val="auto"/>
          <w:sz w:val="32"/>
          <w:szCs w:val="32"/>
        </w:rPr>
        <w:t>服务行为，更好地保障工伤职工</w:t>
      </w:r>
      <w:r>
        <w:rPr>
          <w:rFonts w:hint="eastAsia" w:ascii="仿宋_GB2312" w:hAnsi="仿宋_GB2312" w:eastAsia="仿宋_GB2312" w:cs="仿宋_GB2312"/>
          <w:color w:val="auto"/>
          <w:sz w:val="32"/>
          <w:szCs w:val="32"/>
          <w:lang w:eastAsia="zh-CN"/>
        </w:rPr>
        <w:t>合法</w:t>
      </w:r>
      <w:r>
        <w:rPr>
          <w:rFonts w:hint="eastAsia" w:ascii="仿宋_GB2312" w:hAnsi="仿宋_GB2312" w:eastAsia="仿宋_GB2312" w:cs="仿宋_GB2312"/>
          <w:color w:val="auto"/>
          <w:sz w:val="32"/>
          <w:szCs w:val="32"/>
        </w:rPr>
        <w:t>权益，根据</w:t>
      </w:r>
      <w:r>
        <w:rPr>
          <w:rFonts w:hint="eastAsia" w:ascii="仿宋_GB2312" w:hAnsi="仿宋_GB2312" w:eastAsia="仿宋_GB2312" w:cs="仿宋_GB2312"/>
          <w:color w:val="auto"/>
          <w:sz w:val="32"/>
          <w:szCs w:val="32"/>
          <w:lang w:eastAsia="zh-CN"/>
        </w:rPr>
        <w:t>《中华人民共和国社会保险法》</w:t>
      </w:r>
      <w:r>
        <w:rPr>
          <w:rFonts w:hint="eastAsia" w:ascii="仿宋_GB2312" w:hAnsi="仿宋_GB2312" w:eastAsia="仿宋_GB2312" w:cs="仿宋_GB2312"/>
          <w:color w:val="auto"/>
          <w:sz w:val="32"/>
          <w:szCs w:val="32"/>
        </w:rPr>
        <w:t>《工伤保险条例》</w:t>
      </w:r>
      <w:r>
        <w:rPr>
          <w:rFonts w:hint="eastAsia" w:ascii="仿宋_GB2312" w:hAnsi="仿宋_GB2312" w:eastAsia="仿宋_GB2312" w:cs="仿宋_GB2312"/>
          <w:color w:val="auto"/>
          <w:sz w:val="32"/>
          <w:szCs w:val="32"/>
          <w:lang w:eastAsia="zh-CN"/>
        </w:rPr>
        <w:t>和本市工伤保险医疗、康复、辅助器具配置服务管理</w:t>
      </w:r>
      <w:r>
        <w:rPr>
          <w:rFonts w:hint="eastAsia" w:ascii="仿宋_GB2312" w:hAnsi="仿宋_GB2312" w:eastAsia="仿宋_GB2312" w:cs="仿宋_GB2312"/>
          <w:color w:val="auto"/>
          <w:sz w:val="32"/>
          <w:szCs w:val="32"/>
        </w:rPr>
        <w:t>等有关规定，结合</w:t>
      </w:r>
      <w:r>
        <w:rPr>
          <w:rFonts w:hint="eastAsia" w:ascii="仿宋_GB2312" w:hAnsi="仿宋_GB2312" w:eastAsia="仿宋_GB2312" w:cs="仿宋_GB2312"/>
          <w:color w:val="auto"/>
          <w:sz w:val="32"/>
          <w:szCs w:val="32"/>
          <w:lang w:eastAsia="zh-CN"/>
        </w:rPr>
        <w:t>本市</w:t>
      </w:r>
      <w:r>
        <w:rPr>
          <w:rFonts w:hint="eastAsia" w:ascii="仿宋_GB2312" w:hAnsi="仿宋_GB2312" w:eastAsia="仿宋_GB2312" w:cs="仿宋_GB2312"/>
          <w:color w:val="auto"/>
          <w:sz w:val="32"/>
          <w:szCs w:val="32"/>
        </w:rPr>
        <w:t>实际，制定本</w:t>
      </w:r>
      <w:r>
        <w:rPr>
          <w:rFonts w:hint="eastAsia" w:ascii="仿宋_GB2312" w:hAnsi="仿宋_GB2312" w:eastAsia="仿宋_GB2312" w:cs="仿宋_GB2312"/>
          <w:color w:val="auto"/>
          <w:sz w:val="32"/>
          <w:szCs w:val="32"/>
          <w:lang w:eastAsia="zh-CN"/>
        </w:rPr>
        <w:t>细则</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第二条</w:t>
      </w:r>
      <w:r>
        <w:rPr>
          <w:rFonts w:hint="eastAsia" w:ascii="仿宋_GB2312" w:hAnsi="仿宋_GB2312" w:eastAsia="仿宋_GB2312" w:cs="仿宋_GB2312"/>
          <w:color w:val="auto"/>
          <w:sz w:val="32"/>
          <w:szCs w:val="32"/>
        </w:rPr>
        <w:t xml:space="preserve"> 本</w:t>
      </w:r>
      <w:r>
        <w:rPr>
          <w:rFonts w:hint="eastAsia" w:ascii="仿宋_GB2312" w:hAnsi="仿宋_GB2312" w:eastAsia="仿宋_GB2312" w:cs="仿宋_GB2312"/>
          <w:color w:val="auto"/>
          <w:sz w:val="32"/>
          <w:szCs w:val="32"/>
          <w:lang w:val="en-US" w:eastAsia="zh-CN"/>
        </w:rPr>
        <w:t>细则</w:t>
      </w:r>
      <w:r>
        <w:rPr>
          <w:rFonts w:hint="eastAsia" w:ascii="仿宋_GB2312" w:hAnsi="仿宋_GB2312" w:eastAsia="仿宋_GB2312" w:cs="仿宋_GB2312"/>
          <w:color w:val="auto"/>
          <w:sz w:val="32"/>
          <w:szCs w:val="32"/>
        </w:rPr>
        <w:t>所指工伤保险</w:t>
      </w:r>
      <w:r>
        <w:rPr>
          <w:rFonts w:hint="eastAsia" w:ascii="仿宋_GB2312" w:hAnsi="仿宋_GB2312" w:eastAsia="仿宋_GB2312" w:cs="仿宋_GB2312"/>
          <w:color w:val="auto"/>
          <w:sz w:val="32"/>
          <w:szCs w:val="32"/>
          <w:lang w:eastAsia="zh-CN"/>
        </w:rPr>
        <w:t>服务机构，</w:t>
      </w:r>
      <w:r>
        <w:rPr>
          <w:rFonts w:hint="eastAsia" w:ascii="仿宋_GB2312" w:hAnsi="仿宋_GB2312" w:eastAsia="仿宋_GB2312" w:cs="仿宋_GB2312"/>
          <w:color w:val="auto"/>
          <w:sz w:val="32"/>
          <w:szCs w:val="32"/>
        </w:rPr>
        <w:t>是指</w:t>
      </w:r>
      <w:bookmarkStart w:id="0" w:name="_Hlk121496491"/>
      <w:r>
        <w:rPr>
          <w:rFonts w:hint="eastAsia" w:ascii="仿宋_GB2312" w:hAnsi="仿宋_GB2312" w:eastAsia="仿宋_GB2312" w:cs="仿宋_GB2312"/>
          <w:color w:val="auto"/>
          <w:sz w:val="32"/>
          <w:szCs w:val="32"/>
        </w:rPr>
        <w:t>与</w:t>
      </w:r>
      <w:r>
        <w:rPr>
          <w:rFonts w:hint="eastAsia" w:ascii="仿宋_GB2312" w:hAnsi="仿宋_GB2312" w:eastAsia="仿宋_GB2312" w:cs="仿宋_GB2312"/>
          <w:color w:val="auto"/>
          <w:sz w:val="32"/>
          <w:szCs w:val="32"/>
          <w:highlight w:val="none"/>
        </w:rPr>
        <w:t>北京市</w:t>
      </w:r>
      <w:r>
        <w:rPr>
          <w:rFonts w:hint="eastAsia" w:ascii="仿宋_GB2312" w:hAnsi="仿宋_GB2312" w:eastAsia="仿宋_GB2312" w:cs="仿宋_GB2312"/>
          <w:color w:val="auto"/>
          <w:sz w:val="32"/>
          <w:szCs w:val="32"/>
          <w:highlight w:val="none"/>
          <w:lang w:eastAsia="zh-CN"/>
        </w:rPr>
        <w:t>市级</w:t>
      </w:r>
      <w:r>
        <w:rPr>
          <w:rFonts w:hint="eastAsia" w:ascii="仿宋_GB2312" w:hAnsi="仿宋_GB2312" w:eastAsia="仿宋_GB2312" w:cs="仿宋_GB2312"/>
          <w:color w:val="auto"/>
          <w:sz w:val="32"/>
          <w:szCs w:val="32"/>
          <w:highlight w:val="none"/>
        </w:rPr>
        <w:t>工伤保险</w:t>
      </w:r>
      <w:r>
        <w:rPr>
          <w:rFonts w:hint="eastAsia" w:ascii="仿宋_GB2312" w:hAnsi="仿宋_GB2312" w:eastAsia="仿宋_GB2312" w:cs="仿宋_GB2312"/>
          <w:color w:val="auto"/>
          <w:sz w:val="32"/>
          <w:szCs w:val="32"/>
          <w:highlight w:val="none"/>
          <w:lang w:eastAsia="zh-CN"/>
        </w:rPr>
        <w:t>经办机构</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市经办机构</w:t>
      </w:r>
      <w:r>
        <w:rPr>
          <w:rFonts w:hint="eastAsia" w:ascii="仿宋_GB2312" w:hAnsi="仿宋_GB2312" w:eastAsia="仿宋_GB2312" w:cs="仿宋_GB2312"/>
          <w:color w:val="auto"/>
          <w:sz w:val="32"/>
          <w:szCs w:val="32"/>
        </w:rPr>
        <w:t>”）签订服务协议，为工伤职工提供医疗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康复</w:t>
      </w:r>
      <w:r>
        <w:rPr>
          <w:rFonts w:hint="eastAsia" w:ascii="仿宋_GB2312" w:hAnsi="仿宋_GB2312" w:eastAsia="仿宋_GB2312" w:cs="仿宋_GB2312"/>
          <w:color w:val="auto"/>
          <w:sz w:val="32"/>
          <w:szCs w:val="32"/>
          <w:lang w:eastAsia="zh-CN"/>
        </w:rPr>
        <w:t>和辅助器具配置</w:t>
      </w:r>
      <w:r>
        <w:rPr>
          <w:rFonts w:hint="eastAsia" w:ascii="仿宋_GB2312" w:hAnsi="仿宋_GB2312" w:eastAsia="仿宋_GB2312" w:cs="仿宋_GB2312"/>
          <w:color w:val="auto"/>
          <w:sz w:val="32"/>
          <w:szCs w:val="32"/>
        </w:rPr>
        <w:t>服务的机构(以下简称“</w:t>
      </w:r>
      <w:r>
        <w:rPr>
          <w:rFonts w:hint="eastAsia" w:ascii="仿宋_GB2312" w:hAnsi="仿宋_GB2312" w:eastAsia="仿宋_GB2312" w:cs="仿宋_GB2312"/>
          <w:color w:val="auto"/>
          <w:sz w:val="32"/>
          <w:szCs w:val="32"/>
          <w:lang w:eastAsia="zh-CN"/>
        </w:rPr>
        <w:t>服务机构</w:t>
      </w:r>
      <w:r>
        <w:rPr>
          <w:rFonts w:hint="eastAsia" w:ascii="仿宋_GB2312" w:hAnsi="仿宋_GB2312" w:eastAsia="仿宋_GB2312" w:cs="仿宋_GB2312"/>
          <w:color w:val="auto"/>
          <w:sz w:val="32"/>
          <w:szCs w:val="32"/>
        </w:rPr>
        <w:t>”)。</w:t>
      </w:r>
    </w:p>
    <w:bookmarkEnd w:id="0"/>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工伤保险</w:t>
      </w:r>
      <w:r>
        <w:rPr>
          <w:rFonts w:hint="eastAsia" w:ascii="仿宋_GB2312" w:hAnsi="仿宋_GB2312" w:eastAsia="仿宋_GB2312" w:cs="仿宋_GB2312"/>
          <w:color w:val="auto"/>
          <w:sz w:val="32"/>
          <w:szCs w:val="32"/>
        </w:rPr>
        <w:t>服务协议（以下简称“服务协议”），是指</w:t>
      </w:r>
      <w:r>
        <w:rPr>
          <w:rFonts w:hint="eastAsia" w:ascii="仿宋_GB2312" w:hAnsi="仿宋_GB2312" w:eastAsia="仿宋_GB2312" w:cs="仿宋_GB2312"/>
          <w:color w:val="auto"/>
          <w:sz w:val="32"/>
          <w:szCs w:val="32"/>
          <w:lang w:eastAsia="zh-CN"/>
        </w:rPr>
        <w:t>市经办机构</w:t>
      </w:r>
      <w:r>
        <w:rPr>
          <w:rFonts w:hint="eastAsia" w:ascii="仿宋_GB2312" w:hAnsi="仿宋_GB2312" w:eastAsia="仿宋_GB2312" w:cs="仿宋_GB2312"/>
          <w:color w:val="auto"/>
          <w:sz w:val="32"/>
          <w:szCs w:val="32"/>
        </w:rPr>
        <w:t>与</w:t>
      </w:r>
      <w:r>
        <w:rPr>
          <w:rFonts w:hint="eastAsia" w:ascii="仿宋_GB2312" w:hAnsi="仿宋_GB2312" w:eastAsia="仿宋_GB2312" w:cs="仿宋_GB2312"/>
          <w:color w:val="auto"/>
          <w:sz w:val="32"/>
          <w:szCs w:val="32"/>
          <w:lang w:eastAsia="zh-CN"/>
        </w:rPr>
        <w:t>服务机构</w:t>
      </w:r>
      <w:r>
        <w:rPr>
          <w:rFonts w:hint="eastAsia" w:ascii="仿宋_GB2312" w:hAnsi="仿宋_GB2312" w:eastAsia="仿宋_GB2312" w:cs="仿宋_GB2312"/>
          <w:color w:val="auto"/>
          <w:sz w:val="32"/>
          <w:szCs w:val="32"/>
        </w:rPr>
        <w:t>签订的用于规范双方权利、义务及违约处理等的专门合约。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第三条</w:t>
      </w:r>
      <w:r>
        <w:rPr>
          <w:rFonts w:hint="eastAsia" w:ascii="仿宋_GB2312" w:hAnsi="仿宋_GB2312" w:eastAsia="仿宋_GB2312" w:cs="仿宋_GB2312"/>
          <w:color w:val="auto"/>
          <w:sz w:val="32"/>
          <w:szCs w:val="32"/>
        </w:rPr>
        <w:t xml:space="preserve"> 本</w:t>
      </w:r>
      <w:r>
        <w:rPr>
          <w:rFonts w:hint="eastAsia" w:ascii="仿宋_GB2312" w:hAnsi="仿宋_GB2312" w:eastAsia="仿宋_GB2312" w:cs="仿宋_GB2312"/>
          <w:color w:val="auto"/>
          <w:sz w:val="32"/>
          <w:szCs w:val="32"/>
          <w:lang w:eastAsia="zh-CN"/>
        </w:rPr>
        <w:t>细则</w:t>
      </w:r>
      <w:r>
        <w:rPr>
          <w:rFonts w:hint="eastAsia" w:ascii="仿宋_GB2312" w:hAnsi="仿宋_GB2312" w:eastAsia="仿宋_GB2312" w:cs="仿宋_GB2312"/>
          <w:color w:val="auto"/>
          <w:sz w:val="32"/>
          <w:szCs w:val="32"/>
        </w:rPr>
        <w:t>适用于</w:t>
      </w:r>
      <w:bookmarkStart w:id="1" w:name="_Hlk121496536"/>
      <w:r>
        <w:rPr>
          <w:rFonts w:hint="eastAsia" w:ascii="仿宋_GB2312" w:hAnsi="仿宋_GB2312" w:eastAsia="仿宋_GB2312" w:cs="仿宋_GB2312"/>
          <w:color w:val="auto"/>
          <w:sz w:val="32"/>
          <w:szCs w:val="32"/>
          <w:lang w:eastAsia="zh-CN"/>
        </w:rPr>
        <w:t>本市</w:t>
      </w:r>
      <w:r>
        <w:rPr>
          <w:rFonts w:hint="eastAsia" w:ascii="仿宋_GB2312" w:hAnsi="仿宋_GB2312" w:eastAsia="仿宋_GB2312" w:cs="仿宋_GB2312"/>
          <w:color w:val="auto"/>
          <w:sz w:val="32"/>
          <w:szCs w:val="32"/>
        </w:rPr>
        <w:t>各级工伤保险经办机构（以下简称“经办机构”）以及</w:t>
      </w:r>
      <w:bookmarkEnd w:id="1"/>
      <w:r>
        <w:rPr>
          <w:rFonts w:hint="eastAsia" w:ascii="仿宋_GB2312" w:hAnsi="仿宋_GB2312" w:eastAsia="仿宋_GB2312" w:cs="仿宋_GB2312"/>
          <w:color w:val="auto"/>
          <w:sz w:val="32"/>
          <w:szCs w:val="32"/>
          <w:lang w:eastAsia="zh-CN"/>
        </w:rPr>
        <w:t>服务机构</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第四条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服务机构</w:t>
      </w:r>
      <w:r>
        <w:rPr>
          <w:rFonts w:hint="default" w:ascii="仿宋_GB2312" w:hAnsi="仿宋_GB2312" w:eastAsia="仿宋_GB2312" w:cs="仿宋_GB2312"/>
          <w:color w:val="auto"/>
          <w:sz w:val="32"/>
          <w:szCs w:val="32"/>
          <w:lang w:eastAsia="zh-CN"/>
        </w:rPr>
        <w:t>协议管理实行市</w:t>
      </w:r>
      <w:r>
        <w:rPr>
          <w:rFonts w:hint="eastAsia" w:ascii="仿宋_GB2312" w:hAnsi="仿宋_GB2312" w:eastAsia="仿宋_GB2312" w:cs="仿宋_GB2312"/>
          <w:color w:val="auto"/>
          <w:sz w:val="32"/>
          <w:szCs w:val="32"/>
          <w:lang w:val="en-US" w:eastAsia="zh-CN"/>
        </w:rPr>
        <w:t>经办机构</w:t>
      </w:r>
      <w:r>
        <w:rPr>
          <w:rFonts w:hint="default"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lang w:val="en-US" w:eastAsia="zh-CN"/>
        </w:rPr>
        <w:t>区经办机构</w:t>
      </w:r>
      <w:r>
        <w:rPr>
          <w:rFonts w:hint="default" w:ascii="仿宋_GB2312" w:hAnsi="仿宋_GB2312" w:eastAsia="仿宋_GB2312" w:cs="仿宋_GB2312"/>
          <w:color w:val="auto"/>
          <w:sz w:val="32"/>
          <w:szCs w:val="32"/>
          <w:lang w:eastAsia="zh-CN"/>
        </w:rPr>
        <w:t>两级管理。</w:t>
      </w:r>
      <w:r>
        <w:rPr>
          <w:rFonts w:hint="eastAsia" w:ascii="仿宋_GB2312" w:hAnsi="仿宋_GB2312" w:eastAsia="仿宋_GB2312" w:cs="仿宋_GB2312"/>
          <w:color w:val="auto"/>
          <w:sz w:val="32"/>
          <w:szCs w:val="32"/>
          <w:lang w:eastAsia="zh-CN"/>
        </w:rPr>
        <w:t>市经办机构</w:t>
      </w:r>
      <w:r>
        <w:rPr>
          <w:rFonts w:hint="eastAsia" w:ascii="仿宋_GB2312" w:hAnsi="仿宋_GB2312" w:eastAsia="仿宋_GB2312" w:cs="仿宋_GB2312"/>
          <w:color w:val="auto"/>
          <w:sz w:val="32"/>
          <w:szCs w:val="32"/>
        </w:rPr>
        <w:t>负责</w:t>
      </w:r>
      <w:r>
        <w:rPr>
          <w:rFonts w:hint="eastAsia" w:ascii="仿宋_GB2312" w:hAnsi="仿宋_GB2312" w:eastAsia="仿宋_GB2312" w:cs="仿宋_GB2312"/>
          <w:color w:val="auto"/>
          <w:sz w:val="32"/>
          <w:szCs w:val="32"/>
          <w:lang w:eastAsia="zh-CN"/>
        </w:rPr>
        <w:t>制定和修订服务协议，</w:t>
      </w:r>
      <w:r>
        <w:rPr>
          <w:rFonts w:hint="eastAsia" w:ascii="仿宋_GB2312" w:hAnsi="仿宋_GB2312" w:eastAsia="仿宋_GB2312" w:cs="仿宋_GB2312"/>
          <w:color w:val="auto"/>
          <w:sz w:val="32"/>
          <w:szCs w:val="32"/>
        </w:rPr>
        <w:t>与</w:t>
      </w:r>
      <w:r>
        <w:rPr>
          <w:rFonts w:hint="eastAsia" w:ascii="仿宋_GB2312" w:hAnsi="仿宋_GB2312" w:eastAsia="仿宋_GB2312" w:cs="仿宋_GB2312"/>
          <w:color w:val="auto"/>
          <w:sz w:val="32"/>
          <w:szCs w:val="32"/>
          <w:lang w:eastAsia="zh-CN"/>
        </w:rPr>
        <w:t>服务机构</w:t>
      </w:r>
      <w:r>
        <w:rPr>
          <w:rFonts w:hint="eastAsia" w:ascii="仿宋_GB2312" w:hAnsi="仿宋_GB2312" w:eastAsia="仿宋_GB2312" w:cs="仿宋_GB2312"/>
          <w:color w:val="auto"/>
          <w:sz w:val="32"/>
          <w:szCs w:val="32"/>
        </w:rPr>
        <w:t>签订服务协议，开展协议管理、考核</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val="en-US" w:eastAsia="zh-CN"/>
        </w:rPr>
        <w:t>区经办机构</w:t>
      </w:r>
      <w:r>
        <w:rPr>
          <w:rFonts w:hint="default" w:ascii="仿宋_GB2312" w:hAnsi="仿宋_GB2312" w:eastAsia="仿宋_GB2312" w:cs="仿宋_GB2312"/>
          <w:color w:val="auto"/>
          <w:sz w:val="32"/>
          <w:szCs w:val="32"/>
        </w:rPr>
        <w:t>落实协议管理主体责任进行指导和监督。</w:t>
      </w:r>
      <w:r>
        <w:rPr>
          <w:rFonts w:hint="eastAsia" w:ascii="仿宋_GB2312" w:hAnsi="仿宋_GB2312" w:eastAsia="仿宋_GB2312" w:cs="仿宋_GB2312"/>
          <w:color w:val="auto"/>
          <w:sz w:val="32"/>
          <w:szCs w:val="32"/>
          <w:lang w:val="en-US" w:eastAsia="zh-CN"/>
        </w:rPr>
        <w:t>区经办机构</w:t>
      </w:r>
      <w:r>
        <w:rPr>
          <w:rFonts w:hint="default" w:ascii="仿宋_GB2312" w:hAnsi="仿宋_GB2312" w:eastAsia="仿宋_GB2312" w:cs="仿宋_GB2312"/>
          <w:color w:val="auto"/>
          <w:sz w:val="32"/>
          <w:szCs w:val="32"/>
        </w:rPr>
        <w:t>按照监督管理与强化服务相结合的原则，对</w:t>
      </w:r>
      <w:r>
        <w:rPr>
          <w:rFonts w:hint="eastAsia" w:ascii="仿宋_GB2312" w:hAnsi="仿宋_GB2312" w:eastAsia="仿宋_GB2312" w:cs="仿宋_GB2312"/>
          <w:color w:val="auto"/>
          <w:sz w:val="32"/>
          <w:szCs w:val="32"/>
          <w:lang w:val="en-US" w:eastAsia="zh-CN"/>
        </w:rPr>
        <w:t>辖区内服务</w:t>
      </w:r>
      <w:r>
        <w:rPr>
          <w:rFonts w:hint="default" w:ascii="仿宋_GB2312" w:hAnsi="仿宋_GB2312" w:eastAsia="仿宋_GB2312" w:cs="仿宋_GB2312"/>
          <w:color w:val="auto"/>
          <w:sz w:val="32"/>
          <w:szCs w:val="32"/>
        </w:rPr>
        <w:t>机构落实属地管理主体责任</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服务机构</w:t>
      </w:r>
      <w:r>
        <w:rPr>
          <w:rFonts w:hint="eastAsia" w:ascii="仿宋_GB2312" w:hAnsi="仿宋_GB2312" w:eastAsia="仿宋_GB2312" w:cs="仿宋_GB2312"/>
          <w:color w:val="auto"/>
          <w:sz w:val="32"/>
          <w:szCs w:val="32"/>
        </w:rPr>
        <w:t>应严格遵守工伤保险法规政策和服务规范，全面履行服务协议，为工伤职工提供工伤医疗</w:t>
      </w:r>
      <w:r>
        <w:rPr>
          <w:rFonts w:hint="eastAsia" w:ascii="仿宋_GB2312" w:hAnsi="仿宋_GB2312" w:eastAsia="仿宋_GB2312" w:cs="仿宋_GB2312"/>
          <w:color w:val="auto"/>
          <w:sz w:val="32"/>
          <w:szCs w:val="32"/>
          <w:lang w:eastAsia="zh-CN"/>
        </w:rPr>
        <w:t>、康复和辅助器具配置</w:t>
      </w:r>
      <w:r>
        <w:rPr>
          <w:rFonts w:hint="eastAsia" w:ascii="仿宋_GB2312" w:hAnsi="仿宋_GB2312" w:eastAsia="仿宋_GB2312" w:cs="仿宋_GB2312"/>
          <w:color w:val="auto"/>
          <w:sz w:val="32"/>
          <w:szCs w:val="32"/>
        </w:rPr>
        <w:t>服务。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CESI仿宋-GB2312" w:hAnsi="CESI仿宋-GB2312" w:eastAsia="CESI仿宋-GB2312" w:cs="CESI仿宋-GB2312"/>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 xml:space="preserve">第二章 </w:t>
      </w:r>
      <w:bookmarkStart w:id="2" w:name="_Hlk121496738"/>
      <w:r>
        <w:rPr>
          <w:rFonts w:hint="eastAsia" w:ascii="黑体" w:hAnsi="黑体" w:eastAsia="黑体" w:cs="黑体"/>
          <w:b w:val="0"/>
          <w:bCs w:val="0"/>
          <w:color w:val="auto"/>
          <w:sz w:val="32"/>
          <w:szCs w:val="32"/>
          <w:lang w:eastAsia="zh-CN"/>
        </w:rPr>
        <w:t>服务机构</w:t>
      </w:r>
      <w:r>
        <w:rPr>
          <w:rFonts w:hint="eastAsia" w:ascii="黑体" w:hAnsi="黑体" w:eastAsia="黑体" w:cs="黑体"/>
          <w:b w:val="0"/>
          <w:bCs w:val="0"/>
          <w:color w:val="auto"/>
          <w:sz w:val="32"/>
          <w:szCs w:val="32"/>
        </w:rPr>
        <w:t>的确定</w:t>
      </w:r>
      <w:bookmarkEnd w:id="2"/>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2" w:firstLineChars="200"/>
        <w:jc w:val="both"/>
        <w:textAlignment w:val="auto"/>
        <w:rPr>
          <w:rFonts w:hint="eastAsia" w:ascii="仿宋_GB2312" w:hAnsi="仿宋_GB2312" w:eastAsia="仿宋_GB2312" w:cs="仿宋_GB2312"/>
          <w:b/>
          <w:bCs/>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第五条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市经办机构</w:t>
      </w:r>
      <w:r>
        <w:rPr>
          <w:rFonts w:hint="eastAsia" w:ascii="仿宋_GB2312" w:hAnsi="仿宋_GB2312" w:eastAsia="仿宋_GB2312" w:cs="仿宋_GB2312"/>
          <w:color w:val="auto"/>
          <w:sz w:val="32"/>
          <w:szCs w:val="32"/>
        </w:rPr>
        <w:t>按照合理布局、公开透明、动态管理、便民利民的原则，结合本市实际，决定开展新增</w:t>
      </w:r>
      <w:r>
        <w:rPr>
          <w:rFonts w:hint="eastAsia" w:ascii="仿宋_GB2312" w:hAnsi="仿宋_GB2312" w:eastAsia="仿宋_GB2312" w:cs="仿宋_GB2312"/>
          <w:color w:val="auto"/>
          <w:sz w:val="32"/>
          <w:szCs w:val="32"/>
          <w:lang w:eastAsia="zh-CN"/>
        </w:rPr>
        <w:t>服务机构</w:t>
      </w:r>
      <w:r>
        <w:rPr>
          <w:rFonts w:hint="eastAsia" w:ascii="仿宋_GB2312" w:hAnsi="仿宋_GB2312" w:eastAsia="仿宋_GB2312" w:cs="仿宋_GB2312"/>
          <w:color w:val="auto"/>
          <w:sz w:val="32"/>
          <w:szCs w:val="32"/>
        </w:rPr>
        <w:t>考察评估工作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统一确定本市</w:t>
      </w:r>
      <w:r>
        <w:rPr>
          <w:rFonts w:hint="eastAsia" w:ascii="仿宋_GB2312" w:hAnsi="仿宋_GB2312" w:eastAsia="仿宋_GB2312" w:cs="仿宋_GB2312"/>
          <w:color w:val="auto"/>
          <w:sz w:val="32"/>
          <w:szCs w:val="32"/>
          <w:lang w:eastAsia="zh-CN"/>
        </w:rPr>
        <w:t>服务机构</w:t>
      </w:r>
      <w:r>
        <w:rPr>
          <w:rFonts w:hint="eastAsia" w:ascii="仿宋_GB2312" w:hAnsi="仿宋_GB2312" w:eastAsia="仿宋_GB2312" w:cs="仿宋_GB2312"/>
          <w:color w:val="auto"/>
          <w:sz w:val="32"/>
          <w:szCs w:val="32"/>
        </w:rPr>
        <w:t>的资源配置。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市经办机构</w:t>
      </w:r>
      <w:r>
        <w:rPr>
          <w:rFonts w:hint="eastAsia" w:ascii="仿宋_GB2312" w:hAnsi="仿宋_GB2312" w:eastAsia="仿宋_GB2312" w:cs="仿宋_GB2312"/>
          <w:color w:val="auto"/>
          <w:sz w:val="32"/>
          <w:szCs w:val="32"/>
        </w:rPr>
        <w:t>制定新增</w:t>
      </w:r>
      <w:r>
        <w:rPr>
          <w:rFonts w:hint="eastAsia" w:ascii="仿宋_GB2312" w:hAnsi="仿宋_GB2312" w:eastAsia="仿宋_GB2312" w:cs="仿宋_GB2312"/>
          <w:color w:val="auto"/>
          <w:sz w:val="32"/>
          <w:szCs w:val="32"/>
          <w:lang w:eastAsia="zh-CN"/>
        </w:rPr>
        <w:t>服务机构</w:t>
      </w:r>
      <w:r>
        <w:rPr>
          <w:rFonts w:hint="eastAsia" w:ascii="仿宋_GB2312" w:hAnsi="仿宋_GB2312" w:eastAsia="仿宋_GB2312" w:cs="仿宋_GB2312"/>
          <w:color w:val="auto"/>
          <w:sz w:val="32"/>
          <w:szCs w:val="32"/>
        </w:rPr>
        <w:t>工作通知，明确</w:t>
      </w:r>
      <w:r>
        <w:rPr>
          <w:rFonts w:hint="eastAsia" w:ascii="仿宋_GB2312" w:hAnsi="仿宋_GB2312" w:eastAsia="仿宋_GB2312" w:cs="仿宋_GB2312"/>
          <w:color w:val="auto"/>
          <w:sz w:val="32"/>
          <w:szCs w:val="32"/>
          <w:lang w:eastAsia="zh-CN"/>
        </w:rPr>
        <w:t>服务机构</w:t>
      </w:r>
      <w:r>
        <w:rPr>
          <w:rFonts w:hint="eastAsia" w:ascii="仿宋_GB2312" w:hAnsi="仿宋_GB2312" w:eastAsia="仿宋_GB2312" w:cs="仿宋_GB2312"/>
          <w:color w:val="auto"/>
          <w:sz w:val="32"/>
          <w:szCs w:val="32"/>
        </w:rPr>
        <w:t>申请条件、申请材料、受理时间、受理地点等内容，并通过市人力资源社会保障局网站向社会公告。</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第六条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按照公告要求，</w:t>
      </w:r>
      <w:r>
        <w:rPr>
          <w:rFonts w:hint="eastAsia" w:ascii="仿宋_GB2312" w:hAnsi="仿宋_GB2312" w:eastAsia="仿宋_GB2312" w:cs="仿宋_GB2312"/>
          <w:color w:val="auto"/>
          <w:sz w:val="32"/>
          <w:szCs w:val="32"/>
          <w:lang w:eastAsia="zh-CN"/>
        </w:rPr>
        <w:t>符合国家及本市规定的工伤医疗机构、工伤康复机构和工伤辅助器具配置机构准入条件的机构</w:t>
      </w:r>
      <w:r>
        <w:rPr>
          <w:rFonts w:hint="eastAsia" w:ascii="仿宋_GB2312" w:hAnsi="仿宋_GB2312" w:eastAsia="仿宋_GB2312" w:cs="仿宋_GB2312"/>
          <w:color w:val="auto"/>
          <w:sz w:val="32"/>
          <w:szCs w:val="32"/>
          <w:highlight w:val="none"/>
        </w:rPr>
        <w:t>，可</w:t>
      </w:r>
      <w:r>
        <w:rPr>
          <w:rFonts w:hint="eastAsia" w:ascii="仿宋_GB2312" w:hAnsi="仿宋_GB2312" w:eastAsia="仿宋_GB2312" w:cs="仿宋_GB2312"/>
          <w:color w:val="auto"/>
          <w:sz w:val="32"/>
          <w:szCs w:val="32"/>
          <w:highlight w:val="none"/>
          <w:lang w:eastAsia="zh-CN"/>
        </w:rPr>
        <w:t>在规定时限内</w:t>
      </w:r>
      <w:r>
        <w:rPr>
          <w:rFonts w:hint="eastAsia" w:ascii="仿宋_GB2312" w:hAnsi="仿宋_GB2312" w:eastAsia="仿宋_GB2312" w:cs="仿宋_GB2312"/>
          <w:color w:val="auto"/>
          <w:sz w:val="32"/>
          <w:szCs w:val="32"/>
          <w:highlight w:val="none"/>
        </w:rPr>
        <w:t>向所在区经办机构提出申请，</w:t>
      </w:r>
      <w:r>
        <w:rPr>
          <w:rFonts w:hint="eastAsia" w:ascii="仿宋_GB2312" w:hAnsi="仿宋_GB2312" w:eastAsia="仿宋_GB2312" w:cs="仿宋_GB2312"/>
          <w:color w:val="auto"/>
          <w:sz w:val="32"/>
          <w:szCs w:val="32"/>
          <w:highlight w:val="none"/>
          <w:lang w:eastAsia="zh-CN"/>
        </w:rPr>
        <w:t>报送相关材料。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第七条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区经办机构应及时</w:t>
      </w:r>
      <w:r>
        <w:rPr>
          <w:rFonts w:hint="eastAsia" w:ascii="仿宋_GB2312" w:hAnsi="仿宋_GB2312" w:eastAsia="仿宋_GB2312" w:cs="仿宋_GB2312"/>
          <w:color w:val="auto"/>
          <w:sz w:val="32"/>
          <w:szCs w:val="32"/>
          <w:lang w:eastAsia="zh-CN"/>
        </w:rPr>
        <w:t>受理</w:t>
      </w:r>
      <w:r>
        <w:rPr>
          <w:rFonts w:hint="eastAsia" w:ascii="仿宋_GB2312" w:hAnsi="仿宋_GB2312" w:eastAsia="仿宋_GB2312" w:cs="仿宋_GB2312"/>
          <w:color w:val="auto"/>
          <w:sz w:val="32"/>
          <w:szCs w:val="32"/>
        </w:rPr>
        <w:t>医疗</w:t>
      </w:r>
      <w:r>
        <w:rPr>
          <w:rFonts w:hint="eastAsia" w:ascii="仿宋_GB2312" w:hAnsi="仿宋_GB2312" w:eastAsia="仿宋_GB2312" w:cs="仿宋_GB2312"/>
          <w:color w:val="auto"/>
          <w:sz w:val="32"/>
          <w:szCs w:val="32"/>
          <w:lang w:eastAsia="zh-CN"/>
        </w:rPr>
        <w:t>、康复</w:t>
      </w:r>
      <w:r>
        <w:rPr>
          <w:rFonts w:hint="eastAsia" w:ascii="仿宋_GB2312" w:hAnsi="仿宋_GB2312" w:eastAsia="仿宋_GB2312" w:cs="仿宋_GB2312"/>
          <w:color w:val="auto"/>
          <w:sz w:val="32"/>
          <w:szCs w:val="32"/>
        </w:rPr>
        <w:t>机构</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辅助器具配置机构</w:t>
      </w:r>
      <w:r>
        <w:rPr>
          <w:rFonts w:hint="eastAsia" w:ascii="仿宋_GB2312" w:hAnsi="仿宋_GB2312" w:eastAsia="仿宋_GB2312" w:cs="仿宋_GB2312"/>
          <w:color w:val="auto"/>
          <w:sz w:val="32"/>
          <w:szCs w:val="32"/>
          <w:lang w:eastAsia="zh-CN"/>
        </w:rPr>
        <w:t>申请</w:t>
      </w:r>
      <w:r>
        <w:rPr>
          <w:rFonts w:hint="eastAsia" w:ascii="仿宋_GB2312" w:hAnsi="仿宋_GB2312" w:eastAsia="仿宋_GB2312" w:cs="仿宋_GB2312"/>
          <w:color w:val="auto"/>
          <w:sz w:val="32"/>
          <w:szCs w:val="32"/>
          <w:lang w:val="en-US" w:eastAsia="zh-CN"/>
        </w:rPr>
        <w:t>,对</w:t>
      </w:r>
      <w:r>
        <w:rPr>
          <w:rFonts w:hint="eastAsia" w:ascii="仿宋_GB2312" w:hAnsi="仿宋_GB2312" w:eastAsia="仿宋_GB2312" w:cs="仿宋_GB2312"/>
          <w:color w:val="auto"/>
          <w:sz w:val="32"/>
          <w:szCs w:val="32"/>
        </w:rPr>
        <w:t>是否符合条件进行初审。</w:t>
      </w:r>
      <w:r>
        <w:rPr>
          <w:rFonts w:hint="eastAsia" w:ascii="仿宋_GB2312" w:hAnsi="仿宋_GB2312" w:eastAsia="仿宋_GB2312" w:cs="仿宋_GB2312"/>
          <w:color w:val="auto"/>
          <w:sz w:val="32"/>
          <w:szCs w:val="32"/>
          <w:lang w:eastAsia="zh-CN"/>
        </w:rPr>
        <w:t>对申请材料内容不全的，自收到材料之日起</w:t>
      </w:r>
      <w:r>
        <w:rPr>
          <w:rFonts w:hint="eastAsia" w:ascii="仿宋_GB2312" w:hAnsi="仿宋_GB2312" w:eastAsia="仿宋_GB2312" w:cs="仿宋_GB2312"/>
          <w:color w:val="auto"/>
          <w:sz w:val="32"/>
          <w:szCs w:val="32"/>
          <w:lang w:val="en-US" w:eastAsia="zh-CN"/>
        </w:rPr>
        <w:t>5个工作日内一次性告知机构进行补充；</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highlight w:val="none"/>
        </w:rPr>
        <w:t>不符合申请条件的，应将材料退回并告知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rPr>
        <w:t>初审合格的报送</w:t>
      </w:r>
      <w:r>
        <w:rPr>
          <w:rFonts w:hint="eastAsia" w:ascii="仿宋_GB2312" w:hAnsi="仿宋_GB2312" w:eastAsia="仿宋_GB2312" w:cs="仿宋_GB2312"/>
          <w:color w:val="auto"/>
          <w:sz w:val="32"/>
          <w:szCs w:val="32"/>
          <w:lang w:eastAsia="zh-CN"/>
        </w:rPr>
        <w:t>市经办机构</w:t>
      </w:r>
      <w:r>
        <w:rPr>
          <w:rFonts w:hint="eastAsia" w:ascii="仿宋_GB2312" w:hAnsi="仿宋_GB2312" w:eastAsia="仿宋_GB2312" w:cs="仿宋_GB2312"/>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eastAsia="仿宋_GB2312"/>
          <w:color w:val="auto"/>
          <w:sz w:val="32"/>
          <w:szCs w:val="32"/>
          <w:lang w:eastAsia="zh-CN"/>
        </w:rPr>
      </w:pPr>
      <w:r>
        <w:rPr>
          <w:rFonts w:hint="eastAsia" w:ascii="仿宋_GB2312" w:hAnsi="仿宋_GB2312" w:eastAsia="仿宋_GB2312" w:cs="仿宋_GB2312"/>
          <w:b/>
          <w:bCs/>
          <w:color w:val="auto"/>
          <w:sz w:val="32"/>
          <w:szCs w:val="32"/>
          <w:lang w:eastAsia="zh-CN"/>
        </w:rPr>
        <w:t>第</w:t>
      </w:r>
      <w:r>
        <w:rPr>
          <w:rFonts w:hint="eastAsia" w:ascii="仿宋_GB2312" w:hAnsi="仿宋_GB2312" w:eastAsia="仿宋_GB2312" w:cs="仿宋_GB2312"/>
          <w:b/>
          <w:bCs/>
          <w:color w:val="auto"/>
          <w:sz w:val="32"/>
          <w:szCs w:val="32"/>
          <w:lang w:val="en-US" w:eastAsia="zh-CN"/>
        </w:rPr>
        <w:t>八条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市经办机构</w:t>
      </w:r>
      <w:r>
        <w:rPr>
          <w:rFonts w:hint="eastAsia" w:ascii="仿宋_GB2312" w:hAnsi="仿宋_GB2312" w:eastAsia="仿宋_GB2312" w:cs="仿宋_GB2312"/>
          <w:color w:val="auto"/>
          <w:sz w:val="32"/>
          <w:szCs w:val="32"/>
        </w:rPr>
        <w:t>组织</w:t>
      </w:r>
      <w:r>
        <w:rPr>
          <w:rFonts w:hint="eastAsia" w:ascii="仿宋_GB2312" w:hAnsi="仿宋_GB2312" w:eastAsia="仿宋_GB2312" w:cs="仿宋_GB2312"/>
          <w:color w:val="auto"/>
          <w:sz w:val="32"/>
          <w:szCs w:val="32"/>
          <w:lang w:eastAsia="zh-CN"/>
        </w:rPr>
        <w:t>评估</w:t>
      </w:r>
      <w:r>
        <w:rPr>
          <w:rFonts w:hint="eastAsia" w:ascii="仿宋_GB2312" w:hAnsi="仿宋_GB2312" w:eastAsia="仿宋_GB2312" w:cs="仿宋_GB2312"/>
          <w:color w:val="auto"/>
          <w:sz w:val="32"/>
          <w:szCs w:val="32"/>
        </w:rPr>
        <w:t>小组对初审合格的医疗</w:t>
      </w:r>
      <w:r>
        <w:rPr>
          <w:rFonts w:hint="eastAsia" w:ascii="仿宋_GB2312" w:hAnsi="仿宋_GB2312" w:eastAsia="仿宋_GB2312" w:cs="仿宋_GB2312"/>
          <w:color w:val="auto"/>
          <w:sz w:val="32"/>
          <w:szCs w:val="32"/>
          <w:lang w:val="en-US" w:eastAsia="zh-CN"/>
        </w:rPr>
        <w:t>机构</w:t>
      </w:r>
      <w:r>
        <w:rPr>
          <w:rFonts w:hint="eastAsia" w:ascii="仿宋_GB2312" w:hAnsi="仿宋_GB2312" w:eastAsia="仿宋_GB2312" w:cs="仿宋_GB2312"/>
          <w:color w:val="auto"/>
          <w:sz w:val="32"/>
          <w:szCs w:val="32"/>
          <w:lang w:eastAsia="zh-CN"/>
        </w:rPr>
        <w:t>、康复</w:t>
      </w:r>
      <w:r>
        <w:rPr>
          <w:rFonts w:hint="eastAsia" w:ascii="仿宋_GB2312" w:hAnsi="仿宋_GB2312" w:eastAsia="仿宋_GB2312" w:cs="仿宋_GB2312"/>
          <w:color w:val="auto"/>
          <w:sz w:val="32"/>
          <w:szCs w:val="32"/>
          <w:lang w:val="en-US" w:eastAsia="zh-CN"/>
        </w:rPr>
        <w:t>机构和辅助器具配置</w:t>
      </w:r>
      <w:r>
        <w:rPr>
          <w:rFonts w:hint="eastAsia" w:ascii="仿宋_GB2312" w:hAnsi="仿宋_GB2312" w:eastAsia="仿宋_GB2312" w:cs="仿宋_GB2312"/>
          <w:color w:val="auto"/>
          <w:sz w:val="32"/>
          <w:szCs w:val="32"/>
        </w:rPr>
        <w:t>机构进行</w:t>
      </w:r>
      <w:r>
        <w:rPr>
          <w:rFonts w:hint="eastAsia" w:ascii="仿宋_GB2312" w:hAnsi="仿宋_GB2312" w:eastAsia="仿宋_GB2312" w:cs="仿宋_GB2312"/>
          <w:color w:val="auto"/>
          <w:sz w:val="32"/>
          <w:szCs w:val="32"/>
          <w:lang w:eastAsia="zh-CN"/>
        </w:rPr>
        <w:t>评估。评估</w:t>
      </w:r>
      <w:r>
        <w:rPr>
          <w:rFonts w:hint="eastAsia" w:ascii="仿宋_GB2312" w:hAnsi="仿宋_GB2312" w:eastAsia="仿宋_GB2312" w:cs="仿宋_GB2312"/>
          <w:color w:val="auto"/>
          <w:sz w:val="32"/>
          <w:szCs w:val="32"/>
        </w:rPr>
        <w:t>工作组由</w:t>
      </w:r>
      <w:r>
        <w:rPr>
          <w:rFonts w:hint="eastAsia" w:ascii="仿宋_GB2312" w:hAnsi="仿宋_GB2312" w:eastAsia="仿宋_GB2312" w:cs="仿宋_GB2312"/>
          <w:color w:val="auto"/>
          <w:sz w:val="32"/>
          <w:szCs w:val="32"/>
          <w:lang w:eastAsia="zh-CN"/>
        </w:rPr>
        <w:t>本市相关领域</w:t>
      </w:r>
      <w:r>
        <w:rPr>
          <w:rFonts w:hint="eastAsia" w:ascii="仿宋_GB2312" w:hAnsi="仿宋_GB2312" w:eastAsia="仿宋_GB2312" w:cs="仿宋_GB2312"/>
          <w:color w:val="auto"/>
          <w:sz w:val="32"/>
          <w:szCs w:val="32"/>
        </w:rPr>
        <w:t>专家、工伤</w:t>
      </w:r>
      <w:r>
        <w:rPr>
          <w:rFonts w:hint="eastAsia" w:ascii="仿宋_GB2312" w:hAnsi="仿宋_GB2312" w:eastAsia="仿宋_GB2312" w:cs="仿宋_GB2312"/>
          <w:color w:val="auto"/>
          <w:sz w:val="32"/>
          <w:szCs w:val="32"/>
          <w:lang w:eastAsia="zh-CN"/>
        </w:rPr>
        <w:t>保险和基本医疗</w:t>
      </w:r>
      <w:r>
        <w:rPr>
          <w:rFonts w:hint="eastAsia" w:ascii="仿宋_GB2312" w:hAnsi="仿宋_GB2312" w:eastAsia="仿宋_GB2312" w:cs="仿宋_GB2312"/>
          <w:color w:val="auto"/>
          <w:sz w:val="32"/>
          <w:szCs w:val="32"/>
        </w:rPr>
        <w:t>保险</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行政经办</w:t>
      </w:r>
      <w:r>
        <w:rPr>
          <w:rFonts w:hint="eastAsia" w:ascii="仿宋_GB2312" w:hAnsi="仿宋_GB2312" w:eastAsia="仿宋_GB2312" w:cs="仿宋_GB2312"/>
          <w:color w:val="auto"/>
          <w:sz w:val="32"/>
          <w:szCs w:val="32"/>
          <w:lang w:eastAsia="zh-CN"/>
        </w:rPr>
        <w:t>机构</w:t>
      </w:r>
      <w:r>
        <w:rPr>
          <w:rFonts w:hint="eastAsia" w:ascii="仿宋_GB2312" w:hAnsi="仿宋_GB2312" w:eastAsia="仿宋_GB2312" w:cs="仿宋_GB2312"/>
          <w:color w:val="auto"/>
          <w:sz w:val="32"/>
          <w:szCs w:val="32"/>
        </w:rPr>
        <w:t>人员组成。</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6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九</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在考察</w:t>
      </w:r>
      <w:r>
        <w:rPr>
          <w:rFonts w:hint="eastAsia" w:ascii="仿宋_GB2312" w:hAnsi="仿宋_GB2312" w:eastAsia="仿宋_GB2312" w:cs="仿宋_GB2312"/>
          <w:color w:val="auto"/>
          <w:sz w:val="32"/>
          <w:szCs w:val="32"/>
          <w:lang w:eastAsia="zh-CN"/>
        </w:rPr>
        <w:t>评估</w:t>
      </w:r>
      <w:r>
        <w:rPr>
          <w:rFonts w:hint="eastAsia" w:ascii="仿宋_GB2312" w:hAnsi="仿宋_GB2312" w:eastAsia="仿宋_GB2312" w:cs="仿宋_GB2312"/>
          <w:color w:val="auto"/>
          <w:sz w:val="32"/>
          <w:szCs w:val="32"/>
        </w:rPr>
        <w:t>中有下列情形之一的，终止对该机构的考察</w:t>
      </w:r>
      <w:r>
        <w:rPr>
          <w:rFonts w:hint="eastAsia" w:ascii="仿宋_GB2312" w:hAnsi="仿宋_GB2312" w:eastAsia="仿宋_GB2312" w:cs="仿宋_GB2312"/>
          <w:color w:val="auto"/>
          <w:sz w:val="32"/>
          <w:szCs w:val="32"/>
          <w:lang w:eastAsia="zh-CN"/>
        </w:rPr>
        <w:t>评估</w:t>
      </w:r>
      <w:r>
        <w:rPr>
          <w:rFonts w:hint="eastAsia" w:ascii="仿宋_GB2312" w:hAnsi="仿宋_GB2312" w:eastAsia="仿宋_GB2312" w:cs="仿宋_GB2312"/>
          <w:color w:val="auto"/>
          <w:sz w:val="32"/>
          <w:szCs w:val="32"/>
        </w:rPr>
        <w:t>，并书面告知。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6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（一）社会诚信信息核查，发现近3年因违反相关法律法规</w:t>
      </w:r>
      <w:r>
        <w:rPr>
          <w:rFonts w:hint="eastAsia" w:ascii="仿宋_GB2312" w:hAnsi="仿宋_GB2312" w:eastAsia="仿宋_GB2312" w:cs="仿宋_GB2312"/>
          <w:color w:val="auto"/>
          <w:sz w:val="32"/>
          <w:szCs w:val="32"/>
          <w:highlight w:val="none"/>
          <w:lang w:eastAsia="zh-CN"/>
        </w:rPr>
        <w:t>或发生重大医疗及质量安全事件</w:t>
      </w:r>
      <w:r>
        <w:rPr>
          <w:rFonts w:hint="eastAsia" w:ascii="仿宋_GB2312" w:hAnsi="仿宋_GB2312" w:eastAsia="仿宋_GB2312" w:cs="仿宋_GB2312"/>
          <w:color w:val="auto"/>
          <w:sz w:val="32"/>
          <w:szCs w:val="32"/>
          <w:highlight w:val="none"/>
        </w:rPr>
        <w:t>，被社会保险、卫生健康、医疗保险等有关部门处理的；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6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（二）资料查验，发现提供虚假材料的；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6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）现场检查，对医疗、康复机构</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辅助器具配置机构的资质情况、场地设施、科室设置、人员配备、信息系统、内部管理等情况进行检查，现场检查不合格的。</w:t>
      </w:r>
    </w:p>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第十条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市经办机构</w:t>
      </w:r>
      <w:r>
        <w:rPr>
          <w:rFonts w:hint="eastAsia" w:ascii="仿宋_GB2312" w:hAnsi="仿宋_GB2312" w:eastAsia="仿宋_GB2312" w:cs="仿宋_GB2312"/>
          <w:color w:val="auto"/>
          <w:sz w:val="32"/>
          <w:szCs w:val="32"/>
        </w:rPr>
        <w:t>应将考察</w:t>
      </w:r>
      <w:r>
        <w:rPr>
          <w:rFonts w:hint="eastAsia" w:ascii="仿宋_GB2312" w:hAnsi="仿宋_GB2312" w:eastAsia="仿宋_GB2312" w:cs="仿宋_GB2312"/>
          <w:color w:val="auto"/>
          <w:sz w:val="32"/>
          <w:szCs w:val="32"/>
          <w:lang w:eastAsia="zh-CN"/>
        </w:rPr>
        <w:t>评估</w:t>
      </w:r>
      <w:r>
        <w:rPr>
          <w:rFonts w:hint="eastAsia" w:ascii="仿宋_GB2312" w:hAnsi="仿宋_GB2312" w:eastAsia="仿宋_GB2312" w:cs="仿宋_GB2312"/>
          <w:color w:val="auto"/>
          <w:sz w:val="32"/>
          <w:szCs w:val="32"/>
        </w:rPr>
        <w:t>通过的医疗</w:t>
      </w:r>
      <w:r>
        <w:rPr>
          <w:rFonts w:hint="eastAsia" w:ascii="仿宋_GB2312" w:hAnsi="仿宋_GB2312" w:eastAsia="仿宋_GB2312" w:cs="仿宋_GB2312"/>
          <w:color w:val="auto"/>
          <w:sz w:val="32"/>
          <w:szCs w:val="32"/>
          <w:lang w:eastAsia="zh-CN"/>
        </w:rPr>
        <w:t>机构</w:t>
      </w:r>
      <w:r>
        <w:rPr>
          <w:rFonts w:hint="eastAsia" w:ascii="仿宋_GB2312" w:hAnsi="仿宋_GB2312" w:eastAsia="仿宋_GB2312" w:cs="仿宋_GB2312"/>
          <w:color w:val="auto"/>
          <w:sz w:val="32"/>
          <w:szCs w:val="32"/>
        </w:rPr>
        <w:t>、康复机构</w:t>
      </w:r>
      <w:r>
        <w:rPr>
          <w:rFonts w:hint="eastAsia" w:ascii="仿宋_GB2312" w:hAnsi="仿宋_GB2312" w:eastAsia="仿宋_GB2312" w:cs="仿宋_GB2312"/>
          <w:color w:val="auto"/>
          <w:sz w:val="32"/>
          <w:szCs w:val="32"/>
          <w:lang w:eastAsia="zh-CN"/>
        </w:rPr>
        <w:t>和辅助器具配置机构</w:t>
      </w:r>
      <w:r>
        <w:rPr>
          <w:rFonts w:hint="eastAsia" w:ascii="仿宋_GB2312" w:hAnsi="仿宋_GB2312" w:eastAsia="仿宋_GB2312" w:cs="仿宋_GB2312"/>
          <w:color w:val="auto"/>
          <w:sz w:val="32"/>
          <w:szCs w:val="32"/>
        </w:rPr>
        <w:t>名单</w:t>
      </w:r>
      <w:r>
        <w:rPr>
          <w:rFonts w:hint="eastAsia" w:ascii="仿宋_GB2312" w:hAnsi="仿宋_GB2312" w:eastAsia="仿宋_GB2312" w:cs="仿宋_GB2312"/>
          <w:color w:val="auto"/>
          <w:sz w:val="32"/>
          <w:szCs w:val="32"/>
          <w:lang w:eastAsia="zh-CN"/>
        </w:rPr>
        <w:t>在市人力资源社会保障局网站</w:t>
      </w:r>
      <w:r>
        <w:rPr>
          <w:rFonts w:hint="eastAsia" w:ascii="仿宋_GB2312" w:hAnsi="仿宋_GB2312" w:eastAsia="仿宋_GB2312" w:cs="仿宋_GB2312"/>
          <w:color w:val="auto"/>
          <w:sz w:val="32"/>
          <w:szCs w:val="32"/>
          <w:highlight w:val="none"/>
        </w:rPr>
        <w:t>向社会进行</w:t>
      </w:r>
      <w:r>
        <w:rPr>
          <w:rFonts w:hint="eastAsia" w:ascii="仿宋_GB2312" w:hAnsi="仿宋_GB2312" w:eastAsia="仿宋_GB2312" w:cs="仿宋_GB2312"/>
          <w:color w:val="auto"/>
          <w:sz w:val="32"/>
          <w:szCs w:val="32"/>
        </w:rPr>
        <w:t>公示</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公示期为5个工作日</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，接受监督</w:t>
      </w:r>
      <w:r>
        <w:rPr>
          <w:rFonts w:hint="eastAsia" w:ascii="仿宋_GB2312" w:hAnsi="仿宋_GB2312" w:eastAsia="仿宋_GB2312" w:cs="仿宋_GB2312"/>
          <w:color w:val="auto"/>
          <w:sz w:val="32"/>
          <w:szCs w:val="32"/>
          <w:lang w:eastAsia="zh-CN"/>
        </w:rPr>
        <w:t>举报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被举报的机构</w:t>
      </w:r>
      <w:r>
        <w:rPr>
          <w:rFonts w:hint="eastAsia" w:ascii="仿宋_GB2312" w:hAnsi="仿宋_GB2312" w:eastAsia="仿宋_GB2312" w:cs="仿宋_GB2312"/>
          <w:color w:val="auto"/>
          <w:sz w:val="32"/>
          <w:szCs w:val="32"/>
          <w:lang w:val="en-US" w:eastAsia="zh-CN"/>
        </w:rPr>
        <w:t>,经核查属实,确定不符合新增服务机构条件的,终止对该机构的考察评估。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公示期满无异议的，</w:t>
      </w:r>
      <w:r>
        <w:rPr>
          <w:rFonts w:hint="eastAsia" w:ascii="仿宋_GB2312" w:hAnsi="仿宋_GB2312" w:eastAsia="仿宋_GB2312" w:cs="仿宋_GB2312"/>
          <w:color w:val="auto"/>
          <w:sz w:val="32"/>
          <w:szCs w:val="32"/>
          <w:lang w:eastAsia="zh-CN"/>
        </w:rPr>
        <w:t>市经办机构与评估合格的机构</w:t>
      </w:r>
      <w:r>
        <w:rPr>
          <w:rFonts w:hint="eastAsia" w:ascii="仿宋_GB2312" w:hAnsi="仿宋_GB2312" w:eastAsia="仿宋_GB2312" w:cs="仿宋_GB2312"/>
          <w:color w:val="auto"/>
          <w:sz w:val="32"/>
          <w:szCs w:val="32"/>
        </w:rPr>
        <w:t>就服务协议内容进行协商，协商期不超过15个工作日，自协商之日起开始计算。协商期内双方达成一致意见的，签订服务协议；无法达成一致意见的，终止协商，并告知该机构，本次考察</w:t>
      </w:r>
      <w:r>
        <w:rPr>
          <w:rFonts w:hint="eastAsia" w:ascii="仿宋_GB2312" w:hAnsi="仿宋_GB2312" w:eastAsia="仿宋_GB2312" w:cs="仿宋_GB2312"/>
          <w:color w:val="auto"/>
          <w:sz w:val="32"/>
          <w:szCs w:val="32"/>
          <w:lang w:eastAsia="zh-CN"/>
        </w:rPr>
        <w:t>评估</w:t>
      </w:r>
      <w:r>
        <w:rPr>
          <w:rFonts w:hint="eastAsia" w:ascii="仿宋_GB2312" w:hAnsi="仿宋_GB2312" w:eastAsia="仿宋_GB2312" w:cs="仿宋_GB2312"/>
          <w:color w:val="auto"/>
          <w:sz w:val="32"/>
          <w:szCs w:val="32"/>
        </w:rPr>
        <w:t>结束。</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lang w:val="en-US" w:eastAsia="zh-CN"/>
        </w:rPr>
        <w:t xml:space="preserve">第十一条 </w:t>
      </w:r>
      <w:r>
        <w:rPr>
          <w:rFonts w:hint="eastAsia" w:ascii="仿宋_GB2312" w:hAnsi="仿宋_GB2312" w:eastAsia="仿宋_GB2312" w:cs="仿宋_GB2312"/>
          <w:color w:val="auto"/>
          <w:sz w:val="32"/>
          <w:szCs w:val="32"/>
        </w:rPr>
        <w:t>与</w:t>
      </w:r>
      <w:r>
        <w:rPr>
          <w:rFonts w:hint="eastAsia" w:ascii="仿宋_GB2312" w:hAnsi="仿宋_GB2312" w:eastAsia="仿宋_GB2312" w:cs="仿宋_GB2312"/>
          <w:color w:val="auto"/>
          <w:sz w:val="32"/>
          <w:szCs w:val="32"/>
          <w:lang w:eastAsia="zh-CN"/>
        </w:rPr>
        <w:t>评估</w:t>
      </w:r>
      <w:r>
        <w:rPr>
          <w:rFonts w:hint="eastAsia" w:ascii="仿宋_GB2312" w:hAnsi="仿宋_GB2312" w:eastAsia="仿宋_GB2312" w:cs="仿宋_GB2312"/>
          <w:color w:val="auto"/>
          <w:sz w:val="32"/>
          <w:szCs w:val="32"/>
        </w:rPr>
        <w:t>合格的医疗</w:t>
      </w:r>
      <w:r>
        <w:rPr>
          <w:rFonts w:hint="eastAsia" w:ascii="仿宋_GB2312" w:hAnsi="仿宋_GB2312" w:eastAsia="仿宋_GB2312" w:cs="仿宋_GB2312"/>
          <w:color w:val="auto"/>
          <w:sz w:val="32"/>
          <w:szCs w:val="32"/>
          <w:lang w:eastAsia="zh-CN"/>
        </w:rPr>
        <w:t>、康复和辅助器具配置</w:t>
      </w:r>
      <w:r>
        <w:rPr>
          <w:rFonts w:hint="eastAsia" w:ascii="仿宋_GB2312" w:hAnsi="仿宋_GB2312" w:eastAsia="仿宋_GB2312" w:cs="仿宋_GB2312"/>
          <w:color w:val="auto"/>
          <w:sz w:val="32"/>
          <w:szCs w:val="32"/>
        </w:rPr>
        <w:t>机构协商达成一致的，由</w:t>
      </w:r>
      <w:r>
        <w:rPr>
          <w:rFonts w:hint="eastAsia" w:ascii="仿宋_GB2312" w:hAnsi="仿宋_GB2312" w:eastAsia="仿宋_GB2312" w:cs="仿宋_GB2312"/>
          <w:color w:val="auto"/>
          <w:sz w:val="32"/>
          <w:szCs w:val="32"/>
          <w:lang w:eastAsia="zh-CN"/>
        </w:rPr>
        <w:t>市经办机构</w:t>
      </w:r>
      <w:r>
        <w:rPr>
          <w:rFonts w:hint="eastAsia" w:ascii="仿宋_GB2312" w:hAnsi="仿宋_GB2312" w:eastAsia="仿宋_GB2312" w:cs="仿宋_GB2312"/>
          <w:color w:val="auto"/>
          <w:sz w:val="32"/>
          <w:szCs w:val="32"/>
        </w:rPr>
        <w:t>与医疗、康复和辅助器具配置机构签订服务协议。服务协议应明确双方权利、义务和责任。签订服务协议的双方应当严格执行协议约定。</w:t>
      </w:r>
      <w:r>
        <w:rPr>
          <w:rFonts w:hint="eastAsia" w:ascii="仿宋_GB2312" w:hAnsi="仿宋_GB2312" w:eastAsia="仿宋_GB2312" w:cs="仿宋_GB2312"/>
          <w:color w:val="auto"/>
          <w:sz w:val="32"/>
          <w:szCs w:val="32"/>
          <w:highlight w:val="none"/>
        </w:rPr>
        <w:t>协议期限一般为1年。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2"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第十二条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市工伤经办机构向社会公布签订工伤保险服务机构信息，包括</w:t>
      </w:r>
      <w:r>
        <w:rPr>
          <w:rFonts w:hint="eastAsia" w:ascii="仿宋_GB2312" w:hAnsi="仿宋_GB2312" w:eastAsia="仿宋_GB2312" w:cs="仿宋_GB2312"/>
          <w:color w:val="auto"/>
          <w:sz w:val="32"/>
          <w:szCs w:val="32"/>
          <w:highlight w:val="none"/>
          <w:lang w:val="en-US" w:eastAsia="zh-CN"/>
        </w:rPr>
        <w:t>服务机构名称、地址、类别等。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bCs/>
          <w:color w:val="auto"/>
          <w:sz w:val="32"/>
          <w:szCs w:val="32"/>
        </w:rPr>
      </w:pPr>
      <w:r>
        <w:rPr>
          <w:rFonts w:hint="eastAsia" w:ascii="黑体" w:hAnsi="黑体" w:eastAsia="黑体" w:cs="黑体"/>
          <w:b w:val="0"/>
          <w:bCs w:val="0"/>
          <w:color w:val="auto"/>
          <w:sz w:val="32"/>
          <w:szCs w:val="32"/>
          <w:lang w:eastAsia="zh-CN"/>
        </w:rPr>
        <w:tab/>
      </w: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三</w:t>
      </w:r>
      <w:r>
        <w:rPr>
          <w:rFonts w:hint="eastAsia" w:ascii="黑体" w:hAnsi="黑体" w:eastAsia="黑体" w:cs="黑体"/>
          <w:b w:val="0"/>
          <w:bCs w:val="0"/>
          <w:color w:val="auto"/>
          <w:sz w:val="32"/>
          <w:szCs w:val="32"/>
        </w:rPr>
        <w:t xml:space="preserve">章 </w:t>
      </w:r>
      <w:r>
        <w:rPr>
          <w:rFonts w:hint="eastAsia" w:ascii="黑体" w:hAnsi="黑体" w:eastAsia="黑体" w:cs="黑体"/>
          <w:b w:val="0"/>
          <w:bCs w:val="0"/>
          <w:color w:val="auto"/>
          <w:sz w:val="32"/>
          <w:szCs w:val="32"/>
          <w:lang w:val="en-US" w:eastAsia="zh-CN"/>
        </w:rPr>
        <w:t>服务机构的动态管理</w:t>
      </w:r>
    </w:p>
    <w:p>
      <w:pPr>
        <w:keepNext w:val="0"/>
        <w:keepLines w:val="0"/>
        <w:pageBreakBefore w:val="0"/>
        <w:widowControl w:val="0"/>
        <w:tabs>
          <w:tab w:val="left" w:pos="265"/>
        </w:tabs>
        <w:kinsoku/>
        <w:wordWrap/>
        <w:overflowPunct/>
        <w:topLinePunct w:val="0"/>
        <w:autoSpaceDE/>
        <w:autoSpaceDN/>
        <w:bidi w:val="0"/>
        <w:adjustRightInd/>
        <w:snapToGrid/>
        <w:spacing w:line="560" w:lineRule="exact"/>
        <w:ind w:firstLine="0" w:firstLineChars="0"/>
        <w:jc w:val="left"/>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ab/>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十三</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服务机构</w:t>
      </w:r>
      <w:r>
        <w:rPr>
          <w:rFonts w:hint="eastAsia" w:ascii="仿宋_GB2312" w:hAnsi="仿宋_GB2312" w:eastAsia="仿宋_GB2312" w:cs="仿宋_GB2312"/>
          <w:color w:val="auto"/>
          <w:sz w:val="32"/>
          <w:szCs w:val="32"/>
        </w:rPr>
        <w:t>的名称、法定代表人、主要负责人或实际控制人、注册地址、银行账户、诊疗科目、机构规模、机构性质、等级和类别等重大信息变更时，应自有关部门批准之日起30个工作日内向区经办机构提出变更申请，区经办机构应及时将相关信息变更申请报</w:t>
      </w:r>
      <w:r>
        <w:rPr>
          <w:rFonts w:hint="eastAsia" w:ascii="仿宋_GB2312" w:hAnsi="仿宋_GB2312" w:eastAsia="仿宋_GB2312" w:cs="仿宋_GB2312"/>
          <w:color w:val="auto"/>
          <w:sz w:val="32"/>
          <w:szCs w:val="32"/>
          <w:lang w:eastAsia="zh-CN"/>
        </w:rPr>
        <w:t>市经办机构</w:t>
      </w:r>
      <w:r>
        <w:rPr>
          <w:rFonts w:hint="eastAsia" w:ascii="仿宋_GB2312" w:hAnsi="仿宋_GB2312" w:eastAsia="仿宋_GB2312" w:cs="仿宋_GB2312"/>
          <w:color w:val="auto"/>
          <w:sz w:val="32"/>
          <w:szCs w:val="32"/>
        </w:rPr>
        <w:t>。其他一般信息变更应及时书面告知区经办机构，由区经办机构进行变更。</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2"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十四</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协议</w:t>
      </w:r>
      <w:r>
        <w:rPr>
          <w:rFonts w:hint="eastAsia" w:ascii="仿宋_GB2312" w:hAnsi="仿宋_GB2312" w:eastAsia="仿宋_GB2312" w:cs="仿宋_GB2312"/>
          <w:color w:val="auto"/>
          <w:sz w:val="32"/>
          <w:szCs w:val="32"/>
        </w:rPr>
        <w:t>续签应由</w:t>
      </w:r>
      <w:r>
        <w:rPr>
          <w:rFonts w:hint="eastAsia" w:ascii="仿宋_GB2312" w:hAnsi="仿宋_GB2312" w:eastAsia="仿宋_GB2312" w:cs="仿宋_GB2312"/>
          <w:color w:val="auto"/>
          <w:sz w:val="32"/>
          <w:szCs w:val="32"/>
          <w:lang w:eastAsia="zh-CN"/>
        </w:rPr>
        <w:t>服务机构</w:t>
      </w:r>
      <w:r>
        <w:rPr>
          <w:rFonts w:hint="eastAsia" w:ascii="仿宋_GB2312" w:hAnsi="仿宋_GB2312" w:eastAsia="仿宋_GB2312" w:cs="仿宋_GB2312"/>
          <w:color w:val="auto"/>
          <w:sz w:val="32"/>
          <w:szCs w:val="32"/>
        </w:rPr>
        <w:t>于服务协议期满前3个月向区经办机构提出申请或由区经办机构统一组织，并将相关信息报</w:t>
      </w:r>
      <w:r>
        <w:rPr>
          <w:rFonts w:hint="eastAsia" w:ascii="仿宋_GB2312" w:hAnsi="仿宋_GB2312" w:eastAsia="仿宋_GB2312" w:cs="仿宋_GB2312"/>
          <w:color w:val="auto"/>
          <w:sz w:val="32"/>
          <w:szCs w:val="32"/>
          <w:lang w:eastAsia="zh-CN"/>
        </w:rPr>
        <w:t>市经办机构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市经办机构</w:t>
      </w:r>
      <w:r>
        <w:rPr>
          <w:rFonts w:hint="eastAsia" w:ascii="仿宋_GB2312" w:hAnsi="仿宋_GB2312" w:eastAsia="仿宋_GB2312" w:cs="仿宋_GB2312"/>
          <w:color w:val="auto"/>
          <w:sz w:val="32"/>
          <w:szCs w:val="32"/>
        </w:rPr>
        <w:t>、区经办机构与</w:t>
      </w:r>
      <w:r>
        <w:rPr>
          <w:rFonts w:hint="eastAsia" w:ascii="仿宋_GB2312" w:hAnsi="仿宋_GB2312" w:eastAsia="仿宋_GB2312" w:cs="仿宋_GB2312"/>
          <w:color w:val="auto"/>
          <w:sz w:val="32"/>
          <w:szCs w:val="32"/>
          <w:lang w:eastAsia="zh-CN"/>
        </w:rPr>
        <w:t>服务机构</w:t>
      </w:r>
      <w:r>
        <w:rPr>
          <w:rFonts w:hint="eastAsia" w:ascii="仿宋_GB2312" w:hAnsi="仿宋_GB2312" w:eastAsia="仿宋_GB2312" w:cs="仿宋_GB2312"/>
          <w:color w:val="auto"/>
          <w:sz w:val="32"/>
          <w:szCs w:val="32"/>
        </w:rPr>
        <w:t>就服务协议续签事宜进行协商谈判，双方根据服务协议履行情况和考核情况等决定是否续签。协商一致的，可续签服务协议；未达成一致的，服务协议到期后自动终止。</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服务机构</w:t>
      </w:r>
      <w:r>
        <w:rPr>
          <w:rFonts w:hint="eastAsia" w:ascii="仿宋_GB2312" w:hAnsi="仿宋_GB2312" w:eastAsia="仿宋_GB2312" w:cs="仿宋_GB2312"/>
          <w:color w:val="auto"/>
          <w:sz w:val="32"/>
          <w:szCs w:val="32"/>
        </w:rPr>
        <w:t>不再续签服务协议的，应提前3个月向区经办机构提出申请，由</w:t>
      </w:r>
      <w:r>
        <w:rPr>
          <w:rFonts w:hint="eastAsia" w:ascii="仿宋_GB2312" w:hAnsi="仿宋_GB2312" w:eastAsia="仿宋_GB2312" w:cs="仿宋_GB2312"/>
          <w:color w:val="auto"/>
          <w:sz w:val="32"/>
          <w:szCs w:val="32"/>
          <w:lang w:eastAsia="zh-CN"/>
        </w:rPr>
        <w:t>市经办机构</w:t>
      </w:r>
      <w:r>
        <w:rPr>
          <w:rFonts w:hint="eastAsia" w:ascii="仿宋_GB2312" w:hAnsi="仿宋_GB2312" w:eastAsia="仿宋_GB2312" w:cs="仿宋_GB2312"/>
          <w:color w:val="auto"/>
          <w:sz w:val="32"/>
          <w:szCs w:val="32"/>
        </w:rPr>
        <w:t>与</w:t>
      </w:r>
      <w:r>
        <w:rPr>
          <w:rFonts w:hint="eastAsia" w:ascii="仿宋_GB2312" w:hAnsi="仿宋_GB2312" w:eastAsia="仿宋_GB2312" w:cs="仿宋_GB2312"/>
          <w:color w:val="auto"/>
          <w:sz w:val="32"/>
          <w:szCs w:val="32"/>
          <w:lang w:eastAsia="zh-CN"/>
        </w:rPr>
        <w:t>服务机构</w:t>
      </w:r>
      <w:r>
        <w:rPr>
          <w:rFonts w:hint="eastAsia" w:ascii="仿宋_GB2312" w:hAnsi="仿宋_GB2312" w:eastAsia="仿宋_GB2312" w:cs="仿宋_GB2312"/>
          <w:color w:val="auto"/>
          <w:sz w:val="32"/>
          <w:szCs w:val="32"/>
        </w:rPr>
        <w:t>解除协议。</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color w:val="auto"/>
          <w:sz w:val="32"/>
          <w:szCs w:val="32"/>
          <w:highlight w:val="none"/>
          <w:lang w:val="en-US" w:eastAsia="zh-CN"/>
        </w:rPr>
        <w:t>第十五条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kern w:val="2"/>
          <w:sz w:val="32"/>
          <w:szCs w:val="32"/>
          <w:highlight w:val="none"/>
          <w:lang w:val="en-US" w:eastAsia="zh-CN" w:bidi="ar"/>
        </w:rPr>
        <w:t>经办机构对联网结算的工伤医疗费、康复费、辅助器具配置费进行月度结算和年度清算。</w:t>
      </w:r>
      <w:r>
        <w:rPr>
          <w:rFonts w:hint="eastAsia" w:ascii="仿宋_GB2312" w:hAnsi="仿宋_GB2312" w:eastAsia="仿宋_GB2312" w:cs="仿宋_GB2312"/>
          <w:kern w:val="2"/>
          <w:sz w:val="32"/>
          <w:szCs w:val="32"/>
          <w:lang w:val="en-US" w:eastAsia="zh-CN" w:bidi="ar"/>
        </w:rPr>
        <w:t>经办机构应当建立责任保证金制度，月度结算时，对符合工伤保险基金支付规定的费用，按每月实际发生额的90%进行支付，剩余10%作为责任保证金预留，并在年度清算时根据服务机构综合考核情况予以结算。</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Style w:val="10"/>
          <w:rFonts w:hint="default" w:ascii="仿宋" w:hAnsi="仿宋" w:eastAsia="仿宋" w:cs="仿宋"/>
          <w:i w:val="0"/>
          <w:caps w:val="0"/>
          <w:color w:val="333333"/>
          <w:spacing w:val="0"/>
          <w:sz w:val="31"/>
          <w:szCs w:val="31"/>
          <w:shd w:val="clear" w:color="auto" w:fill="FFFFFF"/>
        </w:rPr>
      </w:pPr>
      <w:r>
        <w:rPr>
          <w:rFonts w:hint="eastAsia" w:ascii="仿宋_GB2312" w:hAnsi="仿宋_GB2312" w:eastAsia="仿宋_GB2312" w:cs="仿宋_GB2312"/>
          <w:kern w:val="2"/>
          <w:sz w:val="32"/>
          <w:szCs w:val="32"/>
          <w:lang w:val="en-US" w:eastAsia="zh-CN" w:bidi="ar"/>
        </w:rPr>
        <w:t>经办机构须全额支付跨省联网直接结算的相关工伤费用。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b/>
          <w:bCs/>
          <w:color w:val="auto"/>
          <w:kern w:val="2"/>
          <w:sz w:val="32"/>
          <w:szCs w:val="32"/>
          <w:lang w:val="en-US" w:eastAsia="zh-CN" w:bidi="ar-SA"/>
        </w:rPr>
        <w:t>第</w:t>
      </w:r>
      <w:r>
        <w:rPr>
          <w:rFonts w:hint="eastAsia" w:ascii="仿宋_GB2312" w:hAnsi="仿宋_GB2312" w:eastAsia="仿宋_GB2312" w:cs="仿宋_GB2312"/>
          <w:b/>
          <w:bCs/>
          <w:color w:val="auto"/>
          <w:kern w:val="2"/>
          <w:sz w:val="32"/>
          <w:szCs w:val="32"/>
          <w:lang w:val="en-US" w:eastAsia="zh-CN" w:bidi="ar-SA"/>
        </w:rPr>
        <w:t>十六</w:t>
      </w:r>
      <w:r>
        <w:rPr>
          <w:rFonts w:hint="default" w:ascii="仿宋_GB2312" w:hAnsi="仿宋_GB2312" w:eastAsia="仿宋_GB2312" w:cs="仿宋_GB2312"/>
          <w:b/>
          <w:bCs/>
          <w:color w:val="auto"/>
          <w:kern w:val="2"/>
          <w:sz w:val="32"/>
          <w:szCs w:val="32"/>
          <w:lang w:val="en-US" w:eastAsia="zh-CN" w:bidi="ar-SA"/>
        </w:rPr>
        <w:t>条</w:t>
      </w:r>
      <w:r>
        <w:rPr>
          <w:rFonts w:hint="default" w:ascii="仿宋_GB2312" w:hAnsi="仿宋_GB2312" w:eastAsia="仿宋_GB2312" w:cs="仿宋_GB2312"/>
          <w:color w:val="auto"/>
          <w:kern w:val="2"/>
          <w:sz w:val="32"/>
          <w:szCs w:val="32"/>
          <w:lang w:val="en-US" w:eastAsia="zh-CN" w:bidi="ar-SA"/>
        </w:rPr>
        <w:t> 协议处理指依据费用审核、监督检查及协议考核中发现的问题，按照服务协议约定条款，对</w:t>
      </w:r>
      <w:r>
        <w:rPr>
          <w:rFonts w:hint="eastAsia" w:ascii="仿宋_GB2312" w:hAnsi="仿宋_GB2312" w:eastAsia="仿宋_GB2312" w:cs="仿宋_GB2312"/>
          <w:color w:val="auto"/>
          <w:kern w:val="2"/>
          <w:sz w:val="32"/>
          <w:szCs w:val="32"/>
          <w:lang w:val="en-US" w:eastAsia="zh-CN" w:bidi="ar-SA"/>
        </w:rPr>
        <w:t>服务</w:t>
      </w:r>
      <w:r>
        <w:rPr>
          <w:rFonts w:hint="default" w:ascii="仿宋_GB2312" w:hAnsi="仿宋_GB2312" w:eastAsia="仿宋_GB2312" w:cs="仿宋_GB2312"/>
          <w:color w:val="auto"/>
          <w:kern w:val="2"/>
          <w:sz w:val="32"/>
          <w:szCs w:val="32"/>
          <w:lang w:val="en-US" w:eastAsia="zh-CN" w:bidi="ar-SA"/>
        </w:rPr>
        <w:t>机构违法违规违约行为进行处理。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协议处理包括</w:t>
      </w:r>
      <w:r>
        <w:rPr>
          <w:rFonts w:hint="eastAsia" w:ascii="仿宋_GB2312" w:hAnsi="仿宋_GB2312" w:eastAsia="仿宋_GB2312" w:cs="仿宋_GB2312"/>
          <w:color w:val="auto"/>
          <w:kern w:val="2"/>
          <w:sz w:val="32"/>
          <w:szCs w:val="32"/>
          <w:highlight w:val="none"/>
          <w:lang w:val="en-US" w:eastAsia="zh-CN" w:bidi="ar-SA"/>
        </w:rPr>
        <w:t>约谈</w:t>
      </w:r>
      <w:r>
        <w:rPr>
          <w:rFonts w:hint="default"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限期整改、</w:t>
      </w:r>
      <w:r>
        <w:rPr>
          <w:rFonts w:hint="default" w:ascii="仿宋_GB2312" w:hAnsi="仿宋_GB2312" w:eastAsia="仿宋_GB2312" w:cs="仿宋_GB2312"/>
          <w:color w:val="auto"/>
          <w:kern w:val="2"/>
          <w:sz w:val="32"/>
          <w:szCs w:val="32"/>
          <w:highlight w:val="none"/>
          <w:lang w:val="en-US" w:eastAsia="zh-CN" w:bidi="ar-SA"/>
        </w:rPr>
        <w:t>追回已支付的违规费用</w:t>
      </w:r>
      <w:r>
        <w:rPr>
          <w:rFonts w:hint="eastAsia" w:ascii="仿宋_GB2312" w:hAnsi="仿宋_GB2312" w:eastAsia="仿宋_GB2312" w:cs="仿宋_GB2312"/>
          <w:color w:val="auto"/>
          <w:kern w:val="2"/>
          <w:sz w:val="32"/>
          <w:szCs w:val="32"/>
          <w:highlight w:val="none"/>
          <w:lang w:val="en-US" w:eastAsia="zh-CN" w:bidi="ar-SA"/>
        </w:rPr>
        <w:t>、暂缓支付费用、中止服务</w:t>
      </w:r>
      <w:r>
        <w:rPr>
          <w:rFonts w:hint="default" w:ascii="仿宋_GB2312" w:hAnsi="仿宋_GB2312" w:eastAsia="仿宋_GB2312" w:cs="仿宋_GB2312"/>
          <w:color w:val="auto"/>
          <w:kern w:val="2"/>
          <w:sz w:val="32"/>
          <w:szCs w:val="32"/>
          <w:highlight w:val="none"/>
          <w:lang w:val="en-US" w:eastAsia="zh-CN" w:bidi="ar-SA"/>
        </w:rPr>
        <w:t>协议</w:t>
      </w:r>
      <w:r>
        <w:rPr>
          <w:rFonts w:hint="eastAsia" w:ascii="仿宋_GB2312" w:hAnsi="仿宋_GB2312" w:eastAsia="仿宋_GB2312" w:cs="仿宋_GB2312"/>
          <w:color w:val="auto"/>
          <w:kern w:val="2"/>
          <w:sz w:val="32"/>
          <w:szCs w:val="32"/>
          <w:highlight w:val="none"/>
          <w:lang w:val="en-US" w:eastAsia="zh-CN" w:bidi="ar-SA"/>
        </w:rPr>
        <w:t>、解除服务协议</w:t>
      </w:r>
      <w:r>
        <w:rPr>
          <w:rFonts w:hint="default" w:ascii="仿宋_GB2312" w:hAnsi="仿宋_GB2312" w:eastAsia="仿宋_GB2312" w:cs="仿宋_GB2312"/>
          <w:color w:val="auto"/>
          <w:kern w:val="2"/>
          <w:sz w:val="32"/>
          <w:szCs w:val="32"/>
          <w:highlight w:val="none"/>
          <w:lang w:val="en-US" w:eastAsia="zh-CN" w:bidi="ar-SA"/>
        </w:rPr>
        <w:t>等。</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hAnsi="仿宋" w:eastAsia="仿宋_GB2312"/>
          <w:color w:val="auto"/>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SA"/>
        </w:rPr>
        <w:t>第十七条</w:t>
      </w:r>
      <w:r>
        <w:rPr>
          <w:rFonts w:hint="eastAsia" w:ascii="黑体" w:eastAsia="黑体" w:cs="黑体"/>
          <w:color w:val="auto"/>
          <w:kern w:val="0"/>
          <w:sz w:val="32"/>
          <w:szCs w:val="32"/>
          <w:highlight w:val="none"/>
        </w:rPr>
        <w:t xml:space="preserve"> </w:t>
      </w:r>
      <w:r>
        <w:rPr>
          <w:rFonts w:ascii="黑体" w:eastAsia="黑体" w:cs="黑体"/>
          <w:color w:val="auto"/>
          <w:kern w:val="0"/>
          <w:sz w:val="32"/>
          <w:szCs w:val="32"/>
          <w:highlight w:val="none"/>
        </w:rPr>
        <w:t xml:space="preserve"> </w:t>
      </w:r>
      <w:r>
        <w:rPr>
          <w:rFonts w:hint="eastAsia" w:ascii="仿宋_GB2312" w:hAnsi="仿宋" w:eastAsia="仿宋_GB2312"/>
          <w:color w:val="auto"/>
          <w:sz w:val="32"/>
          <w:szCs w:val="32"/>
          <w:highlight w:val="none"/>
          <w:lang w:val="en-US" w:eastAsia="zh-CN"/>
        </w:rPr>
        <w:t>服务机构</w:t>
      </w:r>
      <w:r>
        <w:rPr>
          <w:rFonts w:hint="eastAsia" w:ascii="仿宋_GB2312" w:hAnsi="仿宋" w:eastAsia="仿宋_GB2312"/>
          <w:color w:val="auto"/>
          <w:sz w:val="32"/>
          <w:szCs w:val="32"/>
          <w:highlight w:val="none"/>
        </w:rPr>
        <w:t>有下列情形之一但</w:t>
      </w:r>
      <w:r>
        <w:rPr>
          <w:rFonts w:ascii="仿宋_GB2312" w:hAnsi="仿宋" w:eastAsia="仿宋_GB2312"/>
          <w:color w:val="auto"/>
          <w:sz w:val="32"/>
          <w:szCs w:val="32"/>
          <w:highlight w:val="none"/>
        </w:rPr>
        <w:t>未造成工伤保险基金损失</w:t>
      </w:r>
      <w:r>
        <w:rPr>
          <w:rFonts w:hint="eastAsia" w:ascii="仿宋_GB2312" w:hAnsi="仿宋" w:eastAsia="仿宋_GB2312"/>
          <w:color w:val="auto"/>
          <w:sz w:val="32"/>
          <w:szCs w:val="32"/>
          <w:highlight w:val="none"/>
        </w:rPr>
        <w:t>的，</w:t>
      </w:r>
      <w:r>
        <w:rPr>
          <w:rFonts w:hint="eastAsia" w:ascii="仿宋_GB2312" w:hAnsi="仿宋" w:eastAsia="仿宋_GB2312"/>
          <w:color w:val="auto"/>
          <w:sz w:val="32"/>
          <w:szCs w:val="32"/>
          <w:highlight w:val="none"/>
          <w:lang w:val="en-US" w:eastAsia="zh-CN"/>
        </w:rPr>
        <w:t>经办机构</w:t>
      </w:r>
      <w:r>
        <w:rPr>
          <w:rFonts w:hint="eastAsia" w:ascii="仿宋_GB2312" w:hAnsi="仿宋" w:eastAsia="仿宋_GB2312"/>
          <w:color w:val="auto"/>
          <w:sz w:val="32"/>
          <w:szCs w:val="32"/>
          <w:highlight w:val="none"/>
        </w:rPr>
        <w:t>可对</w:t>
      </w:r>
      <w:r>
        <w:rPr>
          <w:rFonts w:hint="eastAsia" w:ascii="仿宋_GB2312" w:hAnsi="仿宋" w:eastAsia="仿宋_GB2312"/>
          <w:color w:val="auto"/>
          <w:sz w:val="32"/>
          <w:szCs w:val="32"/>
          <w:highlight w:val="none"/>
          <w:lang w:val="en-US" w:eastAsia="zh-CN"/>
        </w:rPr>
        <w:t>服务机构</w:t>
      </w:r>
      <w:r>
        <w:rPr>
          <w:rFonts w:ascii="仿宋_GB2312" w:hAnsi="仿宋" w:eastAsia="仿宋_GB2312"/>
          <w:color w:val="auto"/>
          <w:sz w:val="32"/>
          <w:szCs w:val="32"/>
          <w:highlight w:val="none"/>
        </w:rPr>
        <w:t>作出</w:t>
      </w:r>
      <w:r>
        <w:rPr>
          <w:rFonts w:hint="eastAsia" w:ascii="仿宋_GB2312" w:hAnsi="仿宋" w:eastAsia="仿宋_GB2312"/>
          <w:color w:val="auto"/>
          <w:sz w:val="32"/>
          <w:szCs w:val="32"/>
          <w:highlight w:val="none"/>
        </w:rPr>
        <w:t>约谈</w:t>
      </w:r>
      <w:r>
        <w:rPr>
          <w:rFonts w:ascii="仿宋_GB2312" w:hAnsi="仿宋" w:eastAsia="仿宋_GB2312"/>
          <w:color w:val="auto"/>
          <w:sz w:val="32"/>
          <w:szCs w:val="32"/>
          <w:highlight w:val="none"/>
        </w:rPr>
        <w:t>、</w:t>
      </w:r>
      <w:r>
        <w:rPr>
          <w:rFonts w:hint="eastAsia" w:ascii="仿宋_GB2312" w:hAnsi="仿宋" w:eastAsia="仿宋_GB2312"/>
          <w:color w:val="auto"/>
          <w:sz w:val="32"/>
          <w:szCs w:val="32"/>
          <w:highlight w:val="none"/>
        </w:rPr>
        <w:t>限期整改等</w:t>
      </w:r>
      <w:r>
        <w:rPr>
          <w:rFonts w:ascii="仿宋_GB2312" w:hAnsi="仿宋" w:eastAsia="仿宋_GB2312"/>
          <w:color w:val="auto"/>
          <w:sz w:val="32"/>
          <w:szCs w:val="32"/>
          <w:highlight w:val="none"/>
        </w:rPr>
        <w:t>处理</w:t>
      </w:r>
      <w:r>
        <w:rPr>
          <w:rFonts w:hint="eastAsia" w:ascii="仿宋_GB2312" w:hAnsi="仿宋" w:eastAsia="仿宋_GB2312"/>
          <w:color w:val="auto"/>
          <w:sz w:val="32"/>
          <w:szCs w:val="32"/>
          <w:highlight w:val="none"/>
        </w:rPr>
        <w:t>：</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_GB2312" w:eastAsia="仿宋_GB2312" w:cs="仿宋_GB2312"/>
          <w:bCs/>
          <w:color w:val="auto"/>
          <w:sz w:val="32"/>
          <w:szCs w:val="32"/>
          <w:highlight w:val="none"/>
          <w:lang w:eastAsia="zh-CN"/>
        </w:rPr>
        <w:t>（一）</w:t>
      </w:r>
      <w:r>
        <w:rPr>
          <w:rFonts w:hint="eastAsia" w:ascii="仿宋_GB2312" w:hAnsi="仿宋_GB2312" w:eastAsia="仿宋_GB2312" w:cs="仿宋_GB2312"/>
          <w:bCs/>
          <w:color w:val="auto"/>
          <w:sz w:val="32"/>
          <w:szCs w:val="32"/>
          <w:highlight w:val="none"/>
        </w:rPr>
        <w:t>医疗、康复和辅助器具配置</w:t>
      </w:r>
      <w:r>
        <w:rPr>
          <w:rFonts w:hint="eastAsia" w:ascii="仿宋_GB2312" w:hAnsi="仿宋_GB2312" w:eastAsia="仿宋_GB2312" w:cs="仿宋_GB2312"/>
          <w:bCs/>
          <w:color w:val="auto"/>
          <w:sz w:val="32"/>
          <w:szCs w:val="32"/>
          <w:highlight w:val="none"/>
          <w:lang w:eastAsia="zh-CN"/>
        </w:rPr>
        <w:t>工伤基金支出</w:t>
      </w:r>
      <w:r>
        <w:rPr>
          <w:rFonts w:hint="eastAsia" w:ascii="仿宋_GB2312" w:hAnsi="仿宋_GB2312" w:eastAsia="仿宋_GB2312" w:cs="仿宋_GB2312"/>
          <w:bCs/>
          <w:color w:val="auto"/>
          <w:sz w:val="32"/>
          <w:szCs w:val="32"/>
          <w:highlight w:val="none"/>
        </w:rPr>
        <w:t>费用异常增长的；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二</w:t>
      </w:r>
      <w:r>
        <w:rPr>
          <w:rFonts w:hint="eastAsia" w:ascii="仿宋_GB2312" w:hAnsi="仿宋" w:eastAsia="仿宋_GB2312"/>
          <w:color w:val="auto"/>
          <w:sz w:val="32"/>
          <w:szCs w:val="32"/>
          <w:highlight w:val="none"/>
        </w:rPr>
        <w:t>）未按</w:t>
      </w:r>
      <w:r>
        <w:rPr>
          <w:rFonts w:hint="eastAsia" w:ascii="仿宋_GB2312" w:hAnsi="仿宋" w:eastAsia="仿宋_GB2312"/>
          <w:color w:val="auto"/>
          <w:sz w:val="32"/>
          <w:szCs w:val="32"/>
          <w:highlight w:val="none"/>
          <w:lang w:val="en-US" w:eastAsia="zh-CN"/>
        </w:rPr>
        <w:t>服务</w:t>
      </w:r>
      <w:r>
        <w:rPr>
          <w:rFonts w:hint="eastAsia" w:ascii="仿宋_GB2312" w:hAnsi="仿宋" w:eastAsia="仿宋_GB2312"/>
          <w:color w:val="auto"/>
          <w:sz w:val="32"/>
          <w:szCs w:val="32"/>
          <w:highlight w:val="none"/>
        </w:rPr>
        <w:t>协议要求落实管理措施，</w:t>
      </w:r>
      <w:r>
        <w:rPr>
          <w:rFonts w:ascii="仿宋_GB2312" w:hAnsi="仿宋" w:eastAsia="仿宋_GB2312"/>
          <w:color w:val="auto"/>
          <w:sz w:val="32"/>
          <w:szCs w:val="32"/>
          <w:highlight w:val="none"/>
        </w:rPr>
        <w:t>相关管理机构不健全</w:t>
      </w:r>
      <w:r>
        <w:rPr>
          <w:rFonts w:hint="eastAsia" w:ascii="仿宋_GB2312" w:hAnsi="仿宋" w:eastAsia="仿宋_GB2312"/>
          <w:color w:val="auto"/>
          <w:sz w:val="32"/>
          <w:szCs w:val="32"/>
          <w:highlight w:val="none"/>
        </w:rPr>
        <w:t>的；</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三</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未遵守国家及本市关于药品</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医用耗材</w:t>
      </w:r>
      <w:r>
        <w:rPr>
          <w:rFonts w:hint="eastAsia" w:ascii="仿宋_GB2312" w:hAnsi="仿宋_GB2312" w:eastAsia="仿宋_GB2312" w:cs="仿宋_GB2312"/>
          <w:bCs/>
          <w:color w:val="auto"/>
          <w:sz w:val="32"/>
          <w:szCs w:val="32"/>
          <w:highlight w:val="none"/>
          <w:lang w:eastAsia="zh-CN"/>
        </w:rPr>
        <w:t>和辅助器具</w:t>
      </w:r>
      <w:r>
        <w:rPr>
          <w:rFonts w:hint="eastAsia" w:ascii="仿宋_GB2312" w:hAnsi="仿宋_GB2312" w:eastAsia="仿宋_GB2312" w:cs="仿宋_GB2312"/>
          <w:bCs/>
          <w:color w:val="auto"/>
          <w:sz w:val="32"/>
          <w:szCs w:val="32"/>
          <w:highlight w:val="none"/>
        </w:rPr>
        <w:t>集中采购和使用管理规定的；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四</w:t>
      </w:r>
      <w:r>
        <w:rPr>
          <w:rFonts w:hint="eastAsia" w:ascii="仿宋_GB2312" w:hAnsi="仿宋" w:eastAsia="仿宋_GB2312"/>
          <w:color w:val="auto"/>
          <w:sz w:val="32"/>
          <w:szCs w:val="32"/>
          <w:highlight w:val="none"/>
        </w:rPr>
        <w:t>）</w:t>
      </w:r>
      <w:r>
        <w:rPr>
          <w:rFonts w:hint="eastAsia" w:ascii="仿宋_GB2312" w:hAnsi="仿宋_GB2312" w:eastAsia="仿宋_GB2312" w:cs="仿宋_GB2312"/>
          <w:bCs/>
          <w:color w:val="auto"/>
          <w:sz w:val="32"/>
          <w:szCs w:val="32"/>
          <w:highlight w:val="none"/>
        </w:rPr>
        <w:t>未按规定向工伤职工提供费用明细清单、出院结算单、有效费用票据等资料或不履行知情同意手续的；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五</w:t>
      </w:r>
      <w:r>
        <w:rPr>
          <w:rFonts w:hint="eastAsia" w:ascii="仿宋_GB2312" w:hAnsi="仿宋" w:eastAsia="仿宋_GB2312"/>
          <w:color w:val="auto"/>
          <w:sz w:val="32"/>
          <w:szCs w:val="32"/>
          <w:highlight w:val="none"/>
        </w:rPr>
        <w:t>）未按要求向</w:t>
      </w:r>
      <w:r>
        <w:rPr>
          <w:rFonts w:hint="eastAsia" w:ascii="仿宋_GB2312" w:hAnsi="仿宋" w:eastAsia="仿宋_GB2312"/>
          <w:color w:val="auto"/>
          <w:sz w:val="32"/>
          <w:szCs w:val="32"/>
          <w:highlight w:val="none"/>
          <w:lang w:val="en-US" w:eastAsia="zh-CN"/>
        </w:rPr>
        <w:t>经办机构</w:t>
      </w:r>
      <w:r>
        <w:rPr>
          <w:rFonts w:hint="eastAsia" w:ascii="仿宋_GB2312" w:hAnsi="仿宋" w:eastAsia="仿宋_GB2312"/>
          <w:color w:val="auto"/>
          <w:sz w:val="32"/>
          <w:szCs w:val="32"/>
          <w:highlight w:val="none"/>
        </w:rPr>
        <w:t>报告工伤职工在</w:t>
      </w:r>
      <w:r>
        <w:rPr>
          <w:rFonts w:hint="eastAsia" w:ascii="仿宋_GB2312" w:hAnsi="仿宋" w:eastAsia="仿宋_GB2312"/>
          <w:color w:val="auto"/>
          <w:sz w:val="32"/>
          <w:szCs w:val="32"/>
          <w:highlight w:val="none"/>
          <w:lang w:val="en-US" w:eastAsia="zh-CN"/>
        </w:rPr>
        <w:t>服务机构</w:t>
      </w:r>
      <w:r>
        <w:rPr>
          <w:rFonts w:hint="eastAsia" w:ascii="仿宋_GB2312" w:hAnsi="仿宋" w:eastAsia="仿宋_GB2312"/>
          <w:color w:val="auto"/>
          <w:sz w:val="32"/>
          <w:szCs w:val="32"/>
          <w:highlight w:val="none"/>
        </w:rPr>
        <w:t>就医发生医疗事故的；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六</w:t>
      </w:r>
      <w:r>
        <w:rPr>
          <w:rFonts w:hint="eastAsia" w:ascii="仿宋_GB2312" w:hAnsi="仿宋" w:eastAsia="仿宋_GB2312"/>
          <w:color w:val="auto"/>
          <w:sz w:val="32"/>
          <w:szCs w:val="32"/>
          <w:highlight w:val="none"/>
        </w:rPr>
        <w:t>）未及时处理工伤职工投诉和社会监督反映问题的；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七</w:t>
      </w:r>
      <w:r>
        <w:rPr>
          <w:rFonts w:hint="eastAsia" w:ascii="仿宋_GB2312" w:hAnsi="仿宋" w:eastAsia="仿宋_GB2312"/>
          <w:color w:val="auto"/>
          <w:sz w:val="32"/>
          <w:szCs w:val="32"/>
          <w:highlight w:val="none"/>
        </w:rPr>
        <w:t>）未及时向</w:t>
      </w:r>
      <w:r>
        <w:rPr>
          <w:rFonts w:hint="eastAsia" w:ascii="仿宋_GB2312" w:hAnsi="仿宋" w:eastAsia="仿宋_GB2312"/>
          <w:color w:val="auto"/>
          <w:sz w:val="32"/>
          <w:szCs w:val="32"/>
          <w:highlight w:val="none"/>
          <w:lang w:val="en-US" w:eastAsia="zh-CN"/>
        </w:rPr>
        <w:t>经办机构</w:t>
      </w:r>
      <w:r>
        <w:rPr>
          <w:rFonts w:hint="eastAsia" w:ascii="仿宋_GB2312" w:hAnsi="仿宋" w:eastAsia="仿宋_GB2312"/>
          <w:color w:val="auto"/>
          <w:sz w:val="32"/>
          <w:szCs w:val="32"/>
          <w:highlight w:val="none"/>
        </w:rPr>
        <w:t>申报本单位基本信息变更的；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八</w:t>
      </w:r>
      <w:r>
        <w:rPr>
          <w:rFonts w:hint="eastAsia" w:ascii="仿宋_GB2312" w:hAnsi="仿宋" w:eastAsia="仿宋_GB2312"/>
          <w:color w:val="auto"/>
          <w:sz w:val="32"/>
          <w:szCs w:val="32"/>
          <w:highlight w:val="none"/>
        </w:rPr>
        <w:t>）未</w:t>
      </w:r>
      <w:r>
        <w:rPr>
          <w:rFonts w:ascii="仿宋_GB2312" w:hAnsi="仿宋" w:eastAsia="仿宋_GB2312"/>
          <w:color w:val="auto"/>
          <w:sz w:val="32"/>
          <w:szCs w:val="32"/>
          <w:highlight w:val="none"/>
        </w:rPr>
        <w:t>按要求使用信息系统或未及时、完整、准确</w:t>
      </w:r>
      <w:r>
        <w:rPr>
          <w:rFonts w:hint="eastAsia" w:ascii="仿宋_GB2312" w:hAnsi="仿宋" w:eastAsia="仿宋_GB2312"/>
          <w:color w:val="auto"/>
          <w:sz w:val="32"/>
          <w:szCs w:val="32"/>
          <w:highlight w:val="none"/>
        </w:rPr>
        <w:t>上传</w:t>
      </w:r>
      <w:r>
        <w:rPr>
          <w:rFonts w:ascii="仿宋_GB2312" w:hAnsi="仿宋" w:eastAsia="仿宋_GB2312"/>
          <w:color w:val="auto"/>
          <w:sz w:val="32"/>
          <w:szCs w:val="32"/>
          <w:highlight w:val="none"/>
        </w:rPr>
        <w:t>信息数据</w:t>
      </w:r>
      <w:r>
        <w:rPr>
          <w:rFonts w:hint="eastAsia" w:ascii="仿宋_GB2312" w:hAnsi="仿宋" w:eastAsia="仿宋_GB2312"/>
          <w:color w:val="auto"/>
          <w:sz w:val="32"/>
          <w:szCs w:val="32"/>
          <w:highlight w:val="none"/>
        </w:rPr>
        <w:t>的</w:t>
      </w:r>
      <w:r>
        <w:rPr>
          <w:rFonts w:hint="eastAsia" w:ascii="仿宋_GB2312" w:hAnsi="仿宋" w:eastAsia="仿宋_GB2312"/>
          <w:color w:val="auto"/>
          <w:sz w:val="32"/>
          <w:szCs w:val="32"/>
          <w:highlight w:val="none"/>
          <w:lang w:eastAsia="zh-CN"/>
        </w:rPr>
        <w:t>；</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Cs/>
          <w:color w:val="auto"/>
          <w:kern w:val="2"/>
          <w:sz w:val="32"/>
          <w:szCs w:val="32"/>
          <w:highlight w:val="none"/>
          <w:lang w:val="en-US" w:eastAsia="zh-CN" w:bidi="ar-SA"/>
        </w:rPr>
        <w:t>（九）其他未按要求落实管理措施，且未造成基金损失的。</w:t>
      </w:r>
    </w:p>
    <w:p>
      <w:pPr>
        <w:pStyle w:val="4"/>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第十八条</w:t>
      </w:r>
      <w:r>
        <w:rPr>
          <w:rFonts w:hint="eastAsia" w:ascii="仿宋_GB2312" w:hAnsi="仿宋" w:eastAsia="仿宋_GB2312"/>
          <w:color w:val="auto"/>
          <w:sz w:val="32"/>
          <w:szCs w:val="32"/>
          <w:highlight w:val="none"/>
          <w:lang w:eastAsia="zh-CN"/>
        </w:rPr>
        <w:t xml:space="preserve"> </w:t>
      </w:r>
      <w:r>
        <w:rPr>
          <w:rFonts w:ascii="仿宋_GB2312" w:hAnsi="仿宋" w:eastAsia="仿宋_GB2312"/>
          <w:color w:val="auto"/>
          <w:sz w:val="32"/>
          <w:szCs w:val="32"/>
          <w:highlight w:val="none"/>
          <w:lang w:eastAsia="zh-CN"/>
        </w:rPr>
        <w:t xml:space="preserve"> </w:t>
      </w:r>
      <w:r>
        <w:rPr>
          <w:rFonts w:hint="eastAsia" w:ascii="仿宋_GB2312" w:hAnsi="仿宋" w:eastAsia="仿宋_GB2312"/>
          <w:color w:val="auto"/>
          <w:sz w:val="32"/>
          <w:szCs w:val="32"/>
          <w:highlight w:val="none"/>
          <w:lang w:val="en-US" w:eastAsia="zh-CN"/>
        </w:rPr>
        <w:t>服务机构有下列情形的，经办机构视情节轻重可予以</w:t>
      </w:r>
      <w:r>
        <w:rPr>
          <w:rFonts w:hint="eastAsia" w:ascii="仿宋_GB2312" w:hAnsi="仿宋_GB2312" w:eastAsia="仿宋_GB2312" w:cs="仿宋_GB2312"/>
          <w:color w:val="auto"/>
          <w:kern w:val="2"/>
          <w:sz w:val="32"/>
          <w:szCs w:val="32"/>
          <w:highlight w:val="none"/>
          <w:lang w:val="en-US" w:eastAsia="zh-CN" w:bidi="ar-SA"/>
        </w:rPr>
        <w:t>暂缓支付费用、中止服务</w:t>
      </w:r>
      <w:r>
        <w:rPr>
          <w:rFonts w:hint="default" w:ascii="仿宋_GB2312" w:hAnsi="仿宋_GB2312" w:eastAsia="仿宋_GB2312" w:cs="仿宋_GB2312"/>
          <w:color w:val="auto"/>
          <w:kern w:val="2"/>
          <w:sz w:val="32"/>
          <w:szCs w:val="32"/>
          <w:highlight w:val="none"/>
          <w:lang w:val="en-US" w:eastAsia="zh-CN" w:bidi="ar-SA"/>
        </w:rPr>
        <w:t>协议</w:t>
      </w:r>
      <w:r>
        <w:rPr>
          <w:rFonts w:hint="eastAsia" w:ascii="仿宋_GB2312" w:hAnsi="仿宋_GB2312" w:eastAsia="仿宋_GB2312" w:cs="仿宋_GB2312"/>
          <w:color w:val="auto"/>
          <w:kern w:val="2"/>
          <w:sz w:val="32"/>
          <w:szCs w:val="32"/>
          <w:highlight w:val="none"/>
          <w:lang w:val="en-US" w:eastAsia="zh-CN" w:bidi="ar-SA"/>
        </w:rPr>
        <w:t xml:space="preserve">等处理，追回（拒付）违规费用，并限期整改：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不按规定核验工伤职工身份导致他人</w:t>
      </w:r>
      <w:r>
        <w:rPr>
          <w:rFonts w:ascii="仿宋_GB2312" w:hAnsi="仿宋" w:eastAsia="仿宋_GB2312"/>
          <w:color w:val="auto"/>
          <w:sz w:val="32"/>
          <w:szCs w:val="32"/>
          <w:highlight w:val="none"/>
        </w:rPr>
        <w:t>冒名</w:t>
      </w:r>
      <w:r>
        <w:rPr>
          <w:rFonts w:hint="eastAsia" w:ascii="仿宋_GB2312" w:hAnsi="仿宋" w:eastAsia="仿宋_GB2312"/>
          <w:color w:val="auto"/>
          <w:sz w:val="32"/>
          <w:szCs w:val="32"/>
          <w:highlight w:val="none"/>
        </w:rPr>
        <w:t>顶替</w:t>
      </w:r>
      <w:r>
        <w:rPr>
          <w:rFonts w:ascii="仿宋_GB2312" w:hAnsi="仿宋" w:eastAsia="仿宋_GB2312"/>
          <w:color w:val="auto"/>
          <w:sz w:val="32"/>
          <w:szCs w:val="32"/>
          <w:highlight w:val="none"/>
        </w:rPr>
        <w:t>就医的</w:t>
      </w:r>
      <w:r>
        <w:rPr>
          <w:rFonts w:hint="eastAsia" w:ascii="仿宋_GB2312" w:hAnsi="仿宋" w:eastAsia="仿宋_GB2312"/>
          <w:color w:val="auto"/>
          <w:sz w:val="32"/>
          <w:szCs w:val="32"/>
          <w:highlight w:val="none"/>
        </w:rPr>
        <w:t>；不按有关标准及规定安排工伤职工住院（含挂床住院、分解住院</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无指征住院</w:t>
      </w:r>
      <w:r>
        <w:rPr>
          <w:rFonts w:hint="eastAsia" w:ascii="仿宋_GB2312" w:hAnsi="仿宋" w:eastAsia="仿宋_GB2312"/>
          <w:color w:val="auto"/>
          <w:sz w:val="32"/>
          <w:szCs w:val="32"/>
          <w:highlight w:val="none"/>
        </w:rPr>
        <w:t>）、出院或转院的；</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将治疗非工伤疾病的医疗费用纳入工伤基金结算；</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val="en-US" w:eastAsia="zh-CN"/>
        </w:rPr>
        <w:t>超过规定剂量开药，违反临床用药指南或规则为工伤职工开具多种药理作用相同或作用机制相似的药物；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四</w:t>
      </w:r>
      <w:r>
        <w:rPr>
          <w:rFonts w:hint="eastAsia" w:ascii="仿宋_GB2312" w:hAnsi="仿宋" w:eastAsia="仿宋_GB2312"/>
          <w:color w:val="auto"/>
          <w:sz w:val="32"/>
          <w:szCs w:val="32"/>
          <w:highlight w:val="none"/>
        </w:rPr>
        <w:t>）无正当理由拒绝为工伤职工提供相应医疗服务的；不严格执行诊疗常规和技术操作规程，或不根据</w:t>
      </w:r>
      <w:r>
        <w:rPr>
          <w:rFonts w:hint="eastAsia" w:ascii="仿宋_GB2312" w:hAnsi="仿宋" w:eastAsia="仿宋_GB2312"/>
          <w:color w:val="auto"/>
          <w:sz w:val="32"/>
          <w:szCs w:val="32"/>
          <w:highlight w:val="none"/>
          <w:lang w:val="en-US" w:eastAsia="zh-CN"/>
        </w:rPr>
        <w:t>伤</w:t>
      </w:r>
      <w:r>
        <w:rPr>
          <w:rFonts w:hint="eastAsia" w:ascii="仿宋_GB2312" w:hAnsi="仿宋" w:eastAsia="仿宋_GB2312"/>
          <w:color w:val="auto"/>
          <w:sz w:val="32"/>
          <w:szCs w:val="32"/>
          <w:highlight w:val="none"/>
        </w:rPr>
        <w:t xml:space="preserve">情进行治疗、用药、选择医用耗材的；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五</w:t>
      </w:r>
      <w:r>
        <w:rPr>
          <w:rFonts w:hint="eastAsia" w:ascii="仿宋_GB2312" w:hAnsi="仿宋" w:eastAsia="仿宋_GB2312"/>
          <w:color w:val="auto"/>
          <w:sz w:val="32"/>
          <w:szCs w:val="32"/>
          <w:highlight w:val="none"/>
        </w:rPr>
        <w:t>）将工伤保险支付范围外的药品、诊疗项目、医疗服务设施项目或生活用品、保健滋补品等费用串换为工伤保险政策范围内费用，套取工伤保险基金的；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六</w:t>
      </w:r>
      <w:r>
        <w:rPr>
          <w:rFonts w:hint="eastAsia" w:ascii="仿宋_GB2312" w:hAnsi="仿宋" w:eastAsia="仿宋_GB2312"/>
          <w:color w:val="auto"/>
          <w:sz w:val="32"/>
          <w:szCs w:val="32"/>
          <w:highlight w:val="none"/>
        </w:rPr>
        <w:t xml:space="preserve">）不按规定开药、出院带药、不按医嘱或处方为工伤职工提供检查、治疗及配药；发生重复、分解、过度、超限制范围等违规诊疗、检查行为导致增加费用的；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（七）存在重复收费、超标准收费、分解项目收费、分解处方、超目录限定支付范围等违反规定收费行为；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（八）诱导协助他人冒名或虚假就医购药，提供虚假证明材料，伪造、变造、隐匿、涂改、销毁医学文书、医学证明、会计凭证、电子信息等有关资料；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（九）未施行的检查治疗项目或药品记入工伤保险费用结算，费用清单记录的检查项目和药品费用与医嘱或者工伤职工实际使用情况不符；</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（十）未核实工伤职工身份凭证和配置费用核付通知单，未如实记录配置服务事项、未建立工伤职工配置服务档案，为工伤职工配置超目录、超限额的辅助器具不履行告知义务的；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（十一）违反辅助器具配置管理服务标准，侵害工伤职工合法权益的；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（十二）将非工伤职工的辅助器具配置费用纳入工伤职工辅助器具配置费用进行结算，骗取工伤保险基金的；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十三</w:t>
      </w:r>
      <w:r>
        <w:rPr>
          <w:rFonts w:hint="eastAsia" w:ascii="仿宋_GB2312" w:hAnsi="仿宋" w:eastAsia="仿宋_GB2312"/>
          <w:color w:val="auto"/>
          <w:sz w:val="32"/>
          <w:szCs w:val="32"/>
          <w:highlight w:val="none"/>
        </w:rPr>
        <w:t>）将因医疗事故及治疗其后遗症产生的医疗费用进行</w:t>
      </w:r>
      <w:r>
        <w:rPr>
          <w:rFonts w:ascii="仿宋_GB2312" w:hAnsi="仿宋" w:eastAsia="仿宋_GB2312"/>
          <w:color w:val="auto"/>
          <w:sz w:val="32"/>
          <w:szCs w:val="32"/>
          <w:highlight w:val="none"/>
        </w:rPr>
        <w:t>工伤费用申报的</w:t>
      </w:r>
      <w:r>
        <w:rPr>
          <w:rFonts w:hint="eastAsia" w:ascii="仿宋_GB2312" w:hAnsi="仿宋"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十四</w:t>
      </w:r>
      <w:r>
        <w:rPr>
          <w:rFonts w:hint="eastAsia" w:ascii="仿宋_GB2312" w:hAnsi="仿宋" w:eastAsia="仿宋_GB2312"/>
          <w:color w:val="auto"/>
          <w:sz w:val="32"/>
          <w:szCs w:val="32"/>
          <w:highlight w:val="none"/>
        </w:rPr>
        <w:t>）通过</w:t>
      </w:r>
      <w:r>
        <w:rPr>
          <w:rFonts w:ascii="仿宋_GB2312" w:hAnsi="仿宋" w:eastAsia="仿宋_GB2312"/>
          <w:color w:val="auto"/>
          <w:sz w:val="32"/>
          <w:szCs w:val="32"/>
          <w:highlight w:val="none"/>
        </w:rPr>
        <w:t>诱导工伤职工自费、到院外购买药品、器械等方式增加工伤职工个人负担的；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十五</w:t>
      </w:r>
      <w:r>
        <w:rPr>
          <w:rFonts w:hint="eastAsia" w:ascii="仿宋_GB2312" w:hAnsi="仿宋" w:eastAsia="仿宋_GB2312"/>
          <w:color w:val="auto"/>
          <w:sz w:val="32"/>
          <w:szCs w:val="32"/>
          <w:highlight w:val="none"/>
        </w:rPr>
        <w:t>）在为工伤职工提供医疗服务过程中，出现严重差错或事故，或因违规受到卫生健康、市场</w:t>
      </w:r>
      <w:r>
        <w:rPr>
          <w:rFonts w:ascii="仿宋_GB2312" w:hAnsi="仿宋" w:eastAsia="仿宋_GB2312"/>
          <w:color w:val="auto"/>
          <w:sz w:val="32"/>
          <w:szCs w:val="32"/>
          <w:highlight w:val="none"/>
        </w:rPr>
        <w:t>监管</w:t>
      </w:r>
      <w:r>
        <w:rPr>
          <w:rFonts w:hint="eastAsia" w:ascii="仿宋_GB2312" w:hAnsi="仿宋" w:eastAsia="仿宋_GB2312"/>
          <w:color w:val="auto"/>
          <w:sz w:val="32"/>
          <w:szCs w:val="32"/>
          <w:highlight w:val="none"/>
        </w:rPr>
        <w:t>、医保等部门行政处罚的；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十六</w:t>
      </w:r>
      <w:r>
        <w:rPr>
          <w:rFonts w:hint="eastAsia" w:ascii="仿宋_GB2312" w:hAnsi="仿宋" w:eastAsia="仿宋_GB2312"/>
          <w:color w:val="auto"/>
          <w:sz w:val="32"/>
          <w:szCs w:val="32"/>
          <w:highlight w:val="none"/>
        </w:rPr>
        <w:t>）</w:t>
      </w:r>
      <w:r>
        <w:rPr>
          <w:rFonts w:ascii="仿宋_GB2312" w:hAnsi="仿宋" w:eastAsia="仿宋_GB2312"/>
          <w:color w:val="auto"/>
          <w:sz w:val="32"/>
          <w:szCs w:val="32"/>
          <w:highlight w:val="none"/>
        </w:rPr>
        <w:t>超出《医疗机构执业许可证》准许范围或执业地址开展医疗服务</w:t>
      </w:r>
      <w:r>
        <w:rPr>
          <w:rFonts w:hint="eastAsia" w:ascii="仿宋_GB2312" w:hAnsi="仿宋" w:eastAsia="仿宋_GB2312"/>
          <w:color w:val="auto"/>
          <w:sz w:val="32"/>
          <w:szCs w:val="32"/>
          <w:highlight w:val="none"/>
        </w:rPr>
        <w:t>或</w:t>
      </w:r>
      <w:r>
        <w:rPr>
          <w:rFonts w:ascii="仿宋_GB2312" w:hAnsi="仿宋" w:eastAsia="仿宋_GB2312"/>
          <w:color w:val="auto"/>
          <w:sz w:val="32"/>
          <w:szCs w:val="32"/>
          <w:highlight w:val="none"/>
        </w:rPr>
        <w:t>将科室或房屋承包、出租给个人</w:t>
      </w:r>
      <w:r>
        <w:rPr>
          <w:rFonts w:hint="eastAsia" w:ascii="仿宋_GB2312" w:hAnsi="仿宋" w:eastAsia="仿宋_GB2312"/>
          <w:color w:val="auto"/>
          <w:sz w:val="32"/>
          <w:szCs w:val="32"/>
          <w:highlight w:val="none"/>
        </w:rPr>
        <w:t>及</w:t>
      </w:r>
      <w:r>
        <w:rPr>
          <w:rFonts w:ascii="仿宋_GB2312" w:hAnsi="仿宋" w:eastAsia="仿宋_GB2312"/>
          <w:color w:val="auto"/>
          <w:sz w:val="32"/>
          <w:szCs w:val="32"/>
          <w:highlight w:val="none"/>
        </w:rPr>
        <w:t>其他机构，并以</w:t>
      </w:r>
      <w:r>
        <w:rPr>
          <w:rFonts w:hint="eastAsia" w:ascii="仿宋_GB2312" w:hAnsi="仿宋" w:eastAsia="仿宋_GB2312"/>
          <w:color w:val="auto"/>
          <w:sz w:val="32"/>
          <w:szCs w:val="32"/>
          <w:highlight w:val="none"/>
          <w:lang w:eastAsia="zh-CN"/>
        </w:rPr>
        <w:t>服务机构</w:t>
      </w:r>
      <w:r>
        <w:rPr>
          <w:rFonts w:ascii="仿宋_GB2312" w:hAnsi="仿宋" w:eastAsia="仿宋_GB2312"/>
          <w:color w:val="auto"/>
          <w:sz w:val="32"/>
          <w:szCs w:val="32"/>
          <w:highlight w:val="none"/>
        </w:rPr>
        <w:t>名义开展医疗服务</w:t>
      </w:r>
      <w:r>
        <w:rPr>
          <w:rFonts w:hint="eastAsia" w:ascii="仿宋_GB2312" w:hAnsi="仿宋" w:eastAsia="仿宋_GB2312"/>
          <w:color w:val="auto"/>
          <w:sz w:val="32"/>
          <w:szCs w:val="32"/>
          <w:highlight w:val="none"/>
        </w:rPr>
        <w:t>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十七</w:t>
      </w:r>
      <w:r>
        <w:rPr>
          <w:rFonts w:hint="eastAsia" w:ascii="仿宋_GB2312" w:hAnsi="仿宋" w:eastAsia="仿宋_GB2312"/>
          <w:color w:val="auto"/>
          <w:sz w:val="32"/>
          <w:szCs w:val="32"/>
          <w:highlight w:val="none"/>
        </w:rPr>
        <w:t>）以</w:t>
      </w:r>
      <w:r>
        <w:rPr>
          <w:rFonts w:hint="eastAsia" w:ascii="仿宋_GB2312" w:hAnsi="仿宋" w:eastAsia="仿宋_GB2312"/>
          <w:color w:val="auto"/>
          <w:sz w:val="32"/>
          <w:szCs w:val="32"/>
          <w:highlight w:val="none"/>
          <w:lang w:val="en-US" w:eastAsia="zh-CN"/>
        </w:rPr>
        <w:t>服务</w:t>
      </w:r>
      <w:r>
        <w:rPr>
          <w:rFonts w:ascii="仿宋_GB2312" w:hAnsi="仿宋" w:eastAsia="仿宋_GB2312"/>
          <w:color w:val="auto"/>
          <w:sz w:val="32"/>
          <w:szCs w:val="32"/>
          <w:highlight w:val="none"/>
        </w:rPr>
        <w:t>机构名义从事商业广告和促销活动</w:t>
      </w:r>
      <w:r>
        <w:rPr>
          <w:rFonts w:hint="eastAsia" w:ascii="仿宋_GB2312" w:hAnsi="仿宋" w:eastAsia="仿宋_GB2312"/>
          <w:color w:val="auto"/>
          <w:sz w:val="32"/>
          <w:szCs w:val="32"/>
          <w:highlight w:val="none"/>
        </w:rPr>
        <w:t>，</w:t>
      </w:r>
      <w:r>
        <w:rPr>
          <w:rFonts w:ascii="仿宋_GB2312" w:hAnsi="仿宋" w:eastAsia="仿宋_GB2312"/>
          <w:color w:val="auto"/>
          <w:sz w:val="32"/>
          <w:szCs w:val="32"/>
          <w:highlight w:val="none"/>
        </w:rPr>
        <w:t>诱导医疗消费的；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十八</w:t>
      </w:r>
      <w:r>
        <w:rPr>
          <w:rFonts w:hint="eastAsia" w:ascii="仿宋_GB2312" w:hAnsi="仿宋_GB2312" w:eastAsia="仿宋_GB2312" w:cs="仿宋_GB2312"/>
          <w:b w:val="0"/>
          <w:bCs w:val="0"/>
          <w:color w:val="auto"/>
          <w:sz w:val="32"/>
          <w:szCs w:val="32"/>
          <w:highlight w:val="none"/>
        </w:rPr>
        <w:t>）未按规定向经办机构及</w:t>
      </w:r>
      <w:r>
        <w:rPr>
          <w:rFonts w:hint="eastAsia" w:ascii="仿宋_GB2312" w:hAnsi="仿宋_GB2312" w:eastAsia="仿宋_GB2312" w:cs="仿宋_GB2312"/>
          <w:b w:val="0"/>
          <w:bCs w:val="0"/>
          <w:color w:val="auto"/>
          <w:sz w:val="32"/>
          <w:szCs w:val="32"/>
          <w:highlight w:val="none"/>
          <w:lang w:eastAsia="zh-CN"/>
        </w:rPr>
        <w:t>人力资源社会保障</w:t>
      </w:r>
      <w:r>
        <w:rPr>
          <w:rFonts w:hint="eastAsia" w:ascii="仿宋_GB2312" w:hAnsi="仿宋_GB2312" w:eastAsia="仿宋_GB2312" w:cs="仿宋_GB2312"/>
          <w:b w:val="0"/>
          <w:bCs w:val="0"/>
          <w:color w:val="auto"/>
          <w:sz w:val="32"/>
          <w:szCs w:val="32"/>
          <w:highlight w:val="none"/>
        </w:rPr>
        <w:t>行政部门提供有关数据或提供数据不真实的;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十九</w:t>
      </w:r>
      <w:r>
        <w:rPr>
          <w:rFonts w:hint="eastAsia" w:ascii="仿宋_GB2312" w:hAnsi="仿宋_GB2312" w:eastAsia="仿宋_GB2312" w:cs="仿宋_GB2312"/>
          <w:b w:val="0"/>
          <w:bCs w:val="0"/>
          <w:color w:val="auto"/>
          <w:sz w:val="32"/>
          <w:szCs w:val="32"/>
          <w:highlight w:val="none"/>
        </w:rPr>
        <w:t>）根据</w:t>
      </w:r>
      <w:r>
        <w:rPr>
          <w:rFonts w:hint="eastAsia" w:ascii="仿宋_GB2312" w:hAnsi="仿宋_GB2312" w:eastAsia="仿宋_GB2312" w:cs="仿宋_GB2312"/>
          <w:b w:val="0"/>
          <w:bCs w:val="0"/>
          <w:color w:val="auto"/>
          <w:sz w:val="32"/>
          <w:szCs w:val="32"/>
          <w:highlight w:val="none"/>
          <w:lang w:eastAsia="zh-CN"/>
        </w:rPr>
        <w:t>服务</w:t>
      </w:r>
      <w:r>
        <w:rPr>
          <w:rFonts w:hint="eastAsia" w:ascii="仿宋_GB2312" w:hAnsi="仿宋_GB2312" w:eastAsia="仿宋_GB2312" w:cs="仿宋_GB2312"/>
          <w:b w:val="0"/>
          <w:bCs w:val="0"/>
          <w:color w:val="auto"/>
          <w:sz w:val="32"/>
          <w:szCs w:val="32"/>
          <w:highlight w:val="none"/>
        </w:rPr>
        <w:t>协议约定应当暂缓支付费用、中止</w:t>
      </w:r>
      <w:r>
        <w:rPr>
          <w:rFonts w:hint="eastAsia" w:ascii="仿宋_GB2312" w:hAnsi="仿宋_GB2312" w:eastAsia="仿宋_GB2312" w:cs="仿宋_GB2312"/>
          <w:b w:val="0"/>
          <w:bCs w:val="0"/>
          <w:color w:val="auto"/>
          <w:sz w:val="32"/>
          <w:szCs w:val="32"/>
          <w:highlight w:val="none"/>
          <w:lang w:eastAsia="zh-CN"/>
        </w:rPr>
        <w:t>服务</w:t>
      </w:r>
      <w:r>
        <w:rPr>
          <w:rFonts w:hint="eastAsia" w:ascii="仿宋_GB2312" w:hAnsi="仿宋_GB2312" w:eastAsia="仿宋_GB2312" w:cs="仿宋_GB2312"/>
          <w:b w:val="0"/>
          <w:bCs w:val="0"/>
          <w:color w:val="auto"/>
          <w:sz w:val="32"/>
          <w:szCs w:val="32"/>
          <w:highlight w:val="none"/>
        </w:rPr>
        <w:t>协议的;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二十</w:t>
      </w:r>
      <w:r>
        <w:rPr>
          <w:rFonts w:hint="eastAsia" w:ascii="仿宋_GB2312" w:hAnsi="仿宋" w:eastAsia="仿宋_GB2312"/>
          <w:color w:val="auto"/>
          <w:sz w:val="32"/>
          <w:szCs w:val="32"/>
          <w:highlight w:val="none"/>
        </w:rPr>
        <w:t>）其他造成工伤保险基金损失的违</w:t>
      </w:r>
      <w:r>
        <w:rPr>
          <w:rFonts w:hint="eastAsia" w:ascii="仿宋_GB2312" w:hAnsi="仿宋" w:eastAsia="仿宋_GB2312"/>
          <w:color w:val="auto"/>
          <w:sz w:val="32"/>
          <w:szCs w:val="32"/>
          <w:highlight w:val="none"/>
          <w:lang w:eastAsia="zh-CN"/>
        </w:rPr>
        <w:t>法</w:t>
      </w:r>
      <w:r>
        <w:rPr>
          <w:rFonts w:ascii="仿宋_GB2312" w:hAnsi="仿宋" w:eastAsia="仿宋_GB2312"/>
          <w:color w:val="auto"/>
          <w:sz w:val="32"/>
          <w:szCs w:val="32"/>
          <w:highlight w:val="none"/>
        </w:rPr>
        <w:t>或违</w:t>
      </w:r>
      <w:r>
        <w:rPr>
          <w:rFonts w:hint="eastAsia" w:ascii="仿宋_GB2312" w:hAnsi="仿宋" w:eastAsia="仿宋_GB2312"/>
          <w:color w:val="auto"/>
          <w:sz w:val="32"/>
          <w:szCs w:val="32"/>
          <w:highlight w:val="none"/>
          <w:lang w:eastAsia="zh-CN"/>
        </w:rPr>
        <w:t>约</w:t>
      </w:r>
      <w:r>
        <w:rPr>
          <w:rFonts w:hint="eastAsia" w:ascii="仿宋_GB2312" w:hAnsi="仿宋" w:eastAsia="仿宋_GB2312"/>
          <w:color w:val="auto"/>
          <w:sz w:val="32"/>
          <w:szCs w:val="32"/>
          <w:highlight w:val="none"/>
        </w:rPr>
        <w:t>行为。</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olor w:val="auto"/>
          <w:sz w:val="32"/>
          <w:szCs w:val="32"/>
          <w:highlight w:val="none"/>
        </w:rPr>
      </w:pPr>
      <w:r>
        <w:rPr>
          <w:rFonts w:hint="eastAsia" w:ascii="仿宋_GB2312" w:hAnsi="仿宋_GB2312" w:eastAsia="仿宋_GB2312" w:cs="仿宋_GB2312"/>
          <w:b w:val="0"/>
          <w:bCs w:val="0"/>
          <w:color w:val="auto"/>
          <w:kern w:val="2"/>
          <w:sz w:val="32"/>
          <w:szCs w:val="32"/>
          <w:highlight w:val="none"/>
          <w:lang w:val="en-US" w:eastAsia="zh-CN" w:bidi="ar-SA"/>
        </w:rPr>
        <w:t>协议中止期间产生的费用不予结算，协议中止期满后，服务机构按照规定的程序向市经办机构申请签订协议，市经办机构在接到申请材料后，对服务机构整改情况进行检查。检查合格的，与服务机构恢复协议；检查不合格的，与服务机构解除协议。</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 w:eastAsia="仿宋_GB2312"/>
          <w:color w:val="auto"/>
          <w:sz w:val="32"/>
          <w:szCs w:val="32"/>
          <w:highlight w:val="none"/>
        </w:rPr>
      </w:pPr>
      <w:r>
        <w:rPr>
          <w:rFonts w:hint="eastAsia" w:ascii="仿宋_GB2312" w:hAnsi="仿宋_GB2312" w:eastAsia="仿宋_GB2312" w:cs="仿宋_GB2312"/>
          <w:b/>
          <w:bCs/>
          <w:color w:val="auto"/>
          <w:kern w:val="2"/>
          <w:sz w:val="32"/>
          <w:szCs w:val="32"/>
          <w:lang w:val="en-US" w:eastAsia="zh-CN" w:bidi="ar-SA"/>
        </w:rPr>
        <w:t xml:space="preserve">第十九条 </w:t>
      </w:r>
      <w:r>
        <w:rPr>
          <w:rFonts w:ascii="仿宋_GB2312" w:hAnsi="仿宋" w:eastAsia="仿宋_GB2312"/>
          <w:b/>
          <w:bCs/>
          <w:color w:val="auto"/>
          <w:sz w:val="32"/>
          <w:szCs w:val="32"/>
        </w:rPr>
        <w:t xml:space="preserve"> </w:t>
      </w:r>
      <w:r>
        <w:rPr>
          <w:rFonts w:hint="eastAsia" w:ascii="仿宋_GB2312" w:hAnsi="仿宋" w:eastAsia="仿宋_GB2312"/>
          <w:color w:val="auto"/>
          <w:sz w:val="32"/>
          <w:szCs w:val="32"/>
          <w:lang w:val="en-US" w:eastAsia="zh-CN"/>
        </w:rPr>
        <w:t>服务机构</w:t>
      </w:r>
      <w:r>
        <w:rPr>
          <w:rFonts w:hint="eastAsia" w:ascii="仿宋_GB2312" w:hAnsi="仿宋" w:eastAsia="仿宋_GB2312"/>
          <w:color w:val="auto"/>
          <w:sz w:val="32"/>
          <w:szCs w:val="32"/>
        </w:rPr>
        <w:t>发生以下违法违约行为的，</w:t>
      </w:r>
      <w:r>
        <w:rPr>
          <w:rFonts w:hint="eastAsia" w:ascii="仿宋_GB2312" w:hAnsi="仿宋" w:eastAsia="仿宋_GB2312"/>
          <w:color w:val="auto"/>
          <w:sz w:val="32"/>
          <w:szCs w:val="32"/>
          <w:lang w:val="en-US" w:eastAsia="zh-CN"/>
        </w:rPr>
        <w:t>经办机构予以</w:t>
      </w:r>
      <w:r>
        <w:rPr>
          <w:rFonts w:hint="eastAsia" w:ascii="仿宋_GB2312" w:hAnsi="仿宋" w:eastAsia="仿宋_GB2312"/>
          <w:color w:val="auto"/>
          <w:sz w:val="32"/>
          <w:szCs w:val="32"/>
          <w:highlight w:val="none"/>
        </w:rPr>
        <w:t>解除服务协议</w:t>
      </w:r>
      <w:r>
        <w:rPr>
          <w:rFonts w:hint="eastAsia" w:ascii="仿宋_GB2312" w:hAnsi="仿宋" w:eastAsia="仿宋_GB2312"/>
          <w:color w:val="auto"/>
          <w:sz w:val="32"/>
          <w:szCs w:val="32"/>
          <w:highlight w:val="none"/>
          <w:lang w:val="en-US" w:eastAsia="zh-CN"/>
        </w:rPr>
        <w:t>，</w:t>
      </w:r>
      <w:r>
        <w:rPr>
          <w:rFonts w:hint="eastAsia" w:ascii="仿宋_GB2312" w:hAnsi="仿宋_GB2312" w:eastAsia="仿宋_GB2312" w:cs="仿宋_GB2312"/>
          <w:color w:val="auto"/>
          <w:kern w:val="2"/>
          <w:sz w:val="32"/>
          <w:szCs w:val="32"/>
          <w:highlight w:val="none"/>
          <w:lang w:val="en-US" w:eastAsia="zh-CN" w:bidi="ar-SA"/>
        </w:rPr>
        <w:t>追回（拒付）违规费用</w:t>
      </w:r>
      <w:r>
        <w:rPr>
          <w:rFonts w:hint="eastAsia" w:ascii="仿宋_GB2312" w:hAnsi="仿宋" w:eastAsia="仿宋_GB2312"/>
          <w:color w:val="auto"/>
          <w:sz w:val="32"/>
          <w:szCs w:val="32"/>
          <w:highlight w:val="none"/>
        </w:rPr>
        <w:t>：</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 w:eastAsia="仿宋_GB2312"/>
          <w:color w:val="auto"/>
          <w:sz w:val="32"/>
          <w:szCs w:val="32"/>
        </w:rPr>
      </w:pPr>
      <w:r>
        <w:rPr>
          <w:rFonts w:hint="eastAsia" w:ascii="仿宋_GB2312" w:hAnsi="仿宋" w:eastAsia="仿宋_GB2312"/>
          <w:color w:val="auto"/>
          <w:sz w:val="32"/>
          <w:szCs w:val="32"/>
          <w:highlight w:val="none"/>
        </w:rPr>
        <w:t>（一）</w:t>
      </w:r>
      <w:r>
        <w:rPr>
          <w:rFonts w:hint="eastAsia" w:ascii="仿宋_GB2312" w:hAnsi="仿宋_GB2312" w:eastAsia="仿宋_GB2312" w:cs="仿宋_GB2312"/>
          <w:color w:val="auto"/>
          <w:kern w:val="2"/>
          <w:sz w:val="32"/>
          <w:szCs w:val="32"/>
          <w:highlight w:val="none"/>
          <w:lang w:val="en-US" w:eastAsia="zh-CN" w:bidi="ar-SA"/>
        </w:rPr>
        <w:t>涉及参与倒药卖药、编造虚假记录、虚构服务项目情节严重的，及经工伤保险职能部门</w:t>
      </w:r>
      <w:r>
        <w:rPr>
          <w:rFonts w:hint="eastAsia" w:ascii="仿宋_GB2312" w:hAnsi="仿宋_GB2312" w:eastAsia="仿宋_GB2312" w:cs="仿宋_GB2312"/>
          <w:color w:val="auto"/>
          <w:kern w:val="2"/>
          <w:sz w:val="32"/>
          <w:szCs w:val="32"/>
          <w:lang w:val="en-US" w:eastAsia="zh-CN" w:bidi="ar-SA"/>
        </w:rPr>
        <w:t>和其他有关部门查实有其他欺诈骗保行为的；</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 w:eastAsia="仿宋_GB2312"/>
          <w:color w:val="auto"/>
          <w:sz w:val="32"/>
          <w:szCs w:val="32"/>
        </w:rPr>
      </w:pPr>
      <w:r>
        <w:rPr>
          <w:rFonts w:hint="eastAsia" w:ascii="仿宋_GB2312" w:hAnsi="仿宋" w:eastAsia="仿宋_GB2312"/>
          <w:color w:val="auto"/>
          <w:sz w:val="32"/>
          <w:szCs w:val="32"/>
        </w:rPr>
        <w:t>（二）无正当理由拒绝、阻挠或不配合</w:t>
      </w:r>
      <w:r>
        <w:rPr>
          <w:rFonts w:hint="eastAsia" w:ascii="仿宋_GB2312" w:hAnsi="仿宋_GB2312" w:eastAsia="仿宋_GB2312" w:cs="仿宋_GB2312"/>
          <w:color w:val="auto"/>
          <w:kern w:val="2"/>
          <w:sz w:val="32"/>
          <w:szCs w:val="32"/>
          <w:lang w:val="en-US" w:eastAsia="zh-CN" w:bidi="ar-SA"/>
        </w:rPr>
        <w:t>工伤保险职能部门</w:t>
      </w:r>
      <w:r>
        <w:rPr>
          <w:rFonts w:hint="eastAsia" w:ascii="仿宋_GB2312" w:hAnsi="仿宋" w:eastAsia="仿宋_GB2312"/>
          <w:color w:val="auto"/>
          <w:sz w:val="32"/>
          <w:szCs w:val="32"/>
        </w:rPr>
        <w:t>、第三方机构开展必要监督检查</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情节恶劣</w:t>
      </w:r>
      <w:r>
        <w:rPr>
          <w:rFonts w:hint="eastAsia" w:ascii="仿宋_GB2312" w:hAnsi="仿宋" w:eastAsia="仿宋_GB2312"/>
          <w:color w:val="auto"/>
          <w:sz w:val="32"/>
          <w:szCs w:val="32"/>
        </w:rPr>
        <w:t>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（三）协议有效期内，</w:t>
      </w:r>
      <w:r>
        <w:rPr>
          <w:rFonts w:hint="eastAsia" w:ascii="仿宋_GB2312" w:hAnsi="仿宋" w:eastAsia="仿宋_GB2312"/>
          <w:color w:val="auto"/>
          <w:sz w:val="32"/>
          <w:szCs w:val="32"/>
          <w:lang w:val="en-US" w:eastAsia="zh-CN"/>
        </w:rPr>
        <w:t>因违法违规</w:t>
      </w:r>
      <w:r>
        <w:rPr>
          <w:rFonts w:hint="eastAsia" w:ascii="仿宋_GB2312" w:hAnsi="仿宋" w:eastAsia="仿宋_GB2312"/>
          <w:color w:val="auto"/>
          <w:sz w:val="32"/>
          <w:szCs w:val="32"/>
        </w:rPr>
        <w:t>累计</w:t>
      </w:r>
      <w:r>
        <w:rPr>
          <w:rFonts w:ascii="仿宋_GB2312" w:hAnsi="仿宋" w:eastAsia="仿宋_GB2312"/>
          <w:color w:val="auto"/>
          <w:sz w:val="32"/>
          <w:szCs w:val="32"/>
        </w:rPr>
        <w:t>2次被</w:t>
      </w:r>
      <w:r>
        <w:rPr>
          <w:rFonts w:hint="eastAsia" w:ascii="仿宋_GB2312" w:hAnsi="仿宋" w:eastAsia="仿宋_GB2312"/>
          <w:color w:val="auto"/>
          <w:sz w:val="32"/>
          <w:szCs w:val="32"/>
          <w:lang w:val="en-US" w:eastAsia="zh-CN"/>
        </w:rPr>
        <w:t>中止</w:t>
      </w:r>
      <w:r>
        <w:rPr>
          <w:rFonts w:ascii="仿宋_GB2312" w:hAnsi="仿宋" w:eastAsia="仿宋_GB2312"/>
          <w:color w:val="auto"/>
          <w:sz w:val="32"/>
          <w:szCs w:val="32"/>
        </w:rPr>
        <w:t>协议或</w:t>
      </w:r>
      <w:r>
        <w:rPr>
          <w:rFonts w:hint="eastAsia" w:ascii="仿宋_GB2312" w:hAnsi="仿宋" w:eastAsia="仿宋_GB2312"/>
          <w:color w:val="auto"/>
          <w:sz w:val="32"/>
          <w:szCs w:val="32"/>
          <w:lang w:val="en-US" w:eastAsia="zh-CN"/>
        </w:rPr>
        <w:t>中止</w:t>
      </w:r>
      <w:r>
        <w:rPr>
          <w:rFonts w:ascii="仿宋_GB2312" w:hAnsi="仿宋" w:eastAsia="仿宋_GB2312"/>
          <w:color w:val="auto"/>
          <w:sz w:val="32"/>
          <w:szCs w:val="32"/>
        </w:rPr>
        <w:t>协议期间未按时限要求整改或整改不到位的；</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（四）以弄虚作假等不正当手段申请取得工伤医疗、康复和辅助器具配置机构资格的；</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（五）</w:t>
      </w:r>
      <w:r>
        <w:rPr>
          <w:rFonts w:hint="eastAsia" w:ascii="仿宋_GB2312" w:hAnsi="仿宋_GB2312" w:eastAsia="仿宋_GB2312" w:cs="仿宋_GB2312"/>
          <w:color w:val="auto"/>
          <w:kern w:val="2"/>
          <w:sz w:val="32"/>
          <w:szCs w:val="32"/>
          <w:highlight w:val="none"/>
          <w:lang w:val="en-US" w:eastAsia="zh-CN" w:bidi="ar-SA"/>
        </w:rPr>
        <w:t>中止协议的工伤医疗、康复和辅助器具配置机构</w:t>
      </w:r>
      <w:r>
        <w:rPr>
          <w:rFonts w:hint="eastAsia" w:ascii="仿宋_GB2312" w:hAnsi="仿宋_GB2312" w:eastAsia="仿宋_GB2312" w:cs="仿宋_GB2312"/>
          <w:color w:val="auto"/>
          <w:kern w:val="2"/>
          <w:sz w:val="32"/>
          <w:szCs w:val="32"/>
          <w:highlight w:val="none"/>
          <w:u w:val="none"/>
          <w:lang w:val="en-US" w:eastAsia="zh-CN" w:bidi="ar-SA"/>
        </w:rPr>
        <w:t>仍</w:t>
      </w:r>
      <w:r>
        <w:rPr>
          <w:rFonts w:hint="eastAsia" w:ascii="仿宋_GB2312" w:hAnsi="仿宋_GB2312" w:eastAsia="仿宋_GB2312" w:cs="仿宋_GB2312"/>
          <w:color w:val="auto"/>
          <w:kern w:val="2"/>
          <w:sz w:val="32"/>
          <w:szCs w:val="32"/>
          <w:highlight w:val="none"/>
          <w:lang w:val="en-US" w:eastAsia="zh-CN" w:bidi="ar-SA"/>
        </w:rPr>
        <w:t>提供工伤医疗、康复和辅助器具配置费用结算的；</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（六）服务机构停业或歇业后未按规定向经办机构报告的；</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（七）</w:t>
      </w:r>
      <w:r>
        <w:rPr>
          <w:rFonts w:hint="eastAsia" w:ascii="仿宋_GB2312" w:hAnsi="仿宋_GB2312" w:eastAsia="仿宋_GB2312" w:cs="仿宋_GB2312"/>
          <w:color w:val="auto"/>
          <w:kern w:val="2"/>
          <w:sz w:val="32"/>
          <w:szCs w:val="32"/>
          <w:highlight w:val="none"/>
          <w:lang w:val="en-US" w:eastAsia="zh-CN" w:bidi="ar-SA"/>
        </w:rPr>
        <w:t>人力资源社会保障行政部门</w:t>
      </w:r>
      <w:r>
        <w:rPr>
          <w:rFonts w:hint="eastAsia" w:ascii="仿宋_GB2312" w:hAnsi="仿宋_GB2312" w:eastAsia="仿宋_GB2312" w:cs="仿宋_GB2312"/>
          <w:color w:val="auto"/>
          <w:kern w:val="2"/>
          <w:sz w:val="32"/>
          <w:szCs w:val="32"/>
          <w:lang w:val="en-US" w:eastAsia="zh-CN" w:bidi="ar-SA"/>
        </w:rPr>
        <w:t>或其他有关部门在行政执法中发现服务机构存在重大违法违规行为且可能造成工伤保险基金重大损失的；</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（八）法定代表人、主要负责人或实际控制人不能履行工伤医疗、康复和辅助器具配置协议约定，或有违法失信行为的；</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 w:eastAsia="仿宋_GB2312"/>
          <w:color w:val="auto"/>
          <w:sz w:val="32"/>
          <w:szCs w:val="32"/>
        </w:rPr>
      </w:pPr>
      <w:r>
        <w:rPr>
          <w:rFonts w:hint="eastAsia" w:ascii="仿宋_GB2312" w:hAnsi="仿宋_GB2312" w:eastAsia="仿宋_GB2312" w:cs="仿宋_GB2312"/>
          <w:color w:val="auto"/>
          <w:kern w:val="2"/>
          <w:sz w:val="32"/>
          <w:szCs w:val="32"/>
          <w:highlight w:val="none"/>
          <w:lang w:val="en-US" w:eastAsia="zh-CN" w:bidi="ar-SA"/>
        </w:rPr>
        <w:t>（九）未依法履行人力资源社会保障行政部门作出的行政处罚决定的；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十</w:t>
      </w:r>
      <w:r>
        <w:rPr>
          <w:rFonts w:hint="eastAsia" w:ascii="仿宋_GB2312" w:hAnsi="仿宋" w:eastAsia="仿宋_GB2312"/>
          <w:color w:val="auto"/>
          <w:sz w:val="32"/>
          <w:szCs w:val="32"/>
        </w:rPr>
        <w:t>）被吊销《医疗机构执业许可证》或《营业执照》的；</w:t>
      </w:r>
      <w:r>
        <w:rPr>
          <w:rFonts w:ascii="仿宋_GB2312" w:hAnsi="仿宋" w:eastAsia="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olor w:val="auto"/>
          <w:sz w:val="32"/>
          <w:szCs w:val="32"/>
          <w:lang w:val="en-US" w:eastAsia="zh-CN"/>
        </w:rPr>
      </w:pP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十一</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被解除基本医疗保险服务协议的；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i w:val="0"/>
          <w:caps w:val="0"/>
          <w:color w:val="auto"/>
          <w:spacing w:val="0"/>
          <w:sz w:val="32"/>
          <w:szCs w:val="32"/>
          <w:shd w:val="clear" w:color="auto" w:fill="FFFFFF"/>
          <w:lang w:eastAsia="zh-CN"/>
        </w:rPr>
      </w:pP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十二</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发生</w:t>
      </w:r>
      <w:r>
        <w:rPr>
          <w:rFonts w:hint="eastAsia" w:ascii="仿宋_GB2312" w:hAnsi="仿宋" w:eastAsia="仿宋_GB2312"/>
          <w:color w:val="auto"/>
          <w:sz w:val="32"/>
          <w:szCs w:val="32"/>
        </w:rPr>
        <w:t>造成严重后果或重大影响（媒体曝光、行业审计等）的违规行为</w:t>
      </w:r>
      <w:r>
        <w:rPr>
          <w:rFonts w:hint="eastAsia" w:ascii="仿宋_GB2312" w:hAnsi="仿宋" w:eastAsia="仿宋_GB2312"/>
          <w:color w:val="auto"/>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宋体" w:hAnsi="Courier New" w:eastAsia="宋体" w:cs="Times New Roman"/>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（十三）根据服务协议约定应当解除服务协议的；</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（十四）法律法规和规章规定的应当解除的其他情形。</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3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b/>
          <w:bCs/>
          <w:color w:val="auto"/>
          <w:kern w:val="2"/>
          <w:sz w:val="32"/>
          <w:szCs w:val="32"/>
          <w:lang w:val="en-US" w:eastAsia="zh-CN" w:bidi="ar-SA"/>
        </w:rPr>
        <w:t>第</w:t>
      </w:r>
      <w:r>
        <w:rPr>
          <w:rFonts w:hint="eastAsia" w:ascii="仿宋_GB2312" w:hAnsi="仿宋_GB2312" w:eastAsia="仿宋_GB2312" w:cs="仿宋_GB2312"/>
          <w:b/>
          <w:bCs/>
          <w:color w:val="auto"/>
          <w:kern w:val="2"/>
          <w:sz w:val="32"/>
          <w:szCs w:val="32"/>
          <w:lang w:val="en-US" w:eastAsia="zh-CN" w:bidi="ar-SA"/>
        </w:rPr>
        <w:t>二十</w:t>
      </w:r>
      <w:r>
        <w:rPr>
          <w:rFonts w:hint="default" w:ascii="仿宋_GB2312" w:hAnsi="仿宋_GB2312" w:eastAsia="仿宋_GB2312" w:cs="仿宋_GB2312"/>
          <w:b/>
          <w:bCs/>
          <w:color w:val="auto"/>
          <w:kern w:val="2"/>
          <w:sz w:val="32"/>
          <w:szCs w:val="32"/>
          <w:lang w:val="en-US" w:eastAsia="zh-CN" w:bidi="ar-SA"/>
        </w:rPr>
        <w:t>条</w:t>
      </w:r>
      <w:r>
        <w:rPr>
          <w:rFonts w:hint="default" w:ascii="仿宋_GB2312" w:hAnsi="仿宋_GB2312" w:eastAsia="仿宋_GB2312" w:cs="仿宋_GB2312"/>
          <w:color w:val="auto"/>
          <w:kern w:val="2"/>
          <w:sz w:val="32"/>
          <w:szCs w:val="32"/>
          <w:lang w:val="en-US" w:eastAsia="zh-CN" w:bidi="ar-SA"/>
        </w:rPr>
        <w:t> 对于涉及</w:t>
      </w:r>
      <w:r>
        <w:rPr>
          <w:rFonts w:hint="default" w:ascii="仿宋_GB2312" w:hAnsi="仿宋_GB2312" w:eastAsia="仿宋_GB2312" w:cs="仿宋_GB2312"/>
          <w:color w:val="auto"/>
          <w:kern w:val="2"/>
          <w:sz w:val="32"/>
          <w:szCs w:val="32"/>
          <w:highlight w:val="none"/>
          <w:lang w:val="en-US" w:eastAsia="zh-CN" w:bidi="ar-SA"/>
        </w:rPr>
        <w:t>追回已支付的违规费用</w:t>
      </w:r>
      <w:r>
        <w:rPr>
          <w:rFonts w:hint="eastAsia" w:ascii="仿宋_GB2312" w:hAnsi="仿宋_GB2312" w:eastAsia="仿宋_GB2312" w:cs="仿宋_GB2312"/>
          <w:color w:val="auto"/>
          <w:kern w:val="2"/>
          <w:sz w:val="32"/>
          <w:szCs w:val="32"/>
          <w:highlight w:val="none"/>
          <w:lang w:val="en-US" w:eastAsia="zh-CN" w:bidi="ar-SA"/>
        </w:rPr>
        <w:t>、暂缓支付费用、中止服务</w:t>
      </w:r>
      <w:r>
        <w:rPr>
          <w:rFonts w:hint="default" w:ascii="仿宋_GB2312" w:hAnsi="仿宋_GB2312" w:eastAsia="仿宋_GB2312" w:cs="仿宋_GB2312"/>
          <w:color w:val="auto"/>
          <w:kern w:val="2"/>
          <w:sz w:val="32"/>
          <w:szCs w:val="32"/>
          <w:highlight w:val="none"/>
          <w:lang w:val="en-US" w:eastAsia="zh-CN" w:bidi="ar-SA"/>
        </w:rPr>
        <w:t>协议</w:t>
      </w:r>
      <w:r>
        <w:rPr>
          <w:rFonts w:hint="eastAsia" w:ascii="仿宋_GB2312" w:hAnsi="仿宋_GB2312" w:eastAsia="仿宋_GB2312" w:cs="仿宋_GB2312"/>
          <w:color w:val="auto"/>
          <w:kern w:val="2"/>
          <w:sz w:val="32"/>
          <w:szCs w:val="32"/>
          <w:highlight w:val="none"/>
          <w:lang w:val="en-US" w:eastAsia="zh-CN" w:bidi="ar-SA"/>
        </w:rPr>
        <w:t>、解除服务协议</w:t>
      </w:r>
      <w:r>
        <w:rPr>
          <w:rFonts w:hint="default" w:ascii="仿宋_GB2312" w:hAnsi="仿宋_GB2312" w:eastAsia="仿宋_GB2312" w:cs="仿宋_GB2312"/>
          <w:color w:val="auto"/>
          <w:kern w:val="2"/>
          <w:sz w:val="32"/>
          <w:szCs w:val="32"/>
          <w:lang w:val="en-US" w:eastAsia="zh-CN" w:bidi="ar-SA"/>
        </w:rPr>
        <w:t>等处理的，由区经办机构将相关情况及处理建议报市经办机构，市经办机构经审议后作出处理决定。市</w:t>
      </w:r>
      <w:r>
        <w:rPr>
          <w:rFonts w:hint="eastAsia" w:ascii="仿宋_GB2312" w:hAnsi="仿宋_GB2312" w:eastAsia="仿宋_GB2312" w:cs="仿宋_GB2312"/>
          <w:color w:val="auto"/>
          <w:kern w:val="2"/>
          <w:sz w:val="32"/>
          <w:szCs w:val="32"/>
          <w:lang w:val="en-US" w:eastAsia="zh-CN" w:bidi="ar-SA"/>
        </w:rPr>
        <w:t>经办机构</w:t>
      </w:r>
      <w:r>
        <w:rPr>
          <w:rFonts w:hint="default" w:ascii="仿宋_GB2312" w:hAnsi="仿宋_GB2312" w:eastAsia="仿宋_GB2312" w:cs="仿宋_GB2312"/>
          <w:color w:val="auto"/>
          <w:kern w:val="2"/>
          <w:sz w:val="32"/>
          <w:szCs w:val="32"/>
          <w:lang w:val="en-US" w:eastAsia="zh-CN" w:bidi="ar-SA"/>
        </w:rPr>
        <w:t>也可依据</w:t>
      </w:r>
      <w:r>
        <w:rPr>
          <w:rFonts w:hint="eastAsia" w:ascii="仿宋_GB2312" w:hAnsi="仿宋_GB2312" w:eastAsia="仿宋_GB2312" w:cs="仿宋_GB2312"/>
          <w:color w:val="auto"/>
          <w:kern w:val="2"/>
          <w:sz w:val="32"/>
          <w:szCs w:val="32"/>
          <w:lang w:val="en-US" w:eastAsia="zh-CN" w:bidi="ar-SA"/>
        </w:rPr>
        <w:t>服务</w:t>
      </w:r>
      <w:r>
        <w:rPr>
          <w:rFonts w:hint="default" w:ascii="仿宋_GB2312" w:hAnsi="仿宋_GB2312" w:eastAsia="仿宋_GB2312" w:cs="仿宋_GB2312"/>
          <w:color w:val="auto"/>
          <w:kern w:val="2"/>
          <w:sz w:val="32"/>
          <w:szCs w:val="32"/>
          <w:lang w:val="en-US" w:eastAsia="zh-CN" w:bidi="ar-SA"/>
        </w:rPr>
        <w:t>机构违法违规违约情形，对</w:t>
      </w:r>
      <w:r>
        <w:rPr>
          <w:rFonts w:hint="eastAsia" w:ascii="仿宋_GB2312" w:hAnsi="仿宋_GB2312" w:eastAsia="仿宋_GB2312" w:cs="仿宋_GB2312"/>
          <w:color w:val="auto"/>
          <w:kern w:val="2"/>
          <w:sz w:val="32"/>
          <w:szCs w:val="32"/>
          <w:lang w:val="en-US" w:eastAsia="zh-CN" w:bidi="ar-SA"/>
        </w:rPr>
        <w:t>服务</w:t>
      </w:r>
      <w:r>
        <w:rPr>
          <w:rFonts w:hint="default" w:ascii="仿宋_GB2312" w:hAnsi="仿宋_GB2312" w:eastAsia="仿宋_GB2312" w:cs="仿宋_GB2312"/>
          <w:color w:val="auto"/>
          <w:kern w:val="2"/>
          <w:sz w:val="32"/>
          <w:szCs w:val="32"/>
          <w:lang w:val="en-US" w:eastAsia="zh-CN" w:bidi="ar-SA"/>
        </w:rPr>
        <w:t>机构直接做出处理。</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30"/>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协议处理应遵循公正、公开的原则，坚持处理与教育相结合，做到事实清楚、证据确凿、适用条款准确、处理结果适当。协议处理应集体研究讨论确定并形成记录。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b/>
          <w:bCs/>
          <w:color w:val="auto"/>
          <w:kern w:val="2"/>
          <w:sz w:val="32"/>
          <w:szCs w:val="32"/>
          <w:lang w:val="en-US" w:eastAsia="zh-CN" w:bidi="ar-SA"/>
        </w:rPr>
        <w:t>第</w:t>
      </w:r>
      <w:r>
        <w:rPr>
          <w:rFonts w:hint="eastAsia" w:ascii="仿宋_GB2312" w:hAnsi="仿宋_GB2312" w:eastAsia="仿宋_GB2312" w:cs="仿宋_GB2312"/>
          <w:b/>
          <w:bCs/>
          <w:color w:val="auto"/>
          <w:kern w:val="2"/>
          <w:sz w:val="32"/>
          <w:szCs w:val="32"/>
          <w:lang w:val="en-US" w:eastAsia="zh-CN" w:bidi="ar-SA"/>
        </w:rPr>
        <w:t>二十一</w:t>
      </w:r>
      <w:r>
        <w:rPr>
          <w:rFonts w:hint="default" w:ascii="仿宋_GB2312" w:hAnsi="仿宋_GB2312" w:eastAsia="仿宋_GB2312" w:cs="仿宋_GB2312"/>
          <w:b/>
          <w:bCs/>
          <w:color w:val="auto"/>
          <w:kern w:val="2"/>
          <w:sz w:val="32"/>
          <w:szCs w:val="32"/>
          <w:lang w:val="en-US" w:eastAsia="zh-CN" w:bidi="ar-SA"/>
        </w:rPr>
        <w:t>条</w:t>
      </w:r>
      <w:r>
        <w:rPr>
          <w:rFonts w:hint="default" w:ascii="仿宋_GB2312" w:hAnsi="仿宋_GB2312" w:eastAsia="仿宋_GB2312" w:cs="仿宋_GB2312"/>
          <w:color w:val="auto"/>
          <w:kern w:val="2"/>
          <w:sz w:val="32"/>
          <w:szCs w:val="32"/>
          <w:lang w:val="en-US" w:eastAsia="zh-CN" w:bidi="ar-SA"/>
        </w:rPr>
        <w:t> 协议处理意见</w:t>
      </w:r>
      <w:r>
        <w:rPr>
          <w:rFonts w:hint="eastAsia" w:ascii="仿宋_GB2312" w:hAnsi="仿宋_GB2312" w:eastAsia="仿宋_GB2312" w:cs="仿宋_GB2312"/>
          <w:color w:val="auto"/>
          <w:kern w:val="2"/>
          <w:sz w:val="32"/>
          <w:szCs w:val="32"/>
          <w:lang w:val="en-US" w:eastAsia="zh-CN" w:bidi="ar-SA"/>
        </w:rPr>
        <w:t>作</w:t>
      </w:r>
      <w:r>
        <w:rPr>
          <w:rFonts w:hint="default" w:ascii="仿宋_GB2312" w:hAnsi="仿宋_GB2312" w:eastAsia="仿宋_GB2312" w:cs="仿宋_GB2312"/>
          <w:color w:val="auto"/>
          <w:kern w:val="2"/>
          <w:sz w:val="32"/>
          <w:szCs w:val="32"/>
          <w:lang w:val="en-US" w:eastAsia="zh-CN" w:bidi="ar-SA"/>
        </w:rPr>
        <w:t>出后，</w:t>
      </w:r>
      <w:r>
        <w:rPr>
          <w:rFonts w:hint="eastAsia" w:ascii="仿宋_GB2312" w:hAnsi="仿宋_GB2312" w:eastAsia="仿宋_GB2312" w:cs="仿宋_GB2312"/>
          <w:color w:val="auto"/>
          <w:kern w:val="2"/>
          <w:sz w:val="32"/>
          <w:szCs w:val="32"/>
          <w:lang w:val="en-US" w:eastAsia="zh-CN" w:bidi="ar-SA"/>
        </w:rPr>
        <w:t>市经办机构</w:t>
      </w:r>
      <w:r>
        <w:rPr>
          <w:rFonts w:hint="default" w:ascii="仿宋_GB2312" w:hAnsi="仿宋_GB2312" w:eastAsia="仿宋_GB2312" w:cs="仿宋_GB2312"/>
          <w:color w:val="auto"/>
          <w:kern w:val="2"/>
          <w:sz w:val="32"/>
          <w:szCs w:val="32"/>
          <w:lang w:val="en-US" w:eastAsia="zh-CN" w:bidi="ar-SA"/>
        </w:rPr>
        <w:t>应书面告知</w:t>
      </w:r>
      <w:r>
        <w:rPr>
          <w:rFonts w:hint="eastAsia" w:ascii="仿宋_GB2312" w:hAnsi="仿宋_GB2312" w:eastAsia="仿宋_GB2312" w:cs="仿宋_GB2312"/>
          <w:color w:val="auto"/>
          <w:kern w:val="2"/>
          <w:sz w:val="32"/>
          <w:szCs w:val="32"/>
          <w:lang w:val="en-US" w:eastAsia="zh-CN" w:bidi="ar-SA"/>
        </w:rPr>
        <w:t>服务</w:t>
      </w:r>
      <w:r>
        <w:rPr>
          <w:rFonts w:hint="default" w:ascii="仿宋_GB2312" w:hAnsi="仿宋_GB2312" w:eastAsia="仿宋_GB2312" w:cs="仿宋_GB2312"/>
          <w:color w:val="auto"/>
          <w:kern w:val="2"/>
          <w:sz w:val="32"/>
          <w:szCs w:val="32"/>
          <w:lang w:val="en-US" w:eastAsia="zh-CN" w:bidi="ar-SA"/>
        </w:rPr>
        <w:t>机构，告知内容为认定的违规违约事实、对应的协议条款</w:t>
      </w:r>
      <w:r>
        <w:rPr>
          <w:rFonts w:hint="eastAsia" w:ascii="仿宋_GB2312" w:hAnsi="仿宋_GB2312" w:eastAsia="仿宋_GB2312" w:cs="仿宋_GB2312"/>
          <w:color w:val="auto"/>
          <w:kern w:val="2"/>
          <w:sz w:val="32"/>
          <w:szCs w:val="32"/>
          <w:lang w:val="en-US" w:eastAsia="zh-CN" w:bidi="ar-SA"/>
        </w:rPr>
        <w:t>及</w:t>
      </w:r>
      <w:r>
        <w:rPr>
          <w:rFonts w:hint="default" w:ascii="仿宋_GB2312" w:hAnsi="仿宋_GB2312" w:eastAsia="仿宋_GB2312" w:cs="仿宋_GB2312"/>
          <w:color w:val="auto"/>
          <w:kern w:val="2"/>
          <w:sz w:val="32"/>
          <w:szCs w:val="32"/>
          <w:lang w:val="en-US" w:eastAsia="zh-CN" w:bidi="ar-SA"/>
        </w:rPr>
        <w:t>处理结果。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b/>
          <w:bCs/>
          <w:color w:val="auto"/>
          <w:kern w:val="2"/>
          <w:sz w:val="32"/>
          <w:szCs w:val="32"/>
          <w:lang w:val="en-US" w:eastAsia="zh-CN" w:bidi="ar-SA"/>
        </w:rPr>
        <w:t>第</w:t>
      </w:r>
      <w:r>
        <w:rPr>
          <w:rFonts w:hint="eastAsia" w:ascii="仿宋_GB2312" w:hAnsi="仿宋_GB2312" w:eastAsia="仿宋_GB2312" w:cs="仿宋_GB2312"/>
          <w:b/>
          <w:bCs/>
          <w:color w:val="auto"/>
          <w:kern w:val="2"/>
          <w:sz w:val="32"/>
          <w:szCs w:val="32"/>
          <w:lang w:val="en-US" w:eastAsia="zh-CN" w:bidi="ar-SA"/>
        </w:rPr>
        <w:t>二十二</w:t>
      </w:r>
      <w:r>
        <w:rPr>
          <w:rFonts w:hint="default" w:ascii="仿宋_GB2312" w:hAnsi="仿宋_GB2312" w:eastAsia="仿宋_GB2312" w:cs="仿宋_GB2312"/>
          <w:b/>
          <w:bCs/>
          <w:color w:val="auto"/>
          <w:kern w:val="2"/>
          <w:sz w:val="32"/>
          <w:szCs w:val="32"/>
          <w:lang w:val="en-US" w:eastAsia="zh-CN" w:bidi="ar-SA"/>
        </w:rPr>
        <w:t>条</w:t>
      </w:r>
      <w:r>
        <w:rPr>
          <w:rFonts w:hint="default" w:ascii="仿宋_GB2312" w:hAnsi="仿宋_GB2312" w:eastAsia="仿宋_GB2312" w:cs="仿宋_GB2312"/>
          <w:color w:val="auto"/>
          <w:kern w:val="2"/>
          <w:sz w:val="32"/>
          <w:szCs w:val="32"/>
          <w:lang w:val="en-US" w:eastAsia="zh-CN" w:bidi="ar-SA"/>
        </w:rPr>
        <w:t> 协议处理涉及限期整改的，</w:t>
      </w:r>
      <w:r>
        <w:rPr>
          <w:rFonts w:hint="eastAsia" w:ascii="仿宋_GB2312" w:hAnsi="仿宋_GB2312" w:eastAsia="仿宋_GB2312" w:cs="仿宋_GB2312"/>
          <w:color w:val="auto"/>
          <w:kern w:val="2"/>
          <w:sz w:val="32"/>
          <w:szCs w:val="32"/>
          <w:lang w:val="en-US" w:eastAsia="zh-CN" w:bidi="ar-SA"/>
        </w:rPr>
        <w:t>区经办机构</w:t>
      </w:r>
      <w:r>
        <w:rPr>
          <w:rFonts w:hint="default" w:ascii="仿宋_GB2312" w:hAnsi="仿宋_GB2312" w:eastAsia="仿宋_GB2312" w:cs="仿宋_GB2312"/>
          <w:color w:val="auto"/>
          <w:kern w:val="2"/>
          <w:sz w:val="32"/>
          <w:szCs w:val="32"/>
          <w:lang w:val="en-US" w:eastAsia="zh-CN" w:bidi="ar-SA"/>
        </w:rPr>
        <w:t>应督促</w:t>
      </w:r>
      <w:r>
        <w:rPr>
          <w:rFonts w:hint="eastAsia" w:ascii="仿宋_GB2312" w:hAnsi="仿宋_GB2312" w:eastAsia="仿宋_GB2312" w:cs="仿宋_GB2312"/>
          <w:color w:val="auto"/>
          <w:kern w:val="2"/>
          <w:sz w:val="32"/>
          <w:szCs w:val="32"/>
          <w:lang w:val="en-US" w:eastAsia="zh-CN" w:bidi="ar-SA"/>
        </w:rPr>
        <w:t>服务</w:t>
      </w:r>
      <w:r>
        <w:rPr>
          <w:rFonts w:hint="default" w:ascii="仿宋_GB2312" w:hAnsi="仿宋_GB2312" w:eastAsia="仿宋_GB2312" w:cs="仿宋_GB2312"/>
          <w:color w:val="auto"/>
          <w:kern w:val="2"/>
          <w:sz w:val="32"/>
          <w:szCs w:val="32"/>
          <w:lang w:val="en-US" w:eastAsia="zh-CN" w:bidi="ar-SA"/>
        </w:rPr>
        <w:t>机构整改。</w:t>
      </w:r>
      <w:r>
        <w:rPr>
          <w:rFonts w:hint="eastAsia" w:ascii="仿宋_GB2312" w:hAnsi="仿宋_GB2312" w:eastAsia="仿宋_GB2312" w:cs="仿宋_GB2312"/>
          <w:color w:val="auto"/>
          <w:kern w:val="2"/>
          <w:sz w:val="32"/>
          <w:szCs w:val="32"/>
          <w:lang w:val="en-US" w:eastAsia="zh-CN" w:bidi="ar-SA"/>
        </w:rPr>
        <w:t>服务</w:t>
      </w:r>
      <w:r>
        <w:rPr>
          <w:rFonts w:hint="default" w:ascii="仿宋_GB2312" w:hAnsi="仿宋_GB2312" w:eastAsia="仿宋_GB2312" w:cs="仿宋_GB2312"/>
          <w:color w:val="auto"/>
          <w:kern w:val="2"/>
          <w:sz w:val="32"/>
          <w:szCs w:val="32"/>
          <w:lang w:val="en-US" w:eastAsia="zh-CN" w:bidi="ar-SA"/>
        </w:rPr>
        <w:t>机构整改完成后，应向</w:t>
      </w:r>
      <w:r>
        <w:rPr>
          <w:rFonts w:hint="eastAsia" w:ascii="仿宋_GB2312" w:hAnsi="仿宋_GB2312" w:eastAsia="仿宋_GB2312" w:cs="仿宋_GB2312"/>
          <w:color w:val="auto"/>
          <w:kern w:val="2"/>
          <w:sz w:val="32"/>
          <w:szCs w:val="32"/>
          <w:lang w:val="en-US" w:eastAsia="zh-CN" w:bidi="ar-SA"/>
        </w:rPr>
        <w:t>区经办机构</w:t>
      </w:r>
      <w:r>
        <w:rPr>
          <w:rFonts w:hint="default" w:ascii="仿宋_GB2312" w:hAnsi="仿宋_GB2312" w:eastAsia="仿宋_GB2312" w:cs="仿宋_GB2312"/>
          <w:color w:val="auto"/>
          <w:kern w:val="2"/>
          <w:sz w:val="32"/>
          <w:szCs w:val="32"/>
          <w:lang w:val="en-US" w:eastAsia="zh-CN" w:bidi="ar-SA"/>
        </w:rPr>
        <w:t>递交书面整改报告。</w:t>
      </w:r>
      <w:r>
        <w:rPr>
          <w:rFonts w:hint="eastAsia" w:ascii="仿宋_GB2312" w:hAnsi="仿宋_GB2312" w:eastAsia="仿宋_GB2312" w:cs="仿宋_GB2312"/>
          <w:color w:val="auto"/>
          <w:kern w:val="2"/>
          <w:sz w:val="32"/>
          <w:szCs w:val="32"/>
          <w:lang w:val="en-US" w:eastAsia="zh-CN" w:bidi="ar-SA"/>
        </w:rPr>
        <w:t>区经办机构进行</w:t>
      </w:r>
      <w:r>
        <w:rPr>
          <w:rFonts w:hint="default" w:ascii="仿宋_GB2312" w:hAnsi="仿宋_GB2312" w:eastAsia="仿宋_GB2312" w:cs="仿宋_GB2312"/>
          <w:color w:val="auto"/>
          <w:kern w:val="2"/>
          <w:sz w:val="32"/>
          <w:szCs w:val="32"/>
          <w:lang w:val="en-US" w:eastAsia="zh-CN" w:bidi="ar-SA"/>
        </w:rPr>
        <w:t>实地</w:t>
      </w:r>
      <w:r>
        <w:rPr>
          <w:rFonts w:hint="eastAsia" w:ascii="仿宋_GB2312" w:hAnsi="仿宋_GB2312" w:eastAsia="仿宋_GB2312" w:cs="仿宋_GB2312"/>
          <w:color w:val="auto"/>
          <w:kern w:val="2"/>
          <w:sz w:val="32"/>
          <w:szCs w:val="32"/>
          <w:lang w:val="en-US" w:eastAsia="zh-CN" w:bidi="ar-SA"/>
        </w:rPr>
        <w:t>检查后</w:t>
      </w:r>
      <w:r>
        <w:rPr>
          <w:rFonts w:hint="default"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将检查结果</w:t>
      </w:r>
      <w:r>
        <w:rPr>
          <w:rFonts w:hint="default" w:ascii="仿宋_GB2312" w:hAnsi="仿宋_GB2312" w:eastAsia="仿宋_GB2312" w:cs="仿宋_GB2312"/>
          <w:color w:val="auto"/>
          <w:kern w:val="2"/>
          <w:sz w:val="32"/>
          <w:szCs w:val="32"/>
          <w:lang w:val="en-US" w:eastAsia="zh-CN" w:bidi="ar-SA"/>
        </w:rPr>
        <w:t>报市</w:t>
      </w:r>
      <w:r>
        <w:rPr>
          <w:rFonts w:hint="eastAsia" w:ascii="仿宋_GB2312" w:hAnsi="仿宋_GB2312" w:eastAsia="仿宋_GB2312" w:cs="仿宋_GB2312"/>
          <w:color w:val="auto"/>
          <w:kern w:val="2"/>
          <w:sz w:val="32"/>
          <w:szCs w:val="32"/>
          <w:lang w:val="en-US" w:eastAsia="zh-CN" w:bidi="ar-SA"/>
        </w:rPr>
        <w:t>经办机构。市经办机构</w:t>
      </w:r>
      <w:r>
        <w:rPr>
          <w:rFonts w:hint="default" w:ascii="仿宋_GB2312" w:hAnsi="仿宋_GB2312" w:eastAsia="仿宋_GB2312" w:cs="仿宋_GB2312"/>
          <w:color w:val="auto"/>
          <w:kern w:val="2"/>
          <w:sz w:val="32"/>
          <w:szCs w:val="32"/>
          <w:lang w:val="en-US" w:eastAsia="zh-CN" w:bidi="ar-SA"/>
        </w:rPr>
        <w:t>依据整改情况，对</w:t>
      </w:r>
      <w:r>
        <w:rPr>
          <w:rFonts w:hint="eastAsia" w:ascii="仿宋_GB2312" w:hAnsi="仿宋_GB2312" w:eastAsia="仿宋_GB2312" w:cs="仿宋_GB2312"/>
          <w:color w:val="auto"/>
          <w:kern w:val="2"/>
          <w:sz w:val="32"/>
          <w:szCs w:val="32"/>
          <w:lang w:val="en-US" w:eastAsia="zh-CN" w:bidi="ar-SA"/>
        </w:rPr>
        <w:t>服务</w:t>
      </w:r>
      <w:r>
        <w:rPr>
          <w:rFonts w:hint="default" w:ascii="仿宋_GB2312" w:hAnsi="仿宋_GB2312" w:eastAsia="仿宋_GB2312" w:cs="仿宋_GB2312"/>
          <w:color w:val="auto"/>
          <w:kern w:val="2"/>
          <w:sz w:val="32"/>
          <w:szCs w:val="32"/>
          <w:lang w:val="en-US" w:eastAsia="zh-CN" w:bidi="ar-SA"/>
        </w:rPr>
        <w:t>机构的处理意见进行终止、延续或加重处理。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default" w:ascii="仿宋" w:hAnsi="仿宋" w:eastAsia="仿宋" w:cs="仿宋"/>
          <w:i w:val="0"/>
          <w:caps w:val="0"/>
          <w:color w:val="auto"/>
          <w:spacing w:val="0"/>
          <w:sz w:val="32"/>
          <w:szCs w:val="32"/>
          <w:shd w:val="clear" w:color="auto" w:fill="FFFFFF"/>
        </w:rPr>
      </w:pPr>
      <w:r>
        <w:rPr>
          <w:rFonts w:hint="eastAsia" w:ascii="仿宋_GB2312" w:hAnsi="仿宋_GB2312" w:eastAsia="仿宋_GB2312" w:cs="仿宋_GB2312"/>
          <w:b/>
          <w:bCs/>
          <w:color w:val="auto"/>
          <w:kern w:val="2"/>
          <w:sz w:val="32"/>
          <w:szCs w:val="32"/>
          <w:lang w:val="en-US" w:eastAsia="zh-CN" w:bidi="ar-SA"/>
        </w:rPr>
        <w:t>第二十三条</w:t>
      </w:r>
      <w:r>
        <w:rPr>
          <w:rFonts w:hint="eastAsia" w:ascii="仿宋_GB2312" w:hAnsi="仿宋_GB2312" w:eastAsia="仿宋_GB2312" w:cs="仿宋_GB2312"/>
          <w:color w:val="auto"/>
          <w:kern w:val="2"/>
          <w:sz w:val="32"/>
          <w:szCs w:val="32"/>
          <w:lang w:val="en-US" w:eastAsia="zh-CN" w:bidi="ar-SA"/>
        </w:rPr>
        <w:t xml:space="preserve"> 服务机构出现停业或歇业、不可抗力致协议不能正常履行等情况，应及时向区经办机构提交情况说明。区经办机构经核实后</w:t>
      </w:r>
      <w:r>
        <w:rPr>
          <w:rFonts w:hint="default" w:ascii="仿宋_GB2312" w:hAnsi="仿宋_GB2312" w:eastAsia="仿宋_GB2312" w:cs="仿宋_GB2312"/>
          <w:color w:val="auto"/>
          <w:kern w:val="2"/>
          <w:sz w:val="32"/>
          <w:szCs w:val="32"/>
          <w:lang w:val="en-US" w:eastAsia="zh-CN" w:bidi="ar-SA"/>
        </w:rPr>
        <w:t>上报市</w:t>
      </w:r>
      <w:r>
        <w:rPr>
          <w:rFonts w:hint="eastAsia" w:ascii="仿宋_GB2312" w:hAnsi="仿宋_GB2312" w:eastAsia="仿宋_GB2312" w:cs="仿宋_GB2312"/>
          <w:color w:val="auto"/>
          <w:kern w:val="2"/>
          <w:sz w:val="32"/>
          <w:szCs w:val="32"/>
          <w:lang w:val="en-US" w:eastAsia="zh-CN" w:bidi="ar-SA"/>
        </w:rPr>
        <w:t>经办机构，市经办机构根据具体情况作出中止或终止协议处理。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2" w:firstLineChars="200"/>
        <w:jc w:val="both"/>
        <w:textAlignment w:val="auto"/>
        <w:rPr>
          <w:rFonts w:hint="eastAsia"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第</w:t>
      </w:r>
      <w:r>
        <w:rPr>
          <w:rFonts w:hint="eastAsia" w:ascii="仿宋_GB2312" w:hAnsi="仿宋_GB2312" w:eastAsia="仿宋_GB2312" w:cs="仿宋_GB2312"/>
          <w:b/>
          <w:bCs/>
          <w:color w:val="auto"/>
          <w:kern w:val="2"/>
          <w:sz w:val="32"/>
          <w:szCs w:val="32"/>
          <w:lang w:val="en-US" w:eastAsia="zh-CN" w:bidi="ar-SA"/>
        </w:rPr>
        <w:t>二十四</w:t>
      </w:r>
      <w:r>
        <w:rPr>
          <w:rFonts w:hint="default" w:ascii="仿宋_GB2312" w:hAnsi="仿宋_GB2312" w:eastAsia="仿宋_GB2312" w:cs="仿宋_GB2312"/>
          <w:b/>
          <w:bCs/>
          <w:color w:val="auto"/>
          <w:kern w:val="2"/>
          <w:sz w:val="32"/>
          <w:szCs w:val="32"/>
          <w:lang w:val="en-US" w:eastAsia="zh-CN" w:bidi="ar-SA"/>
        </w:rPr>
        <w:t>条</w:t>
      </w:r>
      <w:r>
        <w:rPr>
          <w:rFonts w:hint="default" w:ascii="仿宋_GB2312" w:hAnsi="仿宋_GB2312" w:eastAsia="仿宋_GB2312" w:cs="仿宋_GB2312"/>
          <w:color w:val="auto"/>
          <w:kern w:val="2"/>
          <w:sz w:val="32"/>
          <w:szCs w:val="32"/>
          <w:lang w:val="en-US" w:eastAsia="zh-CN" w:bidi="ar-SA"/>
        </w:rPr>
        <w:t> 对涉及</w:t>
      </w:r>
      <w:r>
        <w:rPr>
          <w:rFonts w:hint="eastAsia" w:ascii="仿宋_GB2312" w:hAnsi="仿宋_GB2312" w:eastAsia="仿宋_GB2312" w:cs="仿宋_GB2312"/>
          <w:color w:val="auto"/>
          <w:kern w:val="2"/>
          <w:sz w:val="32"/>
          <w:szCs w:val="32"/>
          <w:lang w:val="en-US" w:eastAsia="zh-CN" w:bidi="ar-SA"/>
        </w:rPr>
        <w:t>中止、</w:t>
      </w:r>
      <w:r>
        <w:rPr>
          <w:rFonts w:hint="default" w:ascii="仿宋_GB2312" w:hAnsi="仿宋_GB2312" w:eastAsia="仿宋_GB2312" w:cs="仿宋_GB2312"/>
          <w:color w:val="auto"/>
          <w:kern w:val="2"/>
          <w:sz w:val="32"/>
          <w:szCs w:val="32"/>
          <w:lang w:val="en-US" w:eastAsia="zh-CN" w:bidi="ar-SA"/>
        </w:rPr>
        <w:t>解除或</w:t>
      </w:r>
      <w:r>
        <w:rPr>
          <w:rFonts w:hint="eastAsia" w:ascii="仿宋_GB2312" w:hAnsi="仿宋_GB2312" w:eastAsia="仿宋_GB2312" w:cs="仿宋_GB2312"/>
          <w:color w:val="auto"/>
          <w:kern w:val="2"/>
          <w:sz w:val="32"/>
          <w:szCs w:val="32"/>
          <w:lang w:val="en-US" w:eastAsia="zh-CN" w:bidi="ar-SA"/>
        </w:rPr>
        <w:t>终止协议</w:t>
      </w:r>
      <w:r>
        <w:rPr>
          <w:rFonts w:hint="default" w:ascii="仿宋_GB2312" w:hAnsi="仿宋_GB2312" w:eastAsia="仿宋_GB2312" w:cs="仿宋_GB2312"/>
          <w:color w:val="auto"/>
          <w:kern w:val="2"/>
          <w:sz w:val="32"/>
          <w:szCs w:val="32"/>
          <w:lang w:val="en-US" w:eastAsia="zh-CN" w:bidi="ar-SA"/>
        </w:rPr>
        <w:t>处理的，</w:t>
      </w:r>
      <w:r>
        <w:rPr>
          <w:rFonts w:hint="eastAsia" w:ascii="仿宋_GB2312" w:hAnsi="仿宋_GB2312" w:eastAsia="仿宋_GB2312" w:cs="仿宋_GB2312"/>
          <w:color w:val="auto"/>
          <w:kern w:val="2"/>
          <w:sz w:val="32"/>
          <w:szCs w:val="32"/>
          <w:lang w:val="en-US" w:eastAsia="zh-CN" w:bidi="ar-SA"/>
        </w:rPr>
        <w:t>服务</w:t>
      </w:r>
      <w:r>
        <w:rPr>
          <w:rFonts w:hint="default" w:ascii="仿宋_GB2312" w:hAnsi="仿宋_GB2312" w:eastAsia="仿宋_GB2312" w:cs="仿宋_GB2312"/>
          <w:color w:val="auto"/>
          <w:kern w:val="2"/>
          <w:sz w:val="32"/>
          <w:szCs w:val="32"/>
          <w:lang w:val="en-US" w:eastAsia="zh-CN" w:bidi="ar-SA"/>
        </w:rPr>
        <w:t>机构应在其营业场所显著位置向工伤职工告知。</w:t>
      </w:r>
    </w:p>
    <w:p>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beforeAutospacing="0" w:afterAutospacing="0" w:line="560" w:lineRule="exact"/>
        <w:ind w:left="0" w:firstLine="64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二十五</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服务机构</w:t>
      </w:r>
      <w:r>
        <w:rPr>
          <w:rFonts w:hint="eastAsia" w:ascii="仿宋_GB2312" w:hAnsi="仿宋_GB2312" w:eastAsia="仿宋_GB2312" w:cs="仿宋_GB2312"/>
          <w:color w:val="auto"/>
          <w:sz w:val="32"/>
          <w:szCs w:val="32"/>
        </w:rPr>
        <w:t>被给予解除协议处理的，再次提出</w:t>
      </w:r>
      <w:r>
        <w:rPr>
          <w:rFonts w:hint="eastAsia" w:ascii="仿宋_GB2312" w:hAnsi="仿宋_GB2312" w:eastAsia="仿宋_GB2312" w:cs="仿宋_GB2312"/>
          <w:color w:val="auto"/>
          <w:sz w:val="32"/>
          <w:szCs w:val="32"/>
          <w:lang w:eastAsia="zh-CN"/>
        </w:rPr>
        <w:t>签署</w:t>
      </w:r>
      <w:r>
        <w:rPr>
          <w:rFonts w:hint="eastAsia" w:ascii="仿宋_GB2312" w:hAnsi="仿宋_GB2312" w:eastAsia="仿宋_GB2312" w:cs="仿宋_GB2312"/>
          <w:color w:val="auto"/>
          <w:sz w:val="32"/>
          <w:szCs w:val="32"/>
          <w:lang w:val="en-US" w:eastAsia="zh-CN"/>
        </w:rPr>
        <w:t>服务</w:t>
      </w:r>
      <w:r>
        <w:rPr>
          <w:rFonts w:hint="eastAsia" w:ascii="仿宋_GB2312" w:hAnsi="仿宋_GB2312" w:eastAsia="仿宋_GB2312" w:cs="仿宋_GB2312"/>
          <w:color w:val="auto"/>
          <w:sz w:val="32"/>
          <w:szCs w:val="32"/>
        </w:rPr>
        <w:t>协议时，按新增</w:t>
      </w:r>
      <w:r>
        <w:rPr>
          <w:rFonts w:hint="eastAsia" w:ascii="仿宋_GB2312" w:hAnsi="仿宋_GB2312" w:eastAsia="仿宋_GB2312" w:cs="仿宋_GB2312"/>
          <w:color w:val="auto"/>
          <w:sz w:val="32"/>
          <w:szCs w:val="32"/>
          <w:lang w:eastAsia="zh-CN"/>
        </w:rPr>
        <w:t>服务机构</w:t>
      </w:r>
      <w:r>
        <w:rPr>
          <w:rFonts w:hint="eastAsia" w:ascii="仿宋_GB2312" w:hAnsi="仿宋_GB2312" w:eastAsia="仿宋_GB2312" w:cs="仿宋_GB2312"/>
          <w:color w:val="auto"/>
          <w:sz w:val="32"/>
          <w:szCs w:val="32"/>
        </w:rPr>
        <w:t>规定办理。</w:t>
      </w:r>
    </w:p>
    <w:p>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beforeAutospacing="0" w:afterAutospacing="0" w:line="560" w:lineRule="exact"/>
        <w:ind w:left="0" w:firstLine="64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二十六</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u w:val="none"/>
          <w:lang w:val="en-US" w:eastAsia="zh-CN"/>
        </w:rPr>
        <w:t>中止</w:t>
      </w:r>
      <w:r>
        <w:rPr>
          <w:rFonts w:hint="eastAsia" w:ascii="仿宋_GB2312" w:hAnsi="仿宋_GB2312" w:eastAsia="仿宋_GB2312" w:cs="仿宋_GB2312"/>
          <w:color w:val="auto"/>
          <w:sz w:val="32"/>
          <w:szCs w:val="32"/>
        </w:rPr>
        <w:t>、解除协议的</w:t>
      </w:r>
      <w:r>
        <w:rPr>
          <w:rFonts w:hint="eastAsia" w:ascii="仿宋_GB2312" w:hAnsi="仿宋_GB2312" w:eastAsia="仿宋_GB2312" w:cs="仿宋_GB2312"/>
          <w:color w:val="auto"/>
          <w:sz w:val="32"/>
          <w:szCs w:val="32"/>
          <w:lang w:val="en-US" w:eastAsia="zh-CN"/>
        </w:rPr>
        <w:t>服务</w:t>
      </w:r>
      <w:r>
        <w:rPr>
          <w:rFonts w:hint="eastAsia" w:ascii="仿宋_GB2312" w:hAnsi="仿宋_GB2312" w:eastAsia="仿宋_GB2312" w:cs="仿宋_GB2312"/>
          <w:color w:val="auto"/>
          <w:sz w:val="32"/>
          <w:szCs w:val="32"/>
        </w:rPr>
        <w:t>机构应积极做好善后处理工作，如存在应退还工伤保险基金费用的情况，应按规定时限完成退款事宜。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2"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
          <w:color w:val="auto"/>
          <w:kern w:val="2"/>
          <w:sz w:val="32"/>
          <w:szCs w:val="32"/>
          <w:lang w:val="en-US" w:eastAsia="zh-CN" w:bidi="ar"/>
        </w:rPr>
        <w:t>第二十七条</w:t>
      </w:r>
      <w:r>
        <w:rPr>
          <w:rFonts w:hint="eastAsia" w:ascii="仿宋_GB2312" w:hAnsi="仿宋_GB2312" w:eastAsia="仿宋_GB2312" w:cs="仿宋_GB2312"/>
          <w:color w:val="auto"/>
          <w:kern w:val="2"/>
          <w:sz w:val="32"/>
          <w:szCs w:val="32"/>
          <w:lang w:val="en-US" w:eastAsia="zh-CN" w:bidi="ar"/>
        </w:rPr>
        <w:t xml:space="preserve"> 服务机构负有教育及敦促其工作人员遵守工伤保险规定、服务协议及本规定的责任。对于服务机构中工作人员作为违规行为相关责任人的，依据违规情节，经办机构有权中止相关责任人员及（或）所在部门涉及工伤保险基金使用的医疗、康复和辅助器具配置服务，并向本市卫生、医疗保障等有关部门通报。对于服务机构工作人员被本市卫生、医疗保障等有关部门中止服务资格的，中止期间不得履行涉及工伤保险基金使用的医疗、康复和辅助器具配置服务。</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第</w:t>
      </w:r>
      <w:r>
        <w:rPr>
          <w:rFonts w:hint="eastAsia" w:ascii="仿宋_GB2312" w:hAnsi="仿宋_GB2312" w:eastAsia="仿宋_GB2312" w:cs="仿宋_GB2312"/>
          <w:b/>
          <w:bCs/>
          <w:color w:val="auto"/>
          <w:sz w:val="32"/>
          <w:szCs w:val="32"/>
          <w:highlight w:val="none"/>
          <w:lang w:val="en-US" w:eastAsia="zh-CN"/>
        </w:rPr>
        <w:t>二十八</w:t>
      </w:r>
      <w:r>
        <w:rPr>
          <w:rFonts w:hint="eastAsia" w:ascii="仿宋_GB2312" w:hAnsi="仿宋_GB2312" w:eastAsia="仿宋_GB2312" w:cs="仿宋_GB2312"/>
          <w:b/>
          <w:bCs/>
          <w:color w:val="auto"/>
          <w:sz w:val="32"/>
          <w:szCs w:val="32"/>
          <w:highlight w:val="none"/>
          <w:lang w:eastAsia="zh-CN"/>
        </w:rPr>
        <w:t>条</w:t>
      </w:r>
      <w:r>
        <w:rPr>
          <w:rFonts w:hint="eastAsia" w:ascii="仿宋_GB2312" w:hAnsi="仿宋_GB2312" w:eastAsia="仿宋_GB2312" w:cs="仿宋_GB2312"/>
          <w:color w:val="auto"/>
          <w:sz w:val="32"/>
          <w:szCs w:val="32"/>
          <w:highlight w:val="none"/>
          <w:lang w:val="en-US" w:eastAsia="zh-CN"/>
        </w:rPr>
        <w:t xml:space="preserve"> 市经办机构与服务机构中止、解除或终止服务协议后，应及时向社会进行公布。</w:t>
      </w:r>
    </w:p>
    <w:p>
      <w:pPr>
        <w:pStyle w:val="4"/>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二十九</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lang w:val="en-US" w:eastAsia="zh-CN"/>
        </w:rPr>
        <w:t>服务</w:t>
      </w:r>
      <w:r>
        <w:rPr>
          <w:rFonts w:hint="eastAsia" w:ascii="仿宋_GB2312" w:hAnsi="仿宋_GB2312" w:eastAsia="仿宋_GB2312" w:cs="仿宋_GB2312"/>
          <w:color w:val="auto"/>
          <w:sz w:val="32"/>
          <w:szCs w:val="32"/>
        </w:rPr>
        <w:t>机构与市</w:t>
      </w:r>
      <w:r>
        <w:rPr>
          <w:rFonts w:hint="eastAsia" w:ascii="仿宋_GB2312" w:hAnsi="仿宋_GB2312" w:eastAsia="仿宋_GB2312" w:cs="仿宋_GB2312"/>
          <w:color w:val="auto"/>
          <w:sz w:val="32"/>
          <w:szCs w:val="32"/>
          <w:lang w:val="en-US" w:eastAsia="zh-CN"/>
        </w:rPr>
        <w:t>经办机构</w:t>
      </w:r>
      <w:r>
        <w:rPr>
          <w:rFonts w:hint="eastAsia" w:ascii="仿宋_GB2312" w:hAnsi="仿宋_GB2312" w:eastAsia="仿宋_GB2312" w:cs="仿宋_GB2312"/>
          <w:color w:val="auto"/>
          <w:sz w:val="32"/>
          <w:szCs w:val="32"/>
        </w:rPr>
        <w:t>就服务协议签订、履行、变更和解除发生争议的，可依法提起行政复议或行政诉讼。</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numPr>
          <w:ilvl w:val="0"/>
          <w:numId w:val="0"/>
        </w:numPr>
        <w:tabs>
          <w:tab w:val="center" w:pos="4482"/>
          <w:tab w:val="left" w:pos="7706"/>
        </w:tabs>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 xml:space="preserve">第四章 </w:t>
      </w:r>
      <w:r>
        <w:rPr>
          <w:rFonts w:hint="eastAsia" w:ascii="黑体" w:hAnsi="黑体" w:eastAsia="黑体" w:cs="黑体"/>
          <w:b w:val="0"/>
          <w:bCs w:val="0"/>
          <w:color w:val="auto"/>
          <w:sz w:val="32"/>
          <w:szCs w:val="32"/>
          <w:lang w:eastAsia="zh-CN"/>
        </w:rPr>
        <w:t>服务机构</w:t>
      </w:r>
      <w:r>
        <w:rPr>
          <w:rFonts w:hint="eastAsia" w:ascii="黑体" w:hAnsi="黑体" w:eastAsia="黑体" w:cs="黑体"/>
          <w:b w:val="0"/>
          <w:bCs w:val="0"/>
          <w:color w:val="auto"/>
          <w:sz w:val="32"/>
          <w:szCs w:val="32"/>
        </w:rPr>
        <w:t>管理</w:t>
      </w:r>
      <w:r>
        <w:rPr>
          <w:rFonts w:hint="eastAsia" w:ascii="黑体" w:hAnsi="黑体" w:eastAsia="黑体" w:cs="黑体"/>
          <w:b w:val="0"/>
          <w:bCs w:val="0"/>
          <w:color w:val="auto"/>
          <w:sz w:val="32"/>
          <w:szCs w:val="32"/>
          <w:lang w:val="en-US" w:eastAsia="zh-CN"/>
        </w:rPr>
        <w:t>服务</w:t>
      </w:r>
    </w:p>
    <w:p>
      <w:pPr>
        <w:keepNext w:val="0"/>
        <w:keepLines w:val="0"/>
        <w:pageBreakBefore w:val="0"/>
        <w:widowControl w:val="0"/>
        <w:numPr>
          <w:ilvl w:val="0"/>
          <w:numId w:val="0"/>
        </w:numPr>
        <w:tabs>
          <w:tab w:val="center" w:pos="4482"/>
          <w:tab w:val="left" w:pos="7706"/>
        </w:tabs>
        <w:kinsoku/>
        <w:wordWrap/>
        <w:overflowPunct/>
        <w:topLinePunct w:val="0"/>
        <w:autoSpaceDE/>
        <w:autoSpaceDN/>
        <w:bidi w:val="0"/>
        <w:adjustRightInd/>
        <w:snapToGrid/>
        <w:spacing w:beforeAutospacing="0" w:afterAutospacing="0" w:line="560" w:lineRule="exact"/>
        <w:jc w:val="both"/>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2"/>
          <w:sz w:val="32"/>
          <w:szCs w:val="32"/>
          <w:shd w:val="clear" w:color="auto" w:fill="auto"/>
          <w:lang w:val="en-US" w:eastAsia="zh-CN" w:bidi="ar"/>
        </w:rPr>
        <w:t>第三十条</w:t>
      </w:r>
      <w:r>
        <w:rPr>
          <w:rFonts w:hint="eastAsia" w:ascii="仿宋_GB2312" w:hAnsi="仿宋_GB2312" w:eastAsia="仿宋_GB2312" w:cs="仿宋_GB2312"/>
          <w:i w:val="0"/>
          <w:iCs w:val="0"/>
          <w:caps w:val="0"/>
          <w:color w:val="auto"/>
          <w:spacing w:val="0"/>
          <w:kern w:val="2"/>
          <w:sz w:val="32"/>
          <w:szCs w:val="32"/>
          <w:shd w:val="clear" w:color="auto" w:fill="auto"/>
          <w:lang w:val="en-US" w:eastAsia="zh-CN" w:bidi="ar"/>
        </w:rPr>
        <w:t xml:space="preserve"> 服务机构应配备专（兼）职工伤保险管理人员，建立健全管理制度，严格执行工伤保险各项规定，做好相关人员工伤保险政策的宣传和培训，及时准确向工伤职工宣传工伤保险政策、就医服务及结算流程等，积极主动开展好工伤医疗、康复和辅助器具配置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2" w:firstLineChars="200"/>
        <w:jc w:val="both"/>
        <w:textAlignment w:val="auto"/>
        <w:rPr>
          <w:rFonts w:hint="eastAsia" w:ascii="仿宋_GB2312" w:hAnsi="仿宋_GB2312" w:eastAsia="仿宋_GB2312" w:cs="仿宋_GB2312"/>
          <w:i w:val="0"/>
          <w:iCs w:val="0"/>
          <w:caps w:val="0"/>
          <w:color w:val="auto"/>
          <w:spacing w:val="0"/>
          <w:kern w:val="2"/>
          <w:sz w:val="32"/>
          <w:szCs w:val="32"/>
          <w:shd w:val="clear" w:color="auto" w:fill="auto"/>
          <w:lang w:val="en-US" w:eastAsia="zh-CN" w:bidi="ar"/>
        </w:rPr>
      </w:pPr>
      <w:r>
        <w:rPr>
          <w:rFonts w:hint="eastAsia" w:ascii="仿宋_GB2312" w:hAnsi="仿宋_GB2312" w:eastAsia="仿宋_GB2312" w:cs="仿宋_GB2312"/>
          <w:b/>
          <w:bCs/>
          <w:i w:val="0"/>
          <w:iCs w:val="0"/>
          <w:caps w:val="0"/>
          <w:color w:val="auto"/>
          <w:spacing w:val="0"/>
          <w:kern w:val="2"/>
          <w:sz w:val="32"/>
          <w:szCs w:val="32"/>
          <w:shd w:val="clear" w:color="auto" w:fill="auto"/>
          <w:lang w:val="en-US" w:eastAsia="zh-CN" w:bidi="ar"/>
        </w:rPr>
        <w:t>第三十一条</w:t>
      </w:r>
      <w:r>
        <w:rPr>
          <w:rFonts w:hint="eastAsia" w:ascii="仿宋_GB2312" w:hAnsi="仿宋_GB2312" w:eastAsia="仿宋_GB2312" w:cs="仿宋_GB2312"/>
          <w:i w:val="0"/>
          <w:iCs w:val="0"/>
          <w:caps w:val="0"/>
          <w:color w:val="auto"/>
          <w:spacing w:val="0"/>
          <w:kern w:val="2"/>
          <w:sz w:val="32"/>
          <w:szCs w:val="32"/>
          <w:shd w:val="clear" w:color="auto" w:fill="auto"/>
          <w:lang w:val="en-US" w:eastAsia="zh-CN" w:bidi="ar"/>
        </w:rPr>
        <w:t xml:space="preserve"> 服务机构应加强工伤信息系统建设，完善对工伤职工的身份、工伤和参保等相关信息的联网查验和核对功能，切实保障工伤保险服务工作的开展。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eastAsia" w:ascii="仿宋_GB2312" w:hAnsi="仿宋_GB2312" w:eastAsia="仿宋_GB2312" w:cs="仿宋_GB2312"/>
          <w:i w:val="0"/>
          <w:iCs w:val="0"/>
          <w:caps w:val="0"/>
          <w:color w:val="auto"/>
          <w:spacing w:val="0"/>
          <w:sz w:val="32"/>
          <w:szCs w:val="32"/>
          <w:lang w:bidi="ar"/>
        </w:rPr>
      </w:pPr>
      <w:r>
        <w:rPr>
          <w:rFonts w:hint="eastAsia" w:ascii="仿宋_GB2312" w:hAnsi="仿宋_GB2312" w:eastAsia="仿宋_GB2312" w:cs="仿宋_GB2312"/>
          <w:b/>
          <w:bCs/>
          <w:i w:val="0"/>
          <w:iCs w:val="0"/>
          <w:caps w:val="0"/>
          <w:color w:val="auto"/>
          <w:spacing w:val="0"/>
          <w:kern w:val="2"/>
          <w:sz w:val="32"/>
          <w:szCs w:val="32"/>
          <w:shd w:val="clear" w:color="auto" w:fill="auto"/>
          <w:lang w:val="en-US" w:eastAsia="zh-CN" w:bidi="ar"/>
        </w:rPr>
        <w:t>第三十二条</w:t>
      </w:r>
      <w:r>
        <w:rPr>
          <w:rFonts w:hint="eastAsia" w:ascii="仿宋_GB2312" w:hAnsi="仿宋_GB2312" w:eastAsia="仿宋_GB2312" w:cs="仿宋_GB2312"/>
          <w:i w:val="0"/>
          <w:iCs w:val="0"/>
          <w:caps w:val="0"/>
          <w:color w:val="auto"/>
          <w:spacing w:val="0"/>
          <w:kern w:val="2"/>
          <w:sz w:val="32"/>
          <w:szCs w:val="32"/>
          <w:shd w:val="clear" w:color="auto" w:fill="auto"/>
          <w:lang w:val="en-US" w:eastAsia="zh-CN" w:bidi="ar"/>
        </w:rPr>
        <w:t xml:space="preserve"> 服务机构实行首诊负责制，不得推诿工伤职工就医。服务机构收治工伤职工时，应当核对工伤职工的身份信息、工伤信息和参保信息，按规定在病历记录中详细记载伤害发生时间及原因，明确伤害部位和程度，根据伤情出具诊断证明，并积极配合社会保险部门调阅病案、病历、诊断证明书等相关材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eastAsia" w:ascii="仿宋_GB2312" w:hAnsi="仿宋_GB2312" w:eastAsia="仿宋_GB2312" w:cs="仿宋_GB2312"/>
          <w:i w:val="0"/>
          <w:iCs w:val="0"/>
          <w:caps w:val="0"/>
          <w:color w:val="auto"/>
          <w:spacing w:val="0"/>
          <w:kern w:val="2"/>
          <w:sz w:val="32"/>
          <w:szCs w:val="32"/>
          <w:highlight w:val="none"/>
          <w:shd w:val="clear" w:color="auto" w:fill="auto"/>
          <w:lang w:val="en-US" w:eastAsia="zh-CN" w:bidi="ar"/>
        </w:rPr>
      </w:pPr>
      <w:r>
        <w:rPr>
          <w:rFonts w:hint="eastAsia" w:ascii="仿宋_GB2312" w:hAnsi="仿宋_GB2312" w:eastAsia="仿宋_GB2312" w:cs="仿宋_GB2312"/>
          <w:b/>
          <w:bCs/>
          <w:i w:val="0"/>
          <w:iCs w:val="0"/>
          <w:caps w:val="0"/>
          <w:color w:val="auto"/>
          <w:spacing w:val="0"/>
          <w:kern w:val="2"/>
          <w:sz w:val="32"/>
          <w:szCs w:val="32"/>
          <w:shd w:val="clear" w:color="auto" w:fill="auto"/>
          <w:lang w:val="en-US" w:eastAsia="zh-CN" w:bidi="ar"/>
        </w:rPr>
        <w:t>第三十三条</w:t>
      </w:r>
      <w:r>
        <w:rPr>
          <w:rFonts w:hint="eastAsia" w:ascii="仿宋_GB2312" w:hAnsi="仿宋_GB2312" w:eastAsia="仿宋_GB2312" w:cs="仿宋_GB2312"/>
          <w:i w:val="0"/>
          <w:iCs w:val="0"/>
          <w:caps w:val="0"/>
          <w:color w:val="auto"/>
          <w:spacing w:val="0"/>
          <w:kern w:val="2"/>
          <w:sz w:val="32"/>
          <w:szCs w:val="32"/>
          <w:shd w:val="clear" w:color="auto" w:fill="auto"/>
          <w:lang w:val="en-US" w:eastAsia="zh-CN" w:bidi="ar"/>
        </w:rPr>
        <w:t xml:space="preserve"> </w:t>
      </w:r>
      <w:r>
        <w:rPr>
          <w:rFonts w:hint="eastAsia" w:ascii="仿宋_GB2312" w:hAnsi="仿宋_GB2312" w:eastAsia="仿宋_GB2312" w:cs="仿宋_GB2312"/>
          <w:i w:val="0"/>
          <w:iCs w:val="0"/>
          <w:caps w:val="0"/>
          <w:color w:val="auto"/>
          <w:spacing w:val="0"/>
          <w:kern w:val="2"/>
          <w:sz w:val="32"/>
          <w:szCs w:val="32"/>
          <w:highlight w:val="none"/>
          <w:shd w:val="clear" w:color="auto" w:fill="auto"/>
          <w:lang w:val="en-US" w:eastAsia="zh-CN" w:bidi="ar"/>
        </w:rPr>
        <w:t>服务机构应遵守工伤保险相关规定及服务协议约定，严格执行工伤保险诊疗项目目录、药品目录、住院服务标准、辅助器具配置项目的有关规定，做到因伤施治、合理检查、合理治疗、合理用药、合理配置、合规收费，杜绝超量开药、重复开药以及挂床、冒名或虚假就医、辅助器具配置套现等违规行为，严格入、出院标准，治疗终结须及时为工伤职工办理出院，不得带检查和治疗项目出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2"/>
          <w:sz w:val="32"/>
          <w:szCs w:val="32"/>
          <w:highlight w:val="none"/>
          <w:shd w:val="clear" w:color="auto" w:fill="auto"/>
          <w:lang w:val="en-US" w:eastAsia="zh-CN" w:bidi="ar"/>
        </w:rPr>
      </w:pPr>
      <w:r>
        <w:rPr>
          <w:rFonts w:hint="eastAsia" w:ascii="仿宋_GB2312" w:hAnsi="仿宋_GB2312" w:eastAsia="仿宋_GB2312" w:cs="仿宋_GB2312"/>
          <w:i w:val="0"/>
          <w:iCs w:val="0"/>
          <w:caps w:val="0"/>
          <w:color w:val="auto"/>
          <w:spacing w:val="0"/>
          <w:kern w:val="2"/>
          <w:sz w:val="32"/>
          <w:szCs w:val="32"/>
          <w:highlight w:val="none"/>
          <w:shd w:val="clear" w:color="auto" w:fill="auto"/>
          <w:lang w:val="en-US" w:eastAsia="zh-CN" w:bidi="ar"/>
        </w:rPr>
        <w:t>工伤职工要求提供目录和标准范围之外的药品、诊疗项目、住院服务、辅助器具的，服务机构必须书面告知工伤职工或其近亲属该费用工伤基金不予支付，并经工伤职工或其近亲属签字确认，产生的费用由工伤职工个人支付；未经工伤职工或其近亲属签字同意，服务机构擅自提供目录和标准范围之外的药品、诊疗项目、住院服务、辅助器具的，产生的费用由服务机构支付。</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2"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三十四</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highlight w:val="none"/>
          <w:lang w:eastAsia="zh-CN"/>
        </w:rPr>
        <w:t>工伤医疗、康复</w:t>
      </w:r>
      <w:r>
        <w:rPr>
          <w:rFonts w:hint="eastAsia" w:ascii="仿宋_GB2312" w:hAnsi="仿宋_GB2312" w:eastAsia="仿宋_GB2312" w:cs="仿宋_GB2312"/>
          <w:color w:val="auto"/>
          <w:sz w:val="32"/>
          <w:szCs w:val="32"/>
          <w:highlight w:val="none"/>
        </w:rPr>
        <w:t>机构</w:t>
      </w:r>
      <w:r>
        <w:rPr>
          <w:rFonts w:hint="eastAsia" w:ascii="仿宋_GB2312" w:hAnsi="仿宋_GB2312" w:eastAsia="仿宋_GB2312" w:cs="仿宋_GB2312"/>
          <w:i w:val="0"/>
          <w:iCs w:val="0"/>
          <w:caps w:val="0"/>
          <w:color w:val="auto"/>
          <w:spacing w:val="0"/>
          <w:kern w:val="2"/>
          <w:sz w:val="32"/>
          <w:szCs w:val="32"/>
          <w:highlight w:val="none"/>
          <w:shd w:val="clear" w:color="auto" w:fill="auto"/>
          <w:lang w:val="en-US" w:eastAsia="zh-CN" w:bidi="ar"/>
        </w:rPr>
        <w:t>应如实诊断工伤伤情，甄别工伤伤情与非工伤伤情，</w:t>
      </w:r>
      <w:r>
        <w:rPr>
          <w:rFonts w:hint="eastAsia" w:ascii="仿宋_GB2312" w:hAnsi="仿宋_GB2312" w:eastAsia="仿宋_GB2312" w:cs="仿宋_GB2312"/>
          <w:color w:val="auto"/>
          <w:sz w:val="32"/>
          <w:szCs w:val="32"/>
          <w:highlight w:val="none"/>
        </w:rPr>
        <w:t>按伤病分离的原则治疗工伤和疾病。治疗工伤的费用按照工伤保险政策支付；治疗疾病的费用按照基本医疗保险政策支付</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i w:val="0"/>
          <w:iCs w:val="0"/>
          <w:caps w:val="0"/>
          <w:color w:val="auto"/>
          <w:spacing w:val="0"/>
          <w:kern w:val="2"/>
          <w:sz w:val="32"/>
          <w:szCs w:val="32"/>
          <w:highlight w:val="none"/>
          <w:shd w:val="clear" w:color="auto" w:fill="auto"/>
          <w:lang w:val="en-US" w:eastAsia="zh-CN" w:bidi="ar"/>
        </w:rPr>
      </w:pPr>
      <w:r>
        <w:rPr>
          <w:rFonts w:hint="eastAsia" w:ascii="仿宋_GB2312" w:hAnsi="仿宋_GB2312" w:eastAsia="仿宋_GB2312" w:cs="仿宋_GB2312"/>
          <w:color w:val="auto"/>
          <w:sz w:val="32"/>
          <w:szCs w:val="32"/>
          <w:highlight w:val="none"/>
          <w:lang w:eastAsia="zh-CN"/>
        </w:rPr>
        <w:t>工伤医疗、康复</w:t>
      </w:r>
      <w:r>
        <w:rPr>
          <w:rFonts w:hint="eastAsia" w:ascii="仿宋_GB2312" w:hAnsi="仿宋_GB2312" w:eastAsia="仿宋_GB2312" w:cs="仿宋_GB2312"/>
          <w:color w:val="auto"/>
          <w:sz w:val="32"/>
          <w:szCs w:val="32"/>
          <w:highlight w:val="none"/>
        </w:rPr>
        <w:t>机构</w:t>
      </w:r>
      <w:r>
        <w:rPr>
          <w:rFonts w:hint="eastAsia" w:ascii="仿宋_GB2312" w:hAnsi="仿宋_GB2312" w:eastAsia="仿宋_GB2312" w:cs="仿宋_GB2312"/>
          <w:i w:val="0"/>
          <w:iCs w:val="0"/>
          <w:caps w:val="0"/>
          <w:color w:val="auto"/>
          <w:spacing w:val="0"/>
          <w:kern w:val="2"/>
          <w:sz w:val="32"/>
          <w:szCs w:val="32"/>
          <w:highlight w:val="none"/>
          <w:shd w:val="clear" w:color="auto" w:fill="auto"/>
          <w:lang w:val="en-US" w:eastAsia="zh-CN" w:bidi="ar"/>
        </w:rPr>
        <w:t>应依法依规开具处方，因工伤治疗需要为工伤职工出院带药量或门（急）诊开药量一般不超过4周。</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三十五</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eastAsia="zh-CN"/>
        </w:rPr>
        <w:t>工伤医疗、康复</w:t>
      </w:r>
      <w:r>
        <w:rPr>
          <w:rFonts w:hint="eastAsia" w:ascii="仿宋_GB2312" w:hAnsi="仿宋_GB2312" w:eastAsia="仿宋_GB2312" w:cs="仿宋_GB2312"/>
          <w:color w:val="auto"/>
          <w:sz w:val="32"/>
          <w:szCs w:val="32"/>
        </w:rPr>
        <w:t>机构因医疗条件所限需要转院治疗的，应当及时提出转诊转院意见，协助工伤职工办理转院手续。</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rPr>
        <w:t>因伤情稳定且经</w:t>
      </w:r>
      <w:r>
        <w:rPr>
          <w:rFonts w:hint="eastAsia" w:ascii="仿宋_GB2312" w:hAnsi="仿宋_GB2312" w:eastAsia="仿宋_GB2312" w:cs="仿宋_GB2312"/>
          <w:color w:val="auto"/>
          <w:sz w:val="32"/>
          <w:szCs w:val="32"/>
          <w:highlight w:val="none"/>
          <w:lang w:eastAsia="zh-CN"/>
        </w:rPr>
        <w:t>经办机构或</w:t>
      </w:r>
      <w:r>
        <w:rPr>
          <w:rFonts w:hint="eastAsia" w:ascii="仿宋_GB2312" w:hAnsi="仿宋_GB2312" w:eastAsia="仿宋_GB2312" w:cs="仿宋_GB2312"/>
          <w:color w:val="auto"/>
          <w:sz w:val="32"/>
          <w:szCs w:val="32"/>
          <w:highlight w:val="none"/>
        </w:rPr>
        <w:t>劳动能力鉴定</w:t>
      </w:r>
      <w:r>
        <w:rPr>
          <w:rFonts w:hint="eastAsia" w:ascii="仿宋_GB2312" w:hAnsi="仿宋_GB2312" w:eastAsia="仿宋_GB2312" w:cs="仿宋_GB2312"/>
          <w:color w:val="auto"/>
          <w:sz w:val="32"/>
          <w:szCs w:val="32"/>
          <w:highlight w:val="none"/>
          <w:lang w:eastAsia="zh-CN"/>
        </w:rPr>
        <w:t>委员会</w:t>
      </w:r>
      <w:r>
        <w:rPr>
          <w:rFonts w:hint="eastAsia" w:ascii="仿宋_GB2312" w:hAnsi="仿宋_GB2312" w:eastAsia="仿宋_GB2312" w:cs="仿宋_GB2312"/>
          <w:color w:val="auto"/>
          <w:sz w:val="32"/>
          <w:szCs w:val="32"/>
          <w:highlight w:val="none"/>
        </w:rPr>
        <w:t>确认需继续康复治疗的，</w:t>
      </w:r>
      <w:r>
        <w:rPr>
          <w:rFonts w:hint="eastAsia" w:ascii="仿宋_GB2312" w:hAnsi="仿宋_GB2312" w:eastAsia="仿宋_GB2312" w:cs="仿宋_GB2312"/>
          <w:color w:val="auto"/>
          <w:sz w:val="32"/>
          <w:szCs w:val="32"/>
        </w:rPr>
        <w:t>工伤医疗机构可引导工伤职工转诊至工伤康复</w:t>
      </w:r>
      <w:r>
        <w:rPr>
          <w:rFonts w:hint="eastAsia" w:ascii="仿宋_GB2312" w:hAnsi="仿宋_GB2312" w:eastAsia="仿宋_GB2312" w:cs="仿宋_GB2312"/>
          <w:color w:val="auto"/>
          <w:sz w:val="32"/>
          <w:szCs w:val="32"/>
          <w:lang w:eastAsia="zh-CN"/>
        </w:rPr>
        <w:t>服务机构</w:t>
      </w:r>
      <w:r>
        <w:rPr>
          <w:rFonts w:hint="eastAsia" w:ascii="仿宋_GB2312" w:hAnsi="仿宋_GB2312" w:eastAsia="仿宋_GB2312" w:cs="仿宋_GB2312"/>
          <w:color w:val="auto"/>
          <w:sz w:val="32"/>
          <w:szCs w:val="32"/>
        </w:rPr>
        <w:t>进行工伤康复。</w:t>
      </w:r>
    </w:p>
    <w:p>
      <w:pPr>
        <w:pBdr>
          <w:top w:val="none" w:color="auto" w:sz="0" w:space="0"/>
          <w:left w:val="none" w:color="auto" w:sz="0" w:space="0"/>
          <w:bottom w:val="none" w:color="auto" w:sz="0" w:space="0"/>
          <w:right w:val="none" w:color="auto" w:sz="0" w:space="0"/>
        </w:pBdr>
        <w:shd w:val="clear" w:color="auto" w:fill="auto"/>
        <w:ind w:firstLine="642"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三十六</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i w:val="0"/>
          <w:iCs w:val="0"/>
          <w:caps w:val="0"/>
          <w:color w:val="auto"/>
          <w:spacing w:val="0"/>
          <w:kern w:val="2"/>
          <w:sz w:val="32"/>
          <w:szCs w:val="32"/>
          <w:highlight w:val="none"/>
          <w:shd w:val="clear" w:color="auto" w:fill="auto"/>
          <w:lang w:val="en-US" w:eastAsia="zh-CN" w:bidi="ar"/>
        </w:rPr>
        <w:t>工伤辅助器具配置机构</w:t>
      </w:r>
      <w:r>
        <w:rPr>
          <w:rFonts w:hint="eastAsia" w:ascii="仿宋_GB2312" w:hAnsi="仿宋_GB2312" w:eastAsia="仿宋_GB2312" w:cs="仿宋_GB2312"/>
          <w:i w:val="0"/>
          <w:iCs w:val="0"/>
          <w:caps w:val="0"/>
          <w:color w:val="auto"/>
          <w:spacing w:val="0"/>
          <w:sz w:val="32"/>
          <w:szCs w:val="32"/>
          <w:highlight w:val="none"/>
          <w:shd w:val="clear" w:color="auto" w:fill="auto"/>
          <w:lang w:bidi="ar"/>
        </w:rPr>
        <w:t>应严格按照经办机构出具的《核付通知单》中的配置项目和费用限额为工伤职工配置辅助器具</w:t>
      </w:r>
      <w:r>
        <w:rPr>
          <w:rFonts w:hint="eastAsia" w:ascii="仿宋_GB2312" w:hAnsi="仿宋_GB2312" w:eastAsia="仿宋_GB2312" w:cs="仿宋_GB2312"/>
          <w:i w:val="0"/>
          <w:iCs w:val="0"/>
          <w:caps w:val="0"/>
          <w:color w:val="auto"/>
          <w:spacing w:val="0"/>
          <w:sz w:val="32"/>
          <w:szCs w:val="32"/>
          <w:highlight w:val="none"/>
          <w:shd w:val="clear" w:color="auto" w:fill="auto"/>
          <w:lang w:eastAsia="zh-CN" w:bidi="ar"/>
        </w:rPr>
        <w:t>，</w:t>
      </w:r>
      <w:r>
        <w:rPr>
          <w:rFonts w:hint="eastAsia" w:ascii="仿宋_GB2312" w:hAnsi="仿宋_GB2312" w:eastAsia="仿宋_GB2312" w:cs="仿宋_GB2312"/>
          <w:color w:val="auto"/>
          <w:sz w:val="32"/>
          <w:szCs w:val="32"/>
          <w:highlight w:val="none"/>
        </w:rPr>
        <w:t>建立健全产品质量承诺和售后保障制度</w:t>
      </w:r>
      <w:r>
        <w:rPr>
          <w:rFonts w:hint="eastAsia" w:ascii="仿宋_GB2312" w:hAnsi="仿宋_GB2312" w:eastAsia="仿宋_GB2312" w:cs="仿宋_GB2312"/>
          <w:color w:val="auto"/>
          <w:sz w:val="32"/>
          <w:szCs w:val="32"/>
          <w:highlight w:val="none"/>
          <w:lang w:eastAsia="zh-CN"/>
        </w:rPr>
        <w:t>，按照相关规定建立和保存配置服务档案。</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三十七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val="0"/>
          <w:bCs w:val="0"/>
          <w:color w:val="auto"/>
          <w:sz w:val="32"/>
          <w:szCs w:val="32"/>
        </w:rPr>
        <w:t> </w:t>
      </w:r>
      <w:r>
        <w:rPr>
          <w:rFonts w:hint="eastAsia" w:ascii="仿宋_GB2312" w:hAnsi="仿宋_GB2312" w:eastAsia="仿宋_GB2312" w:cs="仿宋_GB2312"/>
          <w:b w:val="0"/>
          <w:bCs w:val="0"/>
          <w:color w:val="auto"/>
          <w:sz w:val="32"/>
          <w:szCs w:val="32"/>
          <w:lang w:eastAsia="zh-CN"/>
        </w:rPr>
        <w:t>服务机构</w:t>
      </w:r>
      <w:r>
        <w:rPr>
          <w:rFonts w:hint="eastAsia" w:ascii="仿宋_GB2312" w:hAnsi="仿宋_GB2312" w:eastAsia="仿宋_GB2312" w:cs="仿宋_GB2312"/>
          <w:b w:val="0"/>
          <w:bCs w:val="0"/>
          <w:color w:val="auto"/>
          <w:sz w:val="32"/>
          <w:szCs w:val="32"/>
        </w:rPr>
        <w:t>应当与经办机构建立沟通联络机制，可向经办机构提出完善工伤保险医疗、康复</w:t>
      </w:r>
      <w:r>
        <w:rPr>
          <w:rFonts w:hint="eastAsia" w:ascii="仿宋_GB2312" w:hAnsi="仿宋_GB2312" w:eastAsia="仿宋_GB2312" w:cs="仿宋_GB2312"/>
          <w:b w:val="0"/>
          <w:bCs w:val="0"/>
          <w:color w:val="auto"/>
          <w:sz w:val="32"/>
          <w:szCs w:val="32"/>
          <w:lang w:eastAsia="zh-CN"/>
        </w:rPr>
        <w:t>和</w:t>
      </w:r>
      <w:r>
        <w:rPr>
          <w:rFonts w:hint="eastAsia" w:ascii="仿宋_GB2312" w:hAnsi="仿宋_GB2312" w:eastAsia="仿宋_GB2312" w:cs="仿宋_GB2312"/>
          <w:b w:val="0"/>
          <w:bCs w:val="0"/>
          <w:color w:val="auto"/>
          <w:sz w:val="32"/>
          <w:szCs w:val="32"/>
        </w:rPr>
        <w:t>辅助器具配置服务和费用结算等方面的意见建议，申请</w:t>
      </w:r>
      <w:r>
        <w:rPr>
          <w:rFonts w:hint="eastAsia" w:ascii="仿宋_GB2312" w:hAnsi="仿宋_GB2312" w:eastAsia="仿宋_GB2312" w:cs="仿宋_GB2312"/>
          <w:b w:val="0"/>
          <w:bCs w:val="0"/>
          <w:color w:val="auto"/>
          <w:sz w:val="32"/>
          <w:szCs w:val="32"/>
          <w:lang w:eastAsia="zh-CN"/>
        </w:rPr>
        <w:t>续</w:t>
      </w:r>
      <w:r>
        <w:rPr>
          <w:rFonts w:hint="eastAsia" w:ascii="仿宋_GB2312" w:hAnsi="仿宋_GB2312" w:eastAsia="仿宋_GB2312" w:cs="仿宋_GB2312"/>
          <w:b w:val="0"/>
          <w:bCs w:val="0"/>
          <w:color w:val="auto"/>
          <w:sz w:val="32"/>
          <w:szCs w:val="32"/>
          <w:highlight w:val="none"/>
          <w:lang w:eastAsia="zh-CN"/>
        </w:rPr>
        <w:t>签、</w:t>
      </w:r>
      <w:r>
        <w:rPr>
          <w:rFonts w:hint="eastAsia" w:ascii="仿宋_GB2312" w:hAnsi="仿宋_GB2312" w:eastAsia="仿宋_GB2312" w:cs="仿宋_GB2312"/>
          <w:b w:val="0"/>
          <w:bCs w:val="0"/>
          <w:color w:val="auto"/>
          <w:sz w:val="32"/>
          <w:szCs w:val="32"/>
          <w:highlight w:val="none"/>
        </w:rPr>
        <w:t>变更、中止或终止协议。</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三十八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eastAsia="zh-CN"/>
        </w:rPr>
        <w:t>服务机构</w:t>
      </w:r>
      <w:r>
        <w:rPr>
          <w:rFonts w:hint="eastAsia" w:ascii="仿宋_GB2312" w:hAnsi="仿宋_GB2312" w:eastAsia="仿宋_GB2312" w:cs="仿宋_GB2312"/>
          <w:color w:val="auto"/>
          <w:sz w:val="32"/>
          <w:szCs w:val="32"/>
        </w:rPr>
        <w:t>应当开展工伤保险政策宣传和培训，在本单位显要位置设置工伤保险服务宣传栏和就医指引，公布经办机构指定的基金监督举报和经办服务咨询渠道及方式。</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2"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第三十九条</w:t>
      </w:r>
      <w:r>
        <w:rPr>
          <w:rFonts w:hint="eastAsia" w:ascii="仿宋_GB2312" w:hAnsi="仿宋_GB2312" w:eastAsia="仿宋_GB2312" w:cs="仿宋_GB2312"/>
          <w:color w:val="auto"/>
          <w:sz w:val="32"/>
          <w:szCs w:val="32"/>
          <w:lang w:val="en-US" w:eastAsia="zh-CN"/>
        </w:rPr>
        <w:t xml:space="preserve"> 服务机构应定期检查本单位工伤保险基金使用情况，及时纠正工伤保险基金使用不规范的行为。</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四十</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eastAsia="zh-CN"/>
        </w:rPr>
        <w:t>服务机构</w:t>
      </w:r>
      <w:r>
        <w:rPr>
          <w:rFonts w:hint="eastAsia" w:ascii="仿宋_GB2312" w:hAnsi="仿宋_GB2312" w:eastAsia="仿宋_GB2312" w:cs="仿宋_GB2312"/>
          <w:color w:val="auto"/>
          <w:sz w:val="32"/>
          <w:szCs w:val="32"/>
        </w:rPr>
        <w:t>应当主动接受经办机构监督检查和考核。</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四十一</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eastAsia="zh-CN"/>
        </w:rPr>
        <w:t>服务机构</w:t>
      </w:r>
      <w:r>
        <w:rPr>
          <w:rFonts w:hint="eastAsia" w:ascii="仿宋_GB2312" w:hAnsi="仿宋_GB2312" w:eastAsia="仿宋_GB2312" w:cs="仿宋_GB2312"/>
          <w:color w:val="auto"/>
          <w:sz w:val="32"/>
          <w:szCs w:val="32"/>
        </w:rPr>
        <w:t>应当</w:t>
      </w:r>
      <w:r>
        <w:rPr>
          <w:rFonts w:hint="eastAsia" w:ascii="仿宋_GB2312" w:hAnsi="仿宋_GB2312" w:eastAsia="仿宋_GB2312" w:cs="仿宋_GB2312"/>
          <w:color w:val="auto"/>
          <w:sz w:val="32"/>
          <w:szCs w:val="32"/>
          <w:lang w:eastAsia="zh-CN"/>
        </w:rPr>
        <w:t>严格</w:t>
      </w:r>
      <w:r>
        <w:rPr>
          <w:rFonts w:hint="eastAsia" w:ascii="仿宋_GB2312" w:hAnsi="仿宋_GB2312" w:eastAsia="仿宋_GB2312" w:cs="仿宋_GB2312"/>
          <w:color w:val="auto"/>
          <w:sz w:val="32"/>
          <w:szCs w:val="32"/>
        </w:rPr>
        <w:t>遵守数据安全有关规定，采取</w:t>
      </w:r>
      <w:r>
        <w:rPr>
          <w:rFonts w:hint="eastAsia" w:ascii="仿宋_GB2312" w:hAnsi="仿宋_GB2312" w:eastAsia="仿宋_GB2312" w:cs="仿宋_GB2312"/>
          <w:color w:val="auto"/>
          <w:sz w:val="32"/>
          <w:szCs w:val="32"/>
          <w:lang w:eastAsia="zh-CN"/>
        </w:rPr>
        <w:t>有效</w:t>
      </w:r>
      <w:r>
        <w:rPr>
          <w:rFonts w:hint="eastAsia" w:ascii="仿宋_GB2312" w:hAnsi="仿宋_GB2312" w:eastAsia="仿宋_GB2312" w:cs="仿宋_GB2312"/>
          <w:color w:val="auto"/>
          <w:sz w:val="32"/>
          <w:szCs w:val="32"/>
        </w:rPr>
        <w:t>措施对协议履行过程中</w:t>
      </w:r>
      <w:r>
        <w:rPr>
          <w:rFonts w:hint="eastAsia" w:ascii="仿宋_GB2312" w:hAnsi="仿宋_GB2312" w:eastAsia="仿宋_GB2312" w:cs="仿宋_GB2312"/>
          <w:color w:val="auto"/>
          <w:sz w:val="32"/>
          <w:szCs w:val="32"/>
          <w:lang w:eastAsia="zh-CN"/>
        </w:rPr>
        <w:t>产生</w:t>
      </w:r>
      <w:r>
        <w:rPr>
          <w:rFonts w:hint="eastAsia" w:ascii="仿宋_GB2312" w:hAnsi="仿宋_GB2312" w:eastAsia="仿宋_GB2312" w:cs="仿宋_GB2312"/>
          <w:color w:val="auto"/>
          <w:sz w:val="32"/>
          <w:szCs w:val="32"/>
        </w:rPr>
        <w:t>的数据、材料等</w:t>
      </w:r>
      <w:r>
        <w:rPr>
          <w:rFonts w:hint="eastAsia" w:ascii="仿宋_GB2312" w:hAnsi="仿宋_GB2312" w:eastAsia="仿宋_GB2312" w:cs="仿宋_GB2312"/>
          <w:color w:val="auto"/>
          <w:sz w:val="32"/>
          <w:szCs w:val="32"/>
          <w:lang w:eastAsia="zh-CN"/>
        </w:rPr>
        <w:t>进行严格</w:t>
      </w:r>
      <w:r>
        <w:rPr>
          <w:rFonts w:hint="eastAsia" w:ascii="仿宋_GB2312" w:hAnsi="仿宋_GB2312" w:eastAsia="仿宋_GB2312" w:cs="仿宋_GB2312"/>
          <w:color w:val="auto"/>
          <w:sz w:val="32"/>
          <w:szCs w:val="32"/>
        </w:rPr>
        <w:t>保密，确保工伤职工的信息安全。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五</w:t>
      </w:r>
      <w:r>
        <w:rPr>
          <w:rFonts w:hint="eastAsia" w:ascii="黑体" w:hAnsi="黑体" w:eastAsia="黑体" w:cs="黑体"/>
          <w:b w:val="0"/>
          <w:bCs w:val="0"/>
          <w:color w:val="auto"/>
          <w:sz w:val="32"/>
          <w:szCs w:val="32"/>
        </w:rPr>
        <w:t xml:space="preserve">章 </w:t>
      </w:r>
      <w:r>
        <w:rPr>
          <w:rFonts w:hint="default" w:ascii="黑体" w:hAnsi="黑体" w:eastAsia="黑体" w:cs="黑体"/>
          <w:b w:val="0"/>
          <w:bCs w:val="0"/>
          <w:color w:val="auto"/>
          <w:sz w:val="32"/>
          <w:szCs w:val="32"/>
          <w:lang w:val="en-US"/>
        </w:rPr>
        <w:t>经办</w:t>
      </w:r>
      <w:r>
        <w:rPr>
          <w:rFonts w:hint="eastAsia" w:ascii="黑体" w:hAnsi="黑体" w:eastAsia="黑体" w:cs="黑体"/>
          <w:b w:val="0"/>
          <w:bCs w:val="0"/>
          <w:color w:val="auto"/>
          <w:sz w:val="32"/>
          <w:szCs w:val="32"/>
          <w:lang w:val="en-US" w:eastAsia="zh-CN"/>
        </w:rPr>
        <w:t>机构</w:t>
      </w:r>
      <w:r>
        <w:rPr>
          <w:rFonts w:hint="default" w:ascii="黑体" w:hAnsi="黑体" w:eastAsia="黑体" w:cs="黑体"/>
          <w:b w:val="0"/>
          <w:bCs w:val="0"/>
          <w:color w:val="auto"/>
          <w:sz w:val="32"/>
          <w:szCs w:val="32"/>
          <w:lang w:val="en-US"/>
        </w:rPr>
        <w:t>管理服务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2" w:firstLineChars="200"/>
        <w:jc w:val="both"/>
        <w:textAlignment w:val="auto"/>
        <w:rPr>
          <w:rFonts w:hint="eastAsia" w:ascii="仿宋_GB2312" w:hAnsi="仿宋_GB2312" w:eastAsia="仿宋_GB2312" w:cs="仿宋_GB2312"/>
          <w:b/>
          <w:bCs/>
          <w:color w:val="auto"/>
          <w:sz w:val="32"/>
          <w:szCs w:val="32"/>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auto"/>
          <w:spacing w:val="0"/>
          <w:kern w:val="2"/>
          <w:sz w:val="32"/>
          <w:szCs w:val="32"/>
          <w:shd w:val="clear" w:color="auto" w:fill="auto"/>
          <w:lang w:bidi="ar-SA"/>
        </w:rPr>
      </w:pPr>
      <w:r>
        <w:rPr>
          <w:rFonts w:hint="eastAsia" w:ascii="仿宋_GB2312" w:hAnsi="仿宋_GB2312" w:eastAsia="仿宋_GB2312" w:cs="仿宋_GB2312"/>
          <w:b/>
          <w:bCs/>
          <w:i w:val="0"/>
          <w:caps w:val="0"/>
          <w:color w:val="auto"/>
          <w:spacing w:val="0"/>
          <w:kern w:val="2"/>
          <w:sz w:val="32"/>
          <w:szCs w:val="32"/>
          <w:shd w:val="clear" w:color="auto" w:fill="auto"/>
          <w:lang w:bidi="ar-SA"/>
        </w:rPr>
        <w:t>第</w:t>
      </w:r>
      <w:r>
        <w:rPr>
          <w:rFonts w:hint="eastAsia" w:ascii="仿宋_GB2312" w:hAnsi="仿宋_GB2312" w:eastAsia="仿宋_GB2312" w:cs="仿宋_GB2312"/>
          <w:b/>
          <w:bCs/>
          <w:i w:val="0"/>
          <w:caps w:val="0"/>
          <w:color w:val="auto"/>
          <w:spacing w:val="0"/>
          <w:kern w:val="2"/>
          <w:sz w:val="32"/>
          <w:szCs w:val="32"/>
          <w:shd w:val="clear" w:color="auto" w:fill="auto"/>
          <w:lang w:eastAsia="zh-CN" w:bidi="ar-SA"/>
        </w:rPr>
        <w:t>四十二</w:t>
      </w:r>
      <w:r>
        <w:rPr>
          <w:rFonts w:hint="eastAsia" w:ascii="仿宋_GB2312" w:hAnsi="仿宋_GB2312" w:eastAsia="仿宋_GB2312" w:cs="仿宋_GB2312"/>
          <w:b/>
          <w:bCs/>
          <w:i w:val="0"/>
          <w:caps w:val="0"/>
          <w:color w:val="auto"/>
          <w:spacing w:val="0"/>
          <w:kern w:val="2"/>
          <w:sz w:val="32"/>
          <w:szCs w:val="32"/>
          <w:shd w:val="clear" w:color="auto" w:fill="auto"/>
          <w:lang w:bidi="ar-SA"/>
        </w:rPr>
        <w:t>条</w:t>
      </w:r>
      <w:r>
        <w:rPr>
          <w:rFonts w:hint="eastAsia" w:ascii="仿宋_GB2312" w:hAnsi="仿宋_GB2312" w:eastAsia="仿宋_GB2312" w:cs="仿宋_GB2312"/>
          <w:i w:val="0"/>
          <w:caps w:val="0"/>
          <w:color w:val="auto"/>
          <w:spacing w:val="0"/>
          <w:kern w:val="2"/>
          <w:sz w:val="32"/>
          <w:szCs w:val="32"/>
          <w:shd w:val="clear" w:color="auto" w:fill="auto"/>
          <w:lang w:bidi="ar-SA"/>
        </w:rPr>
        <w:t xml:space="preserve"> 经办机构应做好对</w:t>
      </w:r>
      <w:r>
        <w:rPr>
          <w:rFonts w:hint="eastAsia" w:ascii="仿宋_GB2312" w:hAnsi="仿宋_GB2312" w:eastAsia="仿宋_GB2312" w:cs="仿宋_GB2312"/>
          <w:i w:val="0"/>
          <w:caps w:val="0"/>
          <w:color w:val="auto"/>
          <w:spacing w:val="0"/>
          <w:kern w:val="2"/>
          <w:sz w:val="32"/>
          <w:szCs w:val="32"/>
          <w:shd w:val="clear" w:color="auto" w:fill="auto"/>
          <w:lang w:eastAsia="zh-CN" w:bidi="ar-SA"/>
        </w:rPr>
        <w:t>服务</w:t>
      </w:r>
      <w:r>
        <w:rPr>
          <w:rFonts w:hint="eastAsia" w:ascii="仿宋_GB2312" w:hAnsi="仿宋_GB2312" w:eastAsia="仿宋_GB2312" w:cs="仿宋_GB2312"/>
          <w:i w:val="0"/>
          <w:caps w:val="0"/>
          <w:color w:val="auto"/>
          <w:spacing w:val="0"/>
          <w:kern w:val="2"/>
          <w:sz w:val="32"/>
          <w:szCs w:val="32"/>
          <w:shd w:val="clear" w:color="auto" w:fill="auto"/>
          <w:lang w:bidi="ar-SA"/>
        </w:rPr>
        <w:t>机构工伤保险政策、管理制度、支付政策、操作流程的宣传培训，提供工伤保险咨询服务。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auto"/>
          <w:spacing w:val="0"/>
          <w:kern w:val="2"/>
          <w:sz w:val="32"/>
          <w:szCs w:val="32"/>
          <w:shd w:val="clear" w:color="auto" w:fill="auto"/>
          <w:lang w:bidi="ar-SA"/>
        </w:rPr>
      </w:pPr>
      <w:r>
        <w:rPr>
          <w:rFonts w:hint="eastAsia" w:ascii="仿宋_GB2312" w:hAnsi="仿宋_GB2312" w:eastAsia="仿宋_GB2312" w:cs="仿宋_GB2312"/>
          <w:b/>
          <w:bCs/>
          <w:i w:val="0"/>
          <w:caps w:val="0"/>
          <w:color w:val="auto"/>
          <w:spacing w:val="0"/>
          <w:kern w:val="2"/>
          <w:sz w:val="32"/>
          <w:szCs w:val="32"/>
          <w:shd w:val="clear" w:color="auto" w:fill="auto"/>
          <w:lang w:bidi="ar-SA"/>
        </w:rPr>
        <w:t>第</w:t>
      </w:r>
      <w:r>
        <w:rPr>
          <w:rFonts w:hint="eastAsia" w:ascii="仿宋_GB2312" w:hAnsi="仿宋_GB2312" w:eastAsia="仿宋_GB2312" w:cs="仿宋_GB2312"/>
          <w:b/>
          <w:bCs/>
          <w:i w:val="0"/>
          <w:caps w:val="0"/>
          <w:color w:val="auto"/>
          <w:spacing w:val="0"/>
          <w:kern w:val="2"/>
          <w:sz w:val="32"/>
          <w:szCs w:val="32"/>
          <w:shd w:val="clear" w:color="auto" w:fill="auto"/>
          <w:lang w:eastAsia="zh-CN" w:bidi="ar-SA"/>
        </w:rPr>
        <w:t>四十三</w:t>
      </w:r>
      <w:r>
        <w:rPr>
          <w:rFonts w:hint="eastAsia" w:ascii="仿宋_GB2312" w:hAnsi="仿宋_GB2312" w:eastAsia="仿宋_GB2312" w:cs="仿宋_GB2312"/>
          <w:b/>
          <w:bCs/>
          <w:i w:val="0"/>
          <w:caps w:val="0"/>
          <w:color w:val="auto"/>
          <w:spacing w:val="0"/>
          <w:kern w:val="2"/>
          <w:sz w:val="32"/>
          <w:szCs w:val="32"/>
          <w:shd w:val="clear" w:color="auto" w:fill="auto"/>
          <w:lang w:bidi="ar-SA"/>
        </w:rPr>
        <w:t>条</w:t>
      </w:r>
      <w:r>
        <w:rPr>
          <w:rFonts w:hint="eastAsia" w:ascii="仿宋_GB2312" w:hAnsi="仿宋_GB2312" w:eastAsia="仿宋_GB2312" w:cs="仿宋_GB2312"/>
          <w:i w:val="0"/>
          <w:caps w:val="0"/>
          <w:color w:val="auto"/>
          <w:spacing w:val="0"/>
          <w:kern w:val="2"/>
          <w:sz w:val="32"/>
          <w:szCs w:val="32"/>
          <w:shd w:val="clear" w:color="auto" w:fill="auto"/>
          <w:lang w:bidi="ar-SA"/>
        </w:rPr>
        <w:t xml:space="preserve"> 经办机构应当加强工伤保险基金支出管理，通过智能审核、实时监控、现场检查等方式及时审核医疗费用。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auto"/>
          <w:spacing w:val="0"/>
          <w:kern w:val="2"/>
          <w:sz w:val="32"/>
          <w:szCs w:val="32"/>
          <w:shd w:val="clear" w:color="auto" w:fill="auto"/>
          <w:lang w:bidi="ar-SA"/>
        </w:rPr>
      </w:pPr>
      <w:r>
        <w:rPr>
          <w:rFonts w:hint="eastAsia" w:ascii="仿宋_GB2312" w:hAnsi="仿宋_GB2312" w:eastAsia="仿宋_GB2312" w:cs="仿宋_GB2312"/>
          <w:i w:val="0"/>
          <w:caps w:val="0"/>
          <w:color w:val="auto"/>
          <w:spacing w:val="0"/>
          <w:kern w:val="2"/>
          <w:sz w:val="32"/>
          <w:szCs w:val="32"/>
          <w:shd w:val="clear" w:color="auto" w:fill="auto"/>
          <w:lang w:bidi="ar-SA"/>
        </w:rPr>
        <w:t>对于</w:t>
      </w:r>
      <w:r>
        <w:rPr>
          <w:rFonts w:hint="eastAsia" w:ascii="仿宋_GB2312" w:hAnsi="仿宋_GB2312" w:eastAsia="仿宋_GB2312" w:cs="仿宋_GB2312"/>
          <w:i w:val="0"/>
          <w:caps w:val="0"/>
          <w:color w:val="auto"/>
          <w:spacing w:val="0"/>
          <w:kern w:val="2"/>
          <w:sz w:val="32"/>
          <w:szCs w:val="32"/>
          <w:shd w:val="clear" w:color="auto" w:fill="auto"/>
          <w:lang w:eastAsia="zh-CN" w:bidi="ar-SA"/>
        </w:rPr>
        <w:t>服务</w:t>
      </w:r>
      <w:r>
        <w:rPr>
          <w:rFonts w:hint="eastAsia" w:ascii="仿宋_GB2312" w:hAnsi="仿宋_GB2312" w:eastAsia="仿宋_GB2312" w:cs="仿宋_GB2312"/>
          <w:i w:val="0"/>
          <w:caps w:val="0"/>
          <w:color w:val="auto"/>
          <w:spacing w:val="0"/>
          <w:kern w:val="2"/>
          <w:sz w:val="32"/>
          <w:szCs w:val="32"/>
          <w:shd w:val="clear" w:color="auto" w:fill="auto"/>
          <w:lang w:bidi="ar-SA"/>
        </w:rPr>
        <w:t>机构结算周期内发生的合理医疗费用，经办机构应根据</w:t>
      </w:r>
      <w:r>
        <w:rPr>
          <w:rFonts w:hint="eastAsia" w:ascii="仿宋_GB2312" w:hAnsi="仿宋_GB2312" w:eastAsia="仿宋_GB2312" w:cs="仿宋_GB2312"/>
          <w:i w:val="0"/>
          <w:caps w:val="0"/>
          <w:color w:val="auto"/>
          <w:spacing w:val="0"/>
          <w:kern w:val="2"/>
          <w:sz w:val="32"/>
          <w:szCs w:val="32"/>
          <w:shd w:val="clear" w:color="auto" w:fill="auto"/>
          <w:lang w:eastAsia="zh-CN" w:bidi="ar-SA"/>
        </w:rPr>
        <w:t>服务</w:t>
      </w:r>
      <w:r>
        <w:rPr>
          <w:rFonts w:hint="eastAsia" w:ascii="仿宋_GB2312" w:hAnsi="仿宋_GB2312" w:eastAsia="仿宋_GB2312" w:cs="仿宋_GB2312"/>
          <w:i w:val="0"/>
          <w:caps w:val="0"/>
          <w:color w:val="auto"/>
          <w:spacing w:val="0"/>
          <w:kern w:val="2"/>
          <w:sz w:val="32"/>
          <w:szCs w:val="32"/>
          <w:shd w:val="clear" w:color="auto" w:fill="auto"/>
          <w:lang w:bidi="ar-SA"/>
        </w:rPr>
        <w:t>协议按时足额</w:t>
      </w:r>
      <w:r>
        <w:rPr>
          <w:rFonts w:hint="eastAsia" w:ascii="仿宋_GB2312" w:hAnsi="仿宋_GB2312" w:eastAsia="仿宋_GB2312" w:cs="仿宋_GB2312"/>
          <w:i w:val="0"/>
          <w:caps w:val="0"/>
          <w:color w:val="auto"/>
          <w:spacing w:val="0"/>
          <w:kern w:val="2"/>
          <w:sz w:val="32"/>
          <w:szCs w:val="32"/>
          <w:shd w:val="clear" w:color="auto" w:fill="auto"/>
          <w:lang w:eastAsia="zh-CN" w:bidi="ar-SA"/>
        </w:rPr>
        <w:t>支付</w:t>
      </w:r>
      <w:r>
        <w:rPr>
          <w:rFonts w:hint="eastAsia" w:ascii="仿宋_GB2312" w:hAnsi="仿宋_GB2312" w:eastAsia="仿宋_GB2312" w:cs="仿宋_GB2312"/>
          <w:i w:val="0"/>
          <w:caps w:val="0"/>
          <w:color w:val="auto"/>
          <w:spacing w:val="0"/>
          <w:kern w:val="2"/>
          <w:sz w:val="32"/>
          <w:szCs w:val="32"/>
          <w:shd w:val="clear" w:color="auto" w:fill="auto"/>
          <w:lang w:bidi="ar-SA"/>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auto"/>
          <w:spacing w:val="0"/>
          <w:kern w:val="2"/>
          <w:sz w:val="32"/>
          <w:szCs w:val="32"/>
          <w:shd w:val="clear" w:color="auto" w:fill="auto"/>
          <w:lang w:bidi="ar-SA"/>
        </w:rPr>
      </w:pPr>
      <w:r>
        <w:rPr>
          <w:rFonts w:hint="eastAsia" w:ascii="仿宋_GB2312" w:hAnsi="仿宋_GB2312" w:eastAsia="仿宋_GB2312" w:cs="仿宋_GB2312"/>
          <w:i w:val="0"/>
          <w:caps w:val="0"/>
          <w:color w:val="auto"/>
          <w:spacing w:val="0"/>
          <w:kern w:val="2"/>
          <w:sz w:val="32"/>
          <w:szCs w:val="32"/>
          <w:shd w:val="clear" w:color="auto" w:fill="auto"/>
          <w:lang w:eastAsia="zh-CN" w:bidi="ar-SA"/>
        </w:rPr>
        <w:t>服务</w:t>
      </w:r>
      <w:r>
        <w:rPr>
          <w:rFonts w:hint="eastAsia" w:ascii="仿宋_GB2312" w:hAnsi="仿宋_GB2312" w:eastAsia="仿宋_GB2312" w:cs="仿宋_GB2312"/>
          <w:i w:val="0"/>
          <w:caps w:val="0"/>
          <w:color w:val="auto"/>
          <w:spacing w:val="0"/>
          <w:kern w:val="2"/>
          <w:sz w:val="32"/>
          <w:szCs w:val="32"/>
          <w:shd w:val="clear" w:color="auto" w:fill="auto"/>
          <w:lang w:bidi="ar-SA"/>
        </w:rPr>
        <w:t>机构违规申报费用，经审查核实的，经办机构不予支付。</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auto"/>
          <w:spacing w:val="0"/>
          <w:kern w:val="2"/>
          <w:sz w:val="32"/>
          <w:szCs w:val="32"/>
          <w:shd w:val="clear" w:color="auto" w:fill="auto"/>
          <w:lang w:bidi="ar-SA"/>
        </w:rPr>
      </w:pPr>
      <w:r>
        <w:rPr>
          <w:rFonts w:hint="eastAsia" w:ascii="仿宋_GB2312" w:hAnsi="仿宋_GB2312" w:eastAsia="仿宋_GB2312" w:cs="仿宋_GB2312"/>
          <w:b/>
          <w:bCs/>
          <w:i w:val="0"/>
          <w:caps w:val="0"/>
          <w:color w:val="auto"/>
          <w:spacing w:val="0"/>
          <w:kern w:val="2"/>
          <w:sz w:val="32"/>
          <w:szCs w:val="32"/>
          <w:shd w:val="clear" w:color="auto" w:fill="auto"/>
          <w:lang w:bidi="ar-SA"/>
        </w:rPr>
        <w:t>第四十</w:t>
      </w:r>
      <w:r>
        <w:rPr>
          <w:rFonts w:hint="eastAsia" w:ascii="仿宋_GB2312" w:hAnsi="仿宋_GB2312" w:eastAsia="仿宋_GB2312" w:cs="仿宋_GB2312"/>
          <w:b/>
          <w:bCs/>
          <w:i w:val="0"/>
          <w:caps w:val="0"/>
          <w:color w:val="auto"/>
          <w:spacing w:val="0"/>
          <w:kern w:val="2"/>
          <w:sz w:val="32"/>
          <w:szCs w:val="32"/>
          <w:shd w:val="clear" w:color="auto" w:fill="auto"/>
          <w:lang w:eastAsia="zh-CN" w:bidi="ar-SA"/>
        </w:rPr>
        <w:t>四</w:t>
      </w:r>
      <w:r>
        <w:rPr>
          <w:rFonts w:hint="eastAsia" w:ascii="仿宋_GB2312" w:hAnsi="仿宋_GB2312" w:eastAsia="仿宋_GB2312" w:cs="仿宋_GB2312"/>
          <w:b/>
          <w:bCs/>
          <w:i w:val="0"/>
          <w:caps w:val="0"/>
          <w:color w:val="auto"/>
          <w:spacing w:val="0"/>
          <w:kern w:val="2"/>
          <w:sz w:val="32"/>
          <w:szCs w:val="32"/>
          <w:shd w:val="clear" w:color="auto" w:fill="auto"/>
          <w:lang w:bidi="ar-SA"/>
        </w:rPr>
        <w:t>条</w:t>
      </w:r>
      <w:r>
        <w:rPr>
          <w:rFonts w:hint="eastAsia" w:ascii="仿宋_GB2312" w:hAnsi="仿宋_GB2312" w:eastAsia="仿宋_GB2312" w:cs="仿宋_GB2312"/>
          <w:i w:val="0"/>
          <w:caps w:val="0"/>
          <w:color w:val="auto"/>
          <w:spacing w:val="0"/>
          <w:kern w:val="2"/>
          <w:sz w:val="32"/>
          <w:szCs w:val="32"/>
          <w:shd w:val="clear" w:color="auto" w:fill="auto"/>
          <w:lang w:bidi="ar-SA"/>
        </w:rPr>
        <w:t xml:space="preserve"> 区经办机构审核工伤医疗</w:t>
      </w:r>
      <w:r>
        <w:rPr>
          <w:rFonts w:hint="eastAsia" w:ascii="仿宋_GB2312" w:hAnsi="仿宋_GB2312" w:eastAsia="仿宋_GB2312" w:cs="仿宋_GB2312"/>
          <w:i w:val="0"/>
          <w:caps w:val="0"/>
          <w:color w:val="auto"/>
          <w:spacing w:val="0"/>
          <w:kern w:val="2"/>
          <w:sz w:val="32"/>
          <w:szCs w:val="32"/>
          <w:shd w:val="clear" w:color="auto" w:fill="auto"/>
          <w:lang w:eastAsia="zh-CN" w:bidi="ar-SA"/>
        </w:rPr>
        <w:t>、</w:t>
      </w:r>
      <w:r>
        <w:rPr>
          <w:rFonts w:hint="eastAsia" w:ascii="仿宋_GB2312" w:hAnsi="仿宋_GB2312" w:eastAsia="仿宋_GB2312" w:cs="仿宋_GB2312"/>
          <w:i w:val="0"/>
          <w:caps w:val="0"/>
          <w:color w:val="auto"/>
          <w:spacing w:val="0"/>
          <w:kern w:val="2"/>
          <w:sz w:val="32"/>
          <w:szCs w:val="32"/>
          <w:shd w:val="clear" w:color="auto" w:fill="auto"/>
          <w:lang w:bidi="ar-SA"/>
        </w:rPr>
        <w:t>康复、辅助器具配置费用发现有关疑点问题，需要与服务机构沟通核实的，应及时主动联系服务机构核实有关情况或要求补充相关材料说明。需要其他区经办机构协助的，有关区经办机构应予以支持。</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i w:val="0"/>
          <w:iCs w:val="0"/>
          <w:caps w:val="0"/>
          <w:color w:val="auto"/>
          <w:spacing w:val="0"/>
          <w:kern w:val="2"/>
          <w:sz w:val="32"/>
          <w:szCs w:val="32"/>
          <w:shd w:val="clear" w:color="auto" w:fill="auto"/>
          <w:lang w:val="en-US" w:eastAsia="zh-CN" w:bidi="ar-SA"/>
        </w:rPr>
      </w:pPr>
      <w:r>
        <w:rPr>
          <w:rFonts w:hint="eastAsia" w:ascii="仿宋_GB2312" w:hAnsi="仿宋_GB2312" w:eastAsia="仿宋_GB2312" w:cs="仿宋_GB2312"/>
          <w:b/>
          <w:bCs/>
          <w:i w:val="0"/>
          <w:iCs w:val="0"/>
          <w:caps w:val="0"/>
          <w:color w:val="auto"/>
          <w:spacing w:val="0"/>
          <w:kern w:val="2"/>
          <w:sz w:val="32"/>
          <w:szCs w:val="32"/>
          <w:shd w:val="clear" w:color="auto" w:fill="auto"/>
          <w:lang w:val="en-US" w:eastAsia="zh-CN" w:bidi="ar-SA"/>
        </w:rPr>
        <w:t>第四十五条</w:t>
      </w:r>
      <w:r>
        <w:rPr>
          <w:rFonts w:hint="eastAsia" w:ascii="仿宋_GB2312" w:hAnsi="仿宋_GB2312" w:eastAsia="仿宋_GB2312" w:cs="仿宋_GB2312"/>
          <w:i w:val="0"/>
          <w:iCs w:val="0"/>
          <w:caps w:val="0"/>
          <w:color w:val="auto"/>
          <w:spacing w:val="0"/>
          <w:kern w:val="2"/>
          <w:sz w:val="32"/>
          <w:szCs w:val="32"/>
          <w:shd w:val="clear" w:color="auto" w:fill="auto"/>
          <w:lang w:val="en-US" w:eastAsia="zh-CN" w:bidi="ar-SA"/>
        </w:rPr>
        <w:t xml:space="preserve"> 市经办机构会同信息化部门共同加强工伤保险信息化建设，支持指导服务机构做好系统对接，强化数据共享，及时准确向服务机构提供工伤职工相关必要信息，以及工伤保险药品目录、诊疗项目目录和住院服务标准等目录信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六</w:t>
      </w:r>
      <w:r>
        <w:rPr>
          <w:rFonts w:hint="eastAsia" w:ascii="黑体" w:hAnsi="黑体" w:eastAsia="黑体" w:cs="黑体"/>
          <w:b w:val="0"/>
          <w:bCs w:val="0"/>
          <w:color w:val="auto"/>
          <w:sz w:val="32"/>
          <w:szCs w:val="32"/>
        </w:rPr>
        <w:t xml:space="preserve">章 </w:t>
      </w:r>
      <w:bookmarkStart w:id="3" w:name="_Hlk121496807"/>
      <w:r>
        <w:rPr>
          <w:rFonts w:hint="eastAsia" w:ascii="黑体" w:hAnsi="黑体" w:eastAsia="黑体" w:cs="黑体"/>
          <w:b w:val="0"/>
          <w:bCs w:val="0"/>
          <w:color w:val="auto"/>
          <w:sz w:val="32"/>
          <w:szCs w:val="32"/>
          <w:lang w:eastAsia="zh-CN"/>
        </w:rPr>
        <w:t>服务机构</w:t>
      </w:r>
      <w:r>
        <w:rPr>
          <w:rFonts w:hint="eastAsia" w:ascii="黑体" w:hAnsi="黑体" w:eastAsia="黑体" w:cs="黑体"/>
          <w:b w:val="0"/>
          <w:bCs w:val="0"/>
          <w:color w:val="auto"/>
          <w:sz w:val="32"/>
          <w:szCs w:val="32"/>
        </w:rPr>
        <w:t>的</w:t>
      </w:r>
      <w:bookmarkEnd w:id="3"/>
      <w:r>
        <w:rPr>
          <w:rFonts w:hint="eastAsia" w:ascii="黑体" w:hAnsi="黑体" w:eastAsia="黑体" w:cs="黑体"/>
          <w:b w:val="0"/>
          <w:bCs w:val="0"/>
          <w:color w:val="auto"/>
          <w:sz w:val="32"/>
          <w:szCs w:val="32"/>
          <w:lang w:val="en-US" w:eastAsia="zh-CN"/>
        </w:rPr>
        <w:t>监管考核</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both"/>
        <w:textAlignment w:val="auto"/>
        <w:rPr>
          <w:rFonts w:hint="eastAsia" w:ascii="仿宋_GB2312" w:hAnsi="仿宋_GB2312" w:eastAsia="仿宋_GB2312" w:cs="仿宋_GB2312"/>
          <w:b/>
          <w:bCs/>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2" w:firstLineChars="200"/>
        <w:jc w:val="both"/>
        <w:textAlignment w:val="auto"/>
        <w:rPr>
          <w:rFonts w:hint="eastAsia" w:ascii="仿宋_GB2312" w:hAnsi="仿宋" w:eastAsia="仿宋_GB2312" w:cs="Times New Roman"/>
          <w:color w:val="auto"/>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四十六</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 w:eastAsia="仿宋_GB2312"/>
          <w:color w:val="auto"/>
          <w:sz w:val="32"/>
          <w:szCs w:val="32"/>
        </w:rPr>
        <w:t>经办机构应拓宽监</w:t>
      </w:r>
      <w:r>
        <w:rPr>
          <w:rFonts w:hint="eastAsia" w:ascii="仿宋_GB2312" w:hAnsi="仿宋" w:eastAsia="仿宋_GB2312"/>
          <w:color w:val="auto"/>
          <w:sz w:val="32"/>
          <w:szCs w:val="32"/>
          <w:lang w:val="en-US" w:eastAsia="zh-CN"/>
        </w:rPr>
        <w:t>管</w:t>
      </w:r>
      <w:r>
        <w:rPr>
          <w:rFonts w:hint="eastAsia" w:ascii="仿宋_GB2312" w:hAnsi="仿宋" w:eastAsia="仿宋_GB2312"/>
          <w:color w:val="auto"/>
          <w:sz w:val="32"/>
          <w:szCs w:val="32"/>
        </w:rPr>
        <w:t>途径、创新监</w:t>
      </w:r>
      <w:r>
        <w:rPr>
          <w:rFonts w:hint="eastAsia" w:ascii="仿宋_GB2312" w:hAnsi="仿宋" w:eastAsia="仿宋_GB2312"/>
          <w:color w:val="auto"/>
          <w:sz w:val="32"/>
          <w:szCs w:val="32"/>
          <w:lang w:val="en-US" w:eastAsia="zh-CN"/>
        </w:rPr>
        <w:t>管</w:t>
      </w:r>
      <w:r>
        <w:rPr>
          <w:rFonts w:hint="eastAsia" w:ascii="仿宋_GB2312" w:hAnsi="仿宋" w:eastAsia="仿宋_GB2312"/>
          <w:color w:val="auto"/>
          <w:sz w:val="32"/>
          <w:szCs w:val="32"/>
        </w:rPr>
        <w:t>方式，通过满意度调查、第三方评价、聘请社会监督员</w:t>
      </w:r>
      <w:r>
        <w:rPr>
          <w:rFonts w:hint="eastAsia" w:ascii="仿宋_GB2312" w:hAnsi="仿宋" w:eastAsia="仿宋_GB2312"/>
          <w:color w:val="auto"/>
          <w:sz w:val="32"/>
          <w:szCs w:val="32"/>
          <w:lang w:eastAsia="zh-CN"/>
        </w:rPr>
        <w:t>、</w:t>
      </w:r>
      <w:r>
        <w:rPr>
          <w:rFonts w:hint="eastAsia" w:ascii="仿宋_GB2312" w:hAnsi="仿宋" w:eastAsia="仿宋_GB2312" w:cs="Times New Roman"/>
          <w:color w:val="auto"/>
          <w:sz w:val="32"/>
          <w:szCs w:val="32"/>
        </w:rPr>
        <w:t>数据监控分析和预警提示、日常检查、定期考核、信用管理、受理举报投诉</w:t>
      </w:r>
      <w:r>
        <w:rPr>
          <w:rFonts w:hint="eastAsia" w:ascii="仿宋_GB2312" w:hAnsi="仿宋" w:eastAsia="仿宋_GB2312"/>
          <w:color w:val="auto"/>
          <w:sz w:val="32"/>
          <w:szCs w:val="32"/>
        </w:rPr>
        <w:t>等方式</w:t>
      </w:r>
      <w:r>
        <w:rPr>
          <w:rFonts w:hint="eastAsia" w:ascii="仿宋_GB2312" w:hAnsi="仿宋" w:eastAsia="仿宋_GB2312" w:cs="Times New Roman"/>
          <w:color w:val="auto"/>
          <w:sz w:val="32"/>
          <w:szCs w:val="32"/>
        </w:rPr>
        <w:t>加强对服务机构的监管。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服务机构应积极参与、配合经办机构开展的各项监督检查和考核工作。</w:t>
      </w:r>
    </w:p>
    <w:p>
      <w:pPr>
        <w:pStyle w:val="7"/>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firstLine="646"/>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caps w:val="0"/>
          <w:color w:val="auto"/>
          <w:spacing w:val="0"/>
          <w:kern w:val="2"/>
          <w:sz w:val="32"/>
          <w:szCs w:val="32"/>
          <w:shd w:val="clear" w:color="auto" w:fill="auto"/>
          <w:lang w:bidi="ar-SA"/>
        </w:rPr>
        <w:t>第</w:t>
      </w:r>
      <w:r>
        <w:rPr>
          <w:rFonts w:hint="eastAsia" w:ascii="仿宋_GB2312" w:hAnsi="仿宋_GB2312" w:eastAsia="仿宋_GB2312" w:cs="仿宋_GB2312"/>
          <w:b/>
          <w:bCs/>
          <w:i w:val="0"/>
          <w:caps w:val="0"/>
          <w:color w:val="auto"/>
          <w:spacing w:val="0"/>
          <w:kern w:val="2"/>
          <w:sz w:val="32"/>
          <w:szCs w:val="32"/>
          <w:shd w:val="clear" w:color="auto" w:fill="auto"/>
          <w:lang w:val="en-US" w:eastAsia="zh-CN" w:bidi="ar-SA"/>
        </w:rPr>
        <w:t>四十七</w:t>
      </w:r>
      <w:r>
        <w:rPr>
          <w:rFonts w:hint="eastAsia" w:ascii="仿宋_GB2312" w:hAnsi="仿宋_GB2312" w:eastAsia="仿宋_GB2312" w:cs="仿宋_GB2312"/>
          <w:b/>
          <w:bCs/>
          <w:i w:val="0"/>
          <w:caps w:val="0"/>
          <w:color w:val="auto"/>
          <w:spacing w:val="0"/>
          <w:kern w:val="2"/>
          <w:sz w:val="32"/>
          <w:szCs w:val="32"/>
          <w:shd w:val="clear" w:color="auto" w:fill="auto"/>
          <w:lang w:bidi="ar-SA"/>
        </w:rPr>
        <w:t>条</w:t>
      </w:r>
      <w:r>
        <w:rPr>
          <w:rFonts w:hint="eastAsia" w:ascii="仿宋_GB2312" w:hAnsi="仿宋_GB2312" w:eastAsia="仿宋_GB2312" w:cs="仿宋_GB2312"/>
          <w:i w:val="0"/>
          <w:caps w:val="0"/>
          <w:color w:val="auto"/>
          <w:spacing w:val="0"/>
          <w:kern w:val="2"/>
          <w:sz w:val="32"/>
          <w:szCs w:val="32"/>
          <w:shd w:val="clear" w:color="auto" w:fill="auto"/>
          <w:lang w:bidi="ar-SA"/>
        </w:rPr>
        <w:t> </w:t>
      </w:r>
      <w:r>
        <w:rPr>
          <w:rFonts w:hint="eastAsia" w:ascii="仿宋_GB2312" w:hAnsi="仿宋_GB2312" w:eastAsia="仿宋_GB2312" w:cs="仿宋_GB2312"/>
          <w:i w:val="0"/>
          <w:caps w:val="0"/>
          <w:color w:val="auto"/>
          <w:spacing w:val="0"/>
          <w:kern w:val="2"/>
          <w:sz w:val="32"/>
          <w:szCs w:val="32"/>
          <w:shd w:val="clear" w:color="auto" w:fill="auto"/>
          <w:lang w:val="en-US" w:eastAsia="zh-CN" w:bidi="ar-SA"/>
        </w:rPr>
        <w:t>区经办机构</w:t>
      </w:r>
      <w:r>
        <w:rPr>
          <w:rFonts w:hint="eastAsia" w:ascii="仿宋_GB2312" w:hAnsi="仿宋_GB2312" w:eastAsia="仿宋_GB2312" w:cs="仿宋_GB2312"/>
          <w:i w:val="0"/>
          <w:caps w:val="0"/>
          <w:color w:val="auto"/>
          <w:spacing w:val="0"/>
          <w:kern w:val="2"/>
          <w:sz w:val="32"/>
          <w:szCs w:val="32"/>
          <w:shd w:val="clear" w:color="auto" w:fill="auto"/>
          <w:lang w:bidi="ar-SA"/>
        </w:rPr>
        <w:t>应每季度至少1次深入</w:t>
      </w:r>
      <w:r>
        <w:rPr>
          <w:rFonts w:hint="eastAsia" w:ascii="仿宋_GB2312" w:hAnsi="仿宋_GB2312" w:eastAsia="仿宋_GB2312" w:cs="仿宋_GB2312"/>
          <w:i w:val="0"/>
          <w:caps w:val="0"/>
          <w:color w:val="auto"/>
          <w:spacing w:val="0"/>
          <w:kern w:val="2"/>
          <w:sz w:val="32"/>
          <w:szCs w:val="32"/>
          <w:shd w:val="clear" w:color="auto" w:fill="auto"/>
          <w:lang w:eastAsia="zh-CN" w:bidi="ar-SA"/>
        </w:rPr>
        <w:t>辖区内</w:t>
      </w:r>
      <w:r>
        <w:rPr>
          <w:rFonts w:hint="eastAsia" w:ascii="仿宋_GB2312" w:hAnsi="仿宋_GB2312" w:eastAsia="仿宋_GB2312" w:cs="仿宋_GB2312"/>
          <w:i w:val="0"/>
          <w:caps w:val="0"/>
          <w:color w:val="auto"/>
          <w:spacing w:val="0"/>
          <w:kern w:val="2"/>
          <w:sz w:val="32"/>
          <w:szCs w:val="32"/>
          <w:shd w:val="clear" w:color="auto" w:fill="auto"/>
          <w:lang w:val="en-US" w:eastAsia="zh-CN" w:bidi="ar-SA"/>
        </w:rPr>
        <w:t>服务</w:t>
      </w:r>
      <w:r>
        <w:rPr>
          <w:rFonts w:hint="eastAsia" w:ascii="仿宋_GB2312" w:hAnsi="仿宋_GB2312" w:eastAsia="仿宋_GB2312" w:cs="仿宋_GB2312"/>
          <w:i w:val="0"/>
          <w:caps w:val="0"/>
          <w:color w:val="auto"/>
          <w:spacing w:val="0"/>
          <w:kern w:val="2"/>
          <w:sz w:val="32"/>
          <w:szCs w:val="32"/>
          <w:shd w:val="clear" w:color="auto" w:fill="auto"/>
          <w:lang w:bidi="ar-SA"/>
        </w:rPr>
        <w:t>机构开展日常监督检查，监督</w:t>
      </w:r>
      <w:r>
        <w:rPr>
          <w:rFonts w:hint="eastAsia" w:ascii="仿宋_GB2312" w:hAnsi="仿宋_GB2312" w:eastAsia="仿宋_GB2312" w:cs="仿宋_GB2312"/>
          <w:i w:val="0"/>
          <w:caps w:val="0"/>
          <w:color w:val="auto"/>
          <w:spacing w:val="0"/>
          <w:kern w:val="2"/>
          <w:sz w:val="32"/>
          <w:szCs w:val="32"/>
          <w:shd w:val="clear" w:color="auto" w:fill="auto"/>
          <w:lang w:val="en-US" w:eastAsia="zh-CN" w:bidi="ar-SA"/>
        </w:rPr>
        <w:t>服务</w:t>
      </w:r>
      <w:r>
        <w:rPr>
          <w:rFonts w:hint="eastAsia" w:ascii="仿宋_GB2312" w:hAnsi="仿宋_GB2312" w:eastAsia="仿宋_GB2312" w:cs="仿宋_GB2312"/>
          <w:i w:val="0"/>
          <w:caps w:val="0"/>
          <w:color w:val="auto"/>
          <w:spacing w:val="0"/>
          <w:kern w:val="2"/>
          <w:sz w:val="32"/>
          <w:szCs w:val="32"/>
          <w:shd w:val="clear" w:color="auto" w:fill="auto"/>
          <w:lang w:bidi="ar-SA"/>
        </w:rPr>
        <w:t>机构履行协议情况，确保协议年度内实现全覆盖。重点检查</w:t>
      </w:r>
      <w:r>
        <w:rPr>
          <w:rFonts w:hint="eastAsia" w:ascii="仿宋_GB2312" w:hAnsi="仿宋_GB2312" w:eastAsia="仿宋_GB2312" w:cs="仿宋_GB2312"/>
          <w:i w:val="0"/>
          <w:caps w:val="0"/>
          <w:color w:val="auto"/>
          <w:spacing w:val="0"/>
          <w:kern w:val="2"/>
          <w:sz w:val="32"/>
          <w:szCs w:val="32"/>
          <w:shd w:val="clear" w:color="auto" w:fill="auto"/>
          <w:lang w:val="en-US" w:eastAsia="zh-CN" w:bidi="ar-SA"/>
        </w:rPr>
        <w:t>服务</w:t>
      </w:r>
      <w:r>
        <w:rPr>
          <w:rFonts w:hint="eastAsia" w:ascii="仿宋_GB2312" w:hAnsi="仿宋_GB2312" w:eastAsia="仿宋_GB2312" w:cs="仿宋_GB2312"/>
          <w:i w:val="0"/>
          <w:caps w:val="0"/>
          <w:color w:val="auto"/>
          <w:spacing w:val="0"/>
          <w:kern w:val="2"/>
          <w:sz w:val="32"/>
          <w:szCs w:val="32"/>
          <w:shd w:val="clear" w:color="auto" w:fill="auto"/>
          <w:lang w:bidi="ar-SA"/>
        </w:rPr>
        <w:t>机构</w:t>
      </w:r>
      <w:r>
        <w:rPr>
          <w:rFonts w:hint="eastAsia" w:ascii="仿宋_GB2312" w:hAnsi="仿宋_GB2312" w:eastAsia="仿宋_GB2312" w:cs="仿宋_GB2312"/>
          <w:i w:val="0"/>
          <w:caps w:val="0"/>
          <w:color w:val="auto"/>
          <w:spacing w:val="0"/>
          <w:kern w:val="2"/>
          <w:sz w:val="32"/>
          <w:szCs w:val="32"/>
          <w:shd w:val="clear" w:color="auto" w:fill="auto"/>
          <w:lang w:val="en-US" w:eastAsia="zh-CN" w:bidi="ar-SA"/>
        </w:rPr>
        <w:t>是否存在挂床住院、虚开药物、虚假治疗、编造病历、短期重复开药、“伤病不分”、无指征住院、</w:t>
      </w:r>
      <w:r>
        <w:rPr>
          <w:rFonts w:hint="eastAsia" w:ascii="仿宋_GB2312" w:hAnsi="仿宋_GB2312" w:eastAsia="仿宋_GB2312" w:cs="仿宋_GB2312"/>
          <w:i w:val="0"/>
          <w:caps w:val="0"/>
          <w:color w:val="auto"/>
          <w:spacing w:val="0"/>
          <w:kern w:val="2"/>
          <w:sz w:val="32"/>
          <w:szCs w:val="32"/>
          <w:shd w:val="clear" w:color="auto" w:fill="auto"/>
          <w:lang w:bidi="ar-SA"/>
        </w:rPr>
        <w:t>辅助器具配置套现</w:t>
      </w:r>
      <w:r>
        <w:rPr>
          <w:rFonts w:hint="eastAsia" w:ascii="仿宋_GB2312" w:hAnsi="仿宋_GB2312" w:eastAsia="仿宋_GB2312" w:cs="仿宋_GB2312"/>
          <w:i w:val="0"/>
          <w:caps w:val="0"/>
          <w:color w:val="auto"/>
          <w:spacing w:val="0"/>
          <w:kern w:val="2"/>
          <w:sz w:val="32"/>
          <w:szCs w:val="32"/>
          <w:shd w:val="clear" w:color="auto" w:fill="auto"/>
          <w:lang w:val="en-US" w:eastAsia="zh-CN" w:bidi="ar-SA"/>
        </w:rPr>
        <w:t>等违法违规情况。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2" w:firstLineChars="200"/>
        <w:jc w:val="both"/>
        <w:textAlignment w:val="auto"/>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b/>
          <w:bCs/>
          <w:color w:val="auto"/>
          <w:kern w:val="2"/>
          <w:sz w:val="32"/>
          <w:szCs w:val="32"/>
          <w:lang w:val="en-US" w:eastAsia="zh-CN" w:bidi="ar-SA"/>
        </w:rPr>
        <w:t>第四十八条</w:t>
      </w:r>
      <w:r>
        <w:rPr>
          <w:rFonts w:hint="eastAsia" w:ascii="仿宋_GB2312" w:hAnsi="仿宋" w:eastAsia="仿宋_GB2312"/>
          <w:color w:val="auto"/>
          <w:sz w:val="32"/>
          <w:szCs w:val="32"/>
          <w:lang w:val="en-US" w:eastAsia="zh-CN"/>
        </w:rPr>
        <w:t xml:space="preserve"> 经办机构和服务机构</w:t>
      </w:r>
      <w:r>
        <w:rPr>
          <w:rFonts w:ascii="仿宋_GB2312" w:hAnsi="仿宋" w:eastAsia="仿宋_GB2312"/>
          <w:color w:val="auto"/>
          <w:sz w:val="32"/>
          <w:szCs w:val="32"/>
        </w:rPr>
        <w:t>应当充分利用医疗服务</w:t>
      </w:r>
      <w:r>
        <w:rPr>
          <w:rFonts w:hint="eastAsia" w:ascii="仿宋_GB2312" w:hAnsi="仿宋" w:eastAsia="仿宋_GB2312"/>
          <w:color w:val="auto"/>
          <w:sz w:val="32"/>
          <w:szCs w:val="32"/>
        </w:rPr>
        <w:t>智能</w:t>
      </w:r>
      <w:r>
        <w:rPr>
          <w:rFonts w:ascii="仿宋_GB2312" w:hAnsi="仿宋" w:eastAsia="仿宋_GB2312"/>
          <w:color w:val="auto"/>
          <w:sz w:val="32"/>
          <w:szCs w:val="32"/>
        </w:rPr>
        <w:t>监控系统监管医疗服务</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经办机构</w:t>
      </w:r>
      <w:r>
        <w:rPr>
          <w:rFonts w:ascii="仿宋_GB2312" w:hAnsi="仿宋" w:eastAsia="仿宋_GB2312"/>
          <w:color w:val="auto"/>
          <w:sz w:val="32"/>
          <w:szCs w:val="32"/>
        </w:rPr>
        <w:t>通过监控系统发现</w:t>
      </w:r>
      <w:r>
        <w:rPr>
          <w:rFonts w:hint="eastAsia" w:ascii="仿宋_GB2312" w:hAnsi="仿宋" w:eastAsia="仿宋_GB2312"/>
          <w:color w:val="auto"/>
          <w:sz w:val="32"/>
          <w:szCs w:val="32"/>
          <w:lang w:val="en-US" w:eastAsia="zh-CN"/>
        </w:rPr>
        <w:t>服务机构</w:t>
      </w:r>
      <w:r>
        <w:rPr>
          <w:rFonts w:hint="eastAsia" w:ascii="仿宋_GB2312" w:hAnsi="仿宋" w:eastAsia="仿宋_GB2312"/>
          <w:color w:val="auto"/>
          <w:sz w:val="32"/>
          <w:szCs w:val="32"/>
        </w:rPr>
        <w:t>存在</w:t>
      </w:r>
      <w:r>
        <w:rPr>
          <w:rFonts w:ascii="仿宋_GB2312" w:hAnsi="仿宋" w:eastAsia="仿宋_GB2312"/>
          <w:color w:val="auto"/>
          <w:sz w:val="32"/>
          <w:szCs w:val="32"/>
        </w:rPr>
        <w:t>可疑违约违规行为时，要及时</w:t>
      </w:r>
      <w:r>
        <w:rPr>
          <w:rFonts w:hint="eastAsia" w:ascii="仿宋_GB2312" w:hAnsi="仿宋" w:eastAsia="仿宋_GB2312"/>
          <w:color w:val="auto"/>
          <w:sz w:val="32"/>
          <w:szCs w:val="32"/>
        </w:rPr>
        <w:t>反馈</w:t>
      </w:r>
      <w:r>
        <w:rPr>
          <w:rFonts w:hint="eastAsia" w:ascii="仿宋_GB2312" w:hAnsi="仿宋" w:eastAsia="仿宋_GB2312"/>
          <w:color w:val="auto"/>
          <w:sz w:val="32"/>
          <w:szCs w:val="32"/>
          <w:lang w:val="en-US" w:eastAsia="zh-CN"/>
        </w:rPr>
        <w:t>服务机构</w:t>
      </w:r>
      <w:r>
        <w:rPr>
          <w:rFonts w:ascii="仿宋_GB2312" w:hAnsi="仿宋" w:eastAsia="仿宋_GB2312"/>
          <w:color w:val="auto"/>
          <w:sz w:val="32"/>
          <w:szCs w:val="32"/>
        </w:rPr>
        <w:t>，</w:t>
      </w:r>
      <w:r>
        <w:rPr>
          <w:rFonts w:hint="eastAsia" w:ascii="仿宋_GB2312" w:hAnsi="仿宋" w:eastAsia="仿宋_GB2312"/>
          <w:color w:val="auto"/>
          <w:sz w:val="32"/>
          <w:szCs w:val="32"/>
          <w:lang w:val="en-US" w:eastAsia="zh-CN"/>
        </w:rPr>
        <w:t>服务机构</w:t>
      </w:r>
      <w:r>
        <w:rPr>
          <w:rFonts w:ascii="仿宋_GB2312" w:hAnsi="仿宋" w:eastAsia="仿宋_GB2312"/>
          <w:color w:val="auto"/>
          <w:sz w:val="32"/>
          <w:szCs w:val="32"/>
        </w:rPr>
        <w:t>应当在规定期限内做出解释说明</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经办机构根据规定对可疑数据做出相应处理。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2"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四十九</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经办机构发现</w:t>
      </w:r>
      <w:r>
        <w:rPr>
          <w:rFonts w:hint="eastAsia" w:ascii="仿宋_GB2312" w:hAnsi="仿宋_GB2312" w:eastAsia="仿宋_GB2312" w:cs="仿宋_GB2312"/>
          <w:color w:val="auto"/>
          <w:sz w:val="32"/>
          <w:szCs w:val="32"/>
          <w:lang w:eastAsia="zh-CN"/>
        </w:rPr>
        <w:t>服务机构</w:t>
      </w:r>
      <w:r>
        <w:rPr>
          <w:rFonts w:hint="eastAsia" w:ascii="仿宋_GB2312" w:hAnsi="仿宋_GB2312" w:eastAsia="仿宋_GB2312" w:cs="仿宋_GB2312"/>
          <w:color w:val="auto"/>
          <w:sz w:val="32"/>
          <w:szCs w:val="32"/>
          <w:highlight w:val="none"/>
          <w:lang w:eastAsia="zh-CN"/>
        </w:rPr>
        <w:t>涉及违反法律法规、欺诈骗保行为的</w:t>
      </w:r>
      <w:r>
        <w:rPr>
          <w:rFonts w:hint="eastAsia" w:ascii="仿宋_GB2312" w:hAnsi="仿宋_GB2312" w:eastAsia="仿宋_GB2312" w:cs="仿宋_GB2312"/>
          <w:color w:val="auto"/>
          <w:sz w:val="32"/>
          <w:szCs w:val="32"/>
        </w:rPr>
        <w:t>，应当及时按照</w:t>
      </w:r>
      <w:r>
        <w:rPr>
          <w:rFonts w:hint="eastAsia" w:ascii="仿宋_GB2312" w:hAnsi="仿宋_GB2312" w:eastAsia="仿宋_GB2312" w:cs="仿宋_GB2312"/>
          <w:color w:val="auto"/>
          <w:sz w:val="32"/>
          <w:szCs w:val="32"/>
          <w:lang w:eastAsia="zh-CN"/>
        </w:rPr>
        <w:t>服务</w:t>
      </w:r>
      <w:r>
        <w:rPr>
          <w:rFonts w:hint="eastAsia" w:ascii="仿宋_GB2312" w:hAnsi="仿宋_GB2312" w:eastAsia="仿宋_GB2312" w:cs="仿宋_GB2312"/>
          <w:color w:val="auto"/>
          <w:sz w:val="32"/>
          <w:szCs w:val="32"/>
        </w:rPr>
        <w:t>协议</w:t>
      </w:r>
      <w:r>
        <w:rPr>
          <w:rFonts w:hint="eastAsia" w:ascii="仿宋_GB2312" w:hAnsi="仿宋_GB2312" w:eastAsia="仿宋_GB2312" w:cs="仿宋_GB2312"/>
          <w:color w:val="auto"/>
          <w:sz w:val="32"/>
          <w:szCs w:val="32"/>
          <w:lang w:eastAsia="zh-CN"/>
        </w:rPr>
        <w:t>及本市相关规定</w:t>
      </w:r>
      <w:r>
        <w:rPr>
          <w:rFonts w:hint="eastAsia" w:ascii="仿宋_GB2312" w:hAnsi="仿宋_GB2312" w:eastAsia="仿宋_GB2312" w:cs="仿宋_GB2312"/>
          <w:color w:val="auto"/>
          <w:sz w:val="32"/>
          <w:szCs w:val="32"/>
        </w:rPr>
        <w:t>处理。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五十</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kern w:val="2"/>
          <w:sz w:val="32"/>
          <w:szCs w:val="32"/>
          <w:highlight w:val="none"/>
          <w:lang w:val="en-US" w:eastAsia="zh-CN" w:bidi="ar"/>
        </w:rPr>
        <w:t>市</w:t>
      </w:r>
      <w:r>
        <w:rPr>
          <w:rFonts w:hint="default" w:ascii="仿宋_GB2312" w:hAnsi="仿宋_GB2312" w:eastAsia="仿宋_GB2312" w:cs="仿宋_GB2312"/>
          <w:color w:val="auto"/>
          <w:kern w:val="2"/>
          <w:sz w:val="32"/>
          <w:szCs w:val="32"/>
          <w:highlight w:val="none"/>
          <w:lang w:val="en-US" w:eastAsia="zh-CN" w:bidi="ar"/>
        </w:rPr>
        <w:t>、</w:t>
      </w:r>
      <w:r>
        <w:rPr>
          <w:rFonts w:hint="eastAsia" w:ascii="仿宋_GB2312" w:hAnsi="仿宋_GB2312" w:eastAsia="仿宋_GB2312" w:cs="仿宋_GB2312"/>
          <w:color w:val="auto"/>
          <w:kern w:val="2"/>
          <w:sz w:val="32"/>
          <w:szCs w:val="32"/>
          <w:highlight w:val="none"/>
          <w:lang w:val="en-US" w:eastAsia="zh-CN" w:bidi="ar"/>
        </w:rPr>
        <w:t>区</w:t>
      </w:r>
      <w:r>
        <w:rPr>
          <w:rFonts w:hint="default" w:ascii="仿宋_GB2312" w:hAnsi="仿宋_GB2312" w:eastAsia="仿宋_GB2312" w:cs="仿宋_GB2312"/>
          <w:color w:val="auto"/>
          <w:kern w:val="2"/>
          <w:sz w:val="32"/>
          <w:szCs w:val="32"/>
          <w:highlight w:val="none"/>
          <w:lang w:val="en-US" w:eastAsia="zh-CN" w:bidi="ar"/>
        </w:rPr>
        <w:t>经办机构于每年末对</w:t>
      </w:r>
      <w:r>
        <w:rPr>
          <w:rFonts w:hint="eastAsia" w:ascii="仿宋_GB2312" w:hAnsi="仿宋_GB2312" w:eastAsia="仿宋_GB2312" w:cs="仿宋_GB2312"/>
          <w:color w:val="auto"/>
          <w:kern w:val="2"/>
          <w:sz w:val="32"/>
          <w:szCs w:val="32"/>
          <w:highlight w:val="none"/>
          <w:lang w:val="en-US" w:eastAsia="zh-CN" w:bidi="ar"/>
        </w:rPr>
        <w:t>服务</w:t>
      </w:r>
      <w:r>
        <w:rPr>
          <w:rFonts w:hint="default" w:ascii="仿宋_GB2312" w:hAnsi="仿宋_GB2312" w:eastAsia="仿宋_GB2312" w:cs="仿宋_GB2312"/>
          <w:color w:val="auto"/>
          <w:kern w:val="2"/>
          <w:sz w:val="32"/>
          <w:szCs w:val="32"/>
          <w:highlight w:val="none"/>
          <w:lang w:val="en-US" w:eastAsia="zh-CN" w:bidi="ar"/>
        </w:rPr>
        <w:t>机构的机构建设、制度管理、服务质量等方面进行年度考核（考核表</w:t>
      </w:r>
      <w:r>
        <w:rPr>
          <w:rFonts w:hint="eastAsia" w:ascii="仿宋_GB2312" w:hAnsi="仿宋_GB2312" w:eastAsia="仿宋_GB2312" w:cs="仿宋_GB2312"/>
          <w:color w:val="auto"/>
          <w:kern w:val="2"/>
          <w:sz w:val="32"/>
          <w:szCs w:val="32"/>
          <w:highlight w:val="none"/>
          <w:lang w:val="en-US" w:eastAsia="zh-CN" w:bidi="ar"/>
        </w:rPr>
        <w:t>见附件1、2</w:t>
      </w:r>
      <w:r>
        <w:rPr>
          <w:rFonts w:hint="default" w:ascii="仿宋_GB2312" w:hAnsi="仿宋_GB2312" w:eastAsia="仿宋_GB2312" w:cs="仿宋_GB2312"/>
          <w:color w:val="auto"/>
          <w:kern w:val="2"/>
          <w:sz w:val="32"/>
          <w:szCs w:val="32"/>
          <w:highlight w:val="none"/>
          <w:lang w:val="en-US" w:eastAsia="zh-CN" w:bidi="ar"/>
        </w:rPr>
        <w:t>）。</w:t>
      </w:r>
      <w:r>
        <w:rPr>
          <w:rFonts w:hint="eastAsia" w:ascii="仿宋_GB2312" w:hAnsi="仿宋_GB2312" w:eastAsia="仿宋_GB2312" w:cs="仿宋_GB2312"/>
          <w:color w:val="auto"/>
          <w:kern w:val="2"/>
          <w:sz w:val="32"/>
          <w:szCs w:val="32"/>
          <w:highlight w:val="none"/>
          <w:lang w:val="en-US" w:eastAsia="zh-CN" w:bidi="ar"/>
        </w:rPr>
        <w:t>考核结果合格的（60分以上），续签服务协议；考核结果不合格的（60分以下），不再续签服务协议。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default" w:ascii="仿宋_GB2312" w:hAnsi="仿宋_GB2312" w:eastAsia="仿宋_GB2312" w:cs="仿宋_GB2312"/>
          <w:color w:val="auto"/>
          <w:kern w:val="2"/>
          <w:sz w:val="32"/>
          <w:szCs w:val="32"/>
          <w:highlight w:val="none"/>
          <w:lang w:val="en-US" w:eastAsia="zh-CN" w:bidi="ar"/>
        </w:rPr>
      </w:pPr>
      <w:r>
        <w:rPr>
          <w:rFonts w:hint="default" w:ascii="仿宋_GB2312" w:hAnsi="仿宋_GB2312" w:eastAsia="仿宋_GB2312" w:cs="仿宋_GB2312"/>
          <w:color w:val="auto"/>
          <w:kern w:val="2"/>
          <w:sz w:val="32"/>
          <w:szCs w:val="32"/>
          <w:highlight w:val="none"/>
          <w:lang w:val="en-US" w:eastAsia="zh-CN" w:bidi="ar"/>
        </w:rPr>
        <w:t>经办机构根据年度考核结果，按考评分数值与返还</w:t>
      </w:r>
      <w:r>
        <w:rPr>
          <w:rFonts w:hint="eastAsia" w:ascii="仿宋_GB2312" w:hAnsi="仿宋_GB2312" w:eastAsia="仿宋_GB2312" w:cs="仿宋_GB2312"/>
          <w:color w:val="auto"/>
          <w:kern w:val="2"/>
          <w:sz w:val="32"/>
          <w:szCs w:val="32"/>
          <w:highlight w:val="none"/>
          <w:lang w:val="en-US" w:eastAsia="zh-CN" w:bidi="ar"/>
        </w:rPr>
        <w:t>服务</w:t>
      </w:r>
      <w:r>
        <w:rPr>
          <w:rFonts w:hint="default" w:ascii="仿宋_GB2312" w:hAnsi="仿宋_GB2312" w:eastAsia="仿宋_GB2312" w:cs="仿宋_GB2312"/>
          <w:color w:val="auto"/>
          <w:kern w:val="2"/>
          <w:sz w:val="32"/>
          <w:szCs w:val="32"/>
          <w:highlight w:val="none"/>
          <w:lang w:val="en-US" w:eastAsia="zh-CN" w:bidi="ar"/>
        </w:rPr>
        <w:t>机构履约保证金挂钩进行年终清算：年度考核90分以上（含90分）的，全额返还履约保证金；80分（含80分）-90分的，返还90%；年度考核70分（含70分）-80分的，返还80%；60分（含60分）-70分的，返还70%；年度考核60分以下的，全部扣除。未返还扣除部分由经办机构收回并入工伤保险基金。年终清算应在</w:t>
      </w:r>
      <w:r>
        <w:rPr>
          <w:rFonts w:hint="eastAsia" w:ascii="仿宋_GB2312" w:hAnsi="仿宋_GB2312" w:eastAsia="仿宋_GB2312" w:cs="仿宋_GB2312"/>
          <w:color w:val="auto"/>
          <w:kern w:val="2"/>
          <w:sz w:val="32"/>
          <w:szCs w:val="32"/>
          <w:highlight w:val="none"/>
          <w:lang w:val="en-US" w:eastAsia="zh-CN" w:bidi="ar"/>
        </w:rPr>
        <w:t>次年3月</w:t>
      </w:r>
      <w:r>
        <w:rPr>
          <w:rFonts w:hint="default" w:ascii="仿宋_GB2312" w:hAnsi="仿宋_GB2312" w:eastAsia="仿宋_GB2312" w:cs="仿宋_GB2312"/>
          <w:color w:val="auto"/>
          <w:kern w:val="2"/>
          <w:sz w:val="32"/>
          <w:szCs w:val="32"/>
          <w:highlight w:val="none"/>
          <w:lang w:val="en-US" w:eastAsia="zh-CN" w:bidi="ar"/>
        </w:rPr>
        <w:t>底之前完成。</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仿宋_GB2312" w:hAnsi="仿宋_GB2312" w:eastAsia="仿宋_GB2312" w:cs="仿宋_GB2312"/>
          <w:color w:val="auto"/>
          <w:sz w:val="32"/>
          <w:szCs w:val="32"/>
          <w:highlight w:val="none"/>
        </w:rPr>
      </w:pPr>
      <w:r>
        <w:rPr>
          <w:rFonts w:hint="default" w:ascii="仿宋_GB2312" w:hAnsi="仿宋_GB2312" w:eastAsia="仿宋_GB2312" w:cs="仿宋_GB2312"/>
          <w:color w:val="auto"/>
          <w:kern w:val="2"/>
          <w:sz w:val="32"/>
          <w:szCs w:val="32"/>
          <w:highlight w:val="none"/>
          <w:lang w:val="en-US" w:eastAsia="zh-CN" w:bidi="ar"/>
        </w:rPr>
        <w:t>年度考核项目内容、评分标准可以</w:t>
      </w:r>
      <w:r>
        <w:rPr>
          <w:rFonts w:hint="eastAsia" w:ascii="仿宋_GB2312" w:hAnsi="仿宋_GB2312" w:eastAsia="仿宋_GB2312" w:cs="仿宋_GB2312"/>
          <w:color w:val="auto"/>
          <w:kern w:val="2"/>
          <w:sz w:val="32"/>
          <w:szCs w:val="32"/>
          <w:highlight w:val="none"/>
          <w:lang w:val="en-US" w:eastAsia="zh-CN" w:bidi="ar"/>
        </w:rPr>
        <w:t>根</w:t>
      </w:r>
      <w:r>
        <w:rPr>
          <w:rFonts w:hint="eastAsia" w:ascii="仿宋_GB2312" w:hAnsi="仿宋_GB2312" w:eastAsia="仿宋_GB2312" w:cs="仿宋_GB2312"/>
          <w:b w:val="0"/>
          <w:bCs w:val="0"/>
          <w:color w:val="auto"/>
          <w:kern w:val="2"/>
          <w:sz w:val="32"/>
          <w:szCs w:val="32"/>
          <w:highlight w:val="none"/>
          <w:lang w:val="en-US" w:eastAsia="zh-CN" w:bidi="ar"/>
        </w:rPr>
        <w:t>据</w:t>
      </w:r>
      <w:r>
        <w:rPr>
          <w:rFonts w:hint="eastAsia" w:ascii="仿宋_GB2312" w:hAnsi="仿宋_GB2312" w:eastAsia="仿宋_GB2312" w:cs="仿宋_GB2312"/>
          <w:b w:val="0"/>
          <w:bCs w:val="0"/>
          <w:i w:val="0"/>
          <w:iCs w:val="0"/>
          <w:color w:val="auto"/>
          <w:sz w:val="32"/>
          <w:szCs w:val="32"/>
          <w:highlight w:val="none"/>
          <w:u w:val="none"/>
          <w:lang w:val="en-US" w:eastAsia="zh-CN"/>
        </w:rPr>
        <w:t>上</w:t>
      </w:r>
      <w:r>
        <w:rPr>
          <w:rFonts w:hint="eastAsia" w:ascii="仿宋_GB2312" w:hAnsi="仿宋_GB2312" w:eastAsia="仿宋_GB2312" w:cs="仿宋_GB2312"/>
          <w:b w:val="0"/>
          <w:bCs w:val="0"/>
          <w:i w:val="0"/>
          <w:iCs w:val="0"/>
          <w:color w:val="auto"/>
          <w:sz w:val="32"/>
          <w:szCs w:val="32"/>
          <w:highlight w:val="none"/>
          <w:u w:val="none"/>
          <w:lang w:eastAsia="zh-CN"/>
        </w:rPr>
        <w:t>一协议期内对服务机构的监督检查结果</w:t>
      </w:r>
      <w:r>
        <w:rPr>
          <w:rFonts w:hint="eastAsia" w:ascii="仿宋_GB2312" w:hAnsi="仿宋_GB2312" w:eastAsia="仿宋_GB2312" w:cs="仿宋_GB2312"/>
          <w:b w:val="0"/>
          <w:bCs w:val="0"/>
          <w:i w:val="0"/>
          <w:iCs w:val="0"/>
          <w:color w:val="auto"/>
          <w:sz w:val="32"/>
          <w:szCs w:val="32"/>
          <w:highlight w:val="none"/>
          <w:u w:val="none"/>
          <w:lang w:val="en-US" w:eastAsia="zh-CN"/>
        </w:rPr>
        <w:t>等情况</w:t>
      </w:r>
      <w:r>
        <w:rPr>
          <w:rFonts w:hint="default" w:ascii="仿宋_GB2312" w:hAnsi="仿宋_GB2312" w:eastAsia="仿宋_GB2312" w:cs="仿宋_GB2312"/>
          <w:b w:val="0"/>
          <w:bCs w:val="0"/>
          <w:color w:val="auto"/>
          <w:kern w:val="2"/>
          <w:sz w:val="32"/>
          <w:szCs w:val="32"/>
          <w:highlight w:val="none"/>
          <w:lang w:val="en-US" w:eastAsia="zh-CN" w:bidi="ar"/>
        </w:rPr>
        <w:t>适时调整。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bCs/>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七</w:t>
      </w:r>
      <w:r>
        <w:rPr>
          <w:rFonts w:hint="eastAsia" w:ascii="黑体" w:hAnsi="黑体" w:eastAsia="黑体" w:cs="黑体"/>
          <w:b w:val="0"/>
          <w:bCs w:val="0"/>
          <w:color w:val="auto"/>
          <w:sz w:val="32"/>
          <w:szCs w:val="32"/>
        </w:rPr>
        <w:t>章 附</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2" w:firstLineChars="200"/>
        <w:jc w:val="both"/>
        <w:textAlignment w:val="auto"/>
        <w:rPr>
          <w:rFonts w:hint="eastAsia" w:ascii="仿宋_GB2312" w:hAnsi="仿宋_GB2312" w:eastAsia="仿宋_GB2312" w:cs="仿宋_GB2312"/>
          <w:b/>
          <w:bCs/>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五十一</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依据现行工伤保险政策，市经办机构可结合实际细化本市协议范本。服务协议内容应与法律、法规、规章和工伤保险政策调整变化相一致，经办机构调整服务协议内容时，应征求</w:t>
      </w:r>
      <w:r>
        <w:rPr>
          <w:rFonts w:hint="eastAsia" w:ascii="仿宋_GB2312" w:hAnsi="仿宋_GB2312" w:eastAsia="仿宋_GB2312" w:cs="仿宋_GB2312"/>
          <w:color w:val="auto"/>
          <w:sz w:val="32"/>
          <w:szCs w:val="32"/>
          <w:lang w:val="en-US" w:eastAsia="zh-CN"/>
        </w:rPr>
        <w:t>服务</w:t>
      </w:r>
      <w:r>
        <w:rPr>
          <w:rFonts w:hint="eastAsia" w:ascii="仿宋_GB2312" w:hAnsi="仿宋_GB2312" w:eastAsia="仿宋_GB2312" w:cs="仿宋_GB2312"/>
          <w:color w:val="auto"/>
          <w:sz w:val="32"/>
          <w:szCs w:val="32"/>
        </w:rPr>
        <w:t>机构意见。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五十二</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本</w:t>
      </w:r>
      <w:r>
        <w:rPr>
          <w:rFonts w:hint="eastAsia" w:ascii="仿宋_GB2312" w:hAnsi="仿宋_GB2312" w:eastAsia="仿宋_GB2312" w:cs="仿宋_GB2312"/>
          <w:color w:val="auto"/>
          <w:sz w:val="32"/>
          <w:szCs w:val="32"/>
          <w:lang w:val="en-US" w:eastAsia="zh-CN"/>
        </w:rPr>
        <w:t>细则</w:t>
      </w:r>
      <w:r>
        <w:rPr>
          <w:rFonts w:hint="eastAsia" w:ascii="仿宋_GB2312" w:hAnsi="仿宋_GB2312" w:eastAsia="仿宋_GB2312" w:cs="仿宋_GB2312"/>
          <w:color w:val="auto"/>
          <w:sz w:val="32"/>
          <w:szCs w:val="32"/>
        </w:rPr>
        <w:t>自202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日起施行，</w:t>
      </w:r>
      <w:r>
        <w:rPr>
          <w:rFonts w:hint="eastAsia" w:ascii="仿宋_GB2312" w:hAnsi="仿宋_GB2312" w:eastAsia="仿宋_GB2312" w:cs="仿宋_GB2312"/>
          <w:color w:val="auto"/>
          <w:sz w:val="32"/>
          <w:szCs w:val="32"/>
          <w:highlight w:val="none"/>
          <w:lang w:eastAsia="zh-CN"/>
        </w:rPr>
        <w:t>关于印发</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北京市工伤医疗机构和工伤康复机构协议管理经办细则（试行）</w:t>
      </w:r>
      <w:r>
        <w:rPr>
          <w:rFonts w:hint="eastAsia" w:ascii="仿宋_GB2312" w:hAnsi="仿宋_GB2312" w:eastAsia="仿宋_GB2312" w:cs="仿宋_GB2312"/>
          <w:color w:val="auto"/>
          <w:sz w:val="32"/>
          <w:szCs w:val="32"/>
          <w:highlight w:val="none"/>
          <w:lang w:val="en-US" w:eastAsia="zh-CN"/>
        </w:rPr>
        <w:t>&gt;</w:t>
      </w:r>
      <w:r>
        <w:rPr>
          <w:rFonts w:hint="eastAsia" w:ascii="仿宋_GB2312" w:hAnsi="仿宋_GB2312" w:eastAsia="仿宋_GB2312" w:cs="仿宋_GB2312"/>
          <w:color w:val="auto"/>
          <w:sz w:val="32"/>
          <w:szCs w:val="32"/>
          <w:highlight w:val="none"/>
          <w:lang w:eastAsia="zh-CN"/>
        </w:rPr>
        <w:t>的通知》（京工伤发</w:t>
      </w:r>
      <w:r>
        <w:rPr>
          <w:rFonts w:hint="eastAsia" w:ascii="仿宋_GB2312" w:hAnsi="仿宋_GB2312" w:eastAsia="仿宋_GB2312" w:cs="仿宋_GB2312"/>
          <w:color w:val="auto"/>
          <w:sz w:val="32"/>
          <w:szCs w:val="32"/>
          <w:highlight w:val="none"/>
          <w:lang w:val="en-US" w:eastAsia="zh-CN"/>
        </w:rPr>
        <w:t>〔2022〕4号)同时废止。</w:t>
      </w:r>
      <w:r>
        <w:rPr>
          <w:rFonts w:hint="eastAsia" w:ascii="仿宋_GB2312" w:hAnsi="仿宋_GB2312" w:eastAsia="仿宋_GB2312" w:cs="仿宋_GB2312"/>
          <w:color w:val="auto"/>
          <w:sz w:val="32"/>
          <w:szCs w:val="32"/>
          <w:highlight w:val="none"/>
        </w:rPr>
        <w:t>根据工伤保险政策变动情况，可以适时对本</w:t>
      </w:r>
      <w:r>
        <w:rPr>
          <w:rFonts w:hint="eastAsia" w:ascii="仿宋_GB2312" w:hAnsi="仿宋_GB2312" w:eastAsia="仿宋_GB2312" w:cs="仿宋_GB2312"/>
          <w:color w:val="auto"/>
          <w:sz w:val="32"/>
          <w:szCs w:val="32"/>
          <w:highlight w:val="none"/>
          <w:lang w:val="en-US" w:eastAsia="zh-CN"/>
        </w:rPr>
        <w:t>细则</w:t>
      </w:r>
      <w:r>
        <w:rPr>
          <w:rFonts w:hint="eastAsia" w:ascii="仿宋_GB2312" w:hAnsi="仿宋_GB2312" w:eastAsia="仿宋_GB2312" w:cs="仿宋_GB2312"/>
          <w:color w:val="auto"/>
          <w:sz w:val="32"/>
          <w:szCs w:val="32"/>
          <w:highlight w:val="none"/>
        </w:rPr>
        <w:t>相关内容进行调整。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z w:val="32"/>
          <w:szCs w:val="32"/>
          <w:lang w:val="en-US" w:eastAsia="zh-CN"/>
        </w:rPr>
      </w:pPr>
    </w:p>
    <w:p>
      <w:pPr>
        <w:suppressAutoHyphens/>
        <w:rPr>
          <w:rFonts w:ascii="Times New Roman" w:hAnsi="Times New Roman" w:eastAsia="黑体"/>
          <w:sz w:val="32"/>
          <w:szCs w:val="32"/>
        </w:rPr>
        <w:sectPr>
          <w:headerReference r:id="rId3" w:type="default"/>
          <w:footerReference r:id="rId4" w:type="default"/>
          <w:pgSz w:w="11906" w:h="16838"/>
          <w:pgMar w:top="2098" w:right="1474" w:bottom="1984" w:left="1587" w:header="851" w:footer="992" w:gutter="0"/>
          <w:pgNumType w:fmt="numberInDash"/>
          <w:cols w:space="720" w:num="1"/>
          <w:docGrid w:type="lines" w:linePitch="312" w:charSpace="0"/>
        </w:sectPr>
      </w:pPr>
    </w:p>
    <w:p>
      <w:pPr>
        <w:suppressAutoHyphens/>
        <w:rPr>
          <w:rFonts w:hint="eastAsia" w:ascii="Times New Roman" w:hAnsi="Times New Roman" w:eastAsia="黑体"/>
          <w:sz w:val="32"/>
          <w:szCs w:val="32"/>
          <w:lang w:val="en-US" w:eastAsia="zh-CN"/>
        </w:rPr>
      </w:pPr>
      <w:r>
        <w:rPr>
          <w:rFonts w:ascii="Times New Roman" w:hAnsi="Times New Roman" w:eastAsia="黑体"/>
          <w:sz w:val="32"/>
          <w:szCs w:val="32"/>
        </w:rPr>
        <w:t>附件</w:t>
      </w:r>
      <w:r>
        <w:rPr>
          <w:rFonts w:hint="eastAsia" w:ascii="Times New Roman" w:hAnsi="Times New Roman" w:eastAsia="黑体"/>
          <w:sz w:val="32"/>
          <w:szCs w:val="32"/>
          <w:lang w:val="en-US" w:eastAsia="zh-CN"/>
        </w:rPr>
        <w:t>1</w:t>
      </w:r>
    </w:p>
    <w:p>
      <w:pPr>
        <w:suppressAutoHyphens/>
        <w:adjustRightInd w:val="0"/>
        <w:spacing w:after="120" w:line="500" w:lineRule="exact"/>
        <w:ind w:firstLine="624"/>
        <w:jc w:val="center"/>
        <w:rPr>
          <w:rFonts w:ascii="Times New Roman" w:hAnsi="Times New Roman" w:eastAsia="方正小标宋简体"/>
          <w:color w:val="000000"/>
          <w:kern w:val="0"/>
          <w:sz w:val="36"/>
          <w:szCs w:val="36"/>
          <w:lang w:bidi="ar"/>
        </w:rPr>
      </w:pPr>
      <w:r>
        <w:rPr>
          <w:rFonts w:hint="eastAsia" w:ascii="Times New Roman" w:hAnsi="Times New Roman" w:eastAsia="方正小标宋简体"/>
          <w:color w:val="000000"/>
          <w:kern w:val="0"/>
          <w:sz w:val="36"/>
          <w:szCs w:val="36"/>
          <w:lang w:val="en-US" w:eastAsia="zh-CN" w:bidi="ar"/>
        </w:rPr>
        <w:t>北京市</w:t>
      </w:r>
      <w:r>
        <w:rPr>
          <w:rFonts w:ascii="Times New Roman" w:hAnsi="Times New Roman" w:eastAsia="方正小标宋简体"/>
          <w:color w:val="000000"/>
          <w:kern w:val="0"/>
          <w:sz w:val="36"/>
          <w:szCs w:val="36"/>
          <w:lang w:bidi="ar"/>
        </w:rPr>
        <w:t>工伤保险医疗、康复机构</w:t>
      </w:r>
      <w:r>
        <w:rPr>
          <w:rFonts w:hint="eastAsia" w:ascii="Times New Roman" w:hAnsi="Times New Roman" w:eastAsia="方正小标宋简体"/>
          <w:color w:val="000000"/>
          <w:kern w:val="0"/>
          <w:sz w:val="36"/>
          <w:szCs w:val="36"/>
          <w:lang w:val="en-US" w:eastAsia="zh-CN" w:bidi="ar"/>
        </w:rPr>
        <w:t>年度</w:t>
      </w:r>
      <w:r>
        <w:rPr>
          <w:rFonts w:ascii="Times New Roman" w:hAnsi="Times New Roman" w:eastAsia="方正小标宋简体"/>
          <w:color w:val="000000"/>
          <w:kern w:val="0"/>
          <w:sz w:val="36"/>
          <w:szCs w:val="36"/>
          <w:lang w:bidi="ar"/>
        </w:rPr>
        <w:t>考核评分表</w:t>
      </w:r>
    </w:p>
    <w:p>
      <w:pPr>
        <w:suppressAutoHyphens/>
        <w:ind w:firstLine="624"/>
        <w:rPr>
          <w:rFonts w:ascii="Times New Roman" w:hAnsi="Times New Roman" w:eastAsia="仿宋_GB2312"/>
          <w:color w:val="000000"/>
          <w:kern w:val="0"/>
          <w:sz w:val="24"/>
          <w:lang w:bidi="ar"/>
        </w:rPr>
      </w:pPr>
      <w:r>
        <w:rPr>
          <w:rFonts w:hint="eastAsia" w:ascii="Times New Roman" w:hAnsi="Times New Roman" w:eastAsia="仿宋_GB2312"/>
          <w:color w:val="000000"/>
          <w:kern w:val="0"/>
          <w:sz w:val="24"/>
          <w:lang w:val="en-US" w:eastAsia="zh-CN" w:bidi="ar"/>
        </w:rPr>
        <w:t>服务</w:t>
      </w:r>
      <w:r>
        <w:rPr>
          <w:rFonts w:hint="eastAsia" w:ascii="Times New Roman" w:hAnsi="Times New Roman" w:eastAsia="仿宋_GB2312"/>
          <w:color w:val="000000"/>
          <w:kern w:val="0"/>
          <w:sz w:val="24"/>
          <w:lang w:eastAsia="zh-CN" w:bidi="ar"/>
        </w:rPr>
        <w:t>机构</w:t>
      </w:r>
      <w:r>
        <w:rPr>
          <w:rFonts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ab/>
      </w:r>
      <w:r>
        <w:rPr>
          <w:rFonts w:ascii="Times New Roman" w:hAnsi="Times New Roman" w:eastAsia="仿宋_GB2312"/>
          <w:color w:val="000000"/>
          <w:kern w:val="0"/>
          <w:sz w:val="24"/>
          <w:lang w:bidi="ar"/>
        </w:rPr>
        <w:tab/>
      </w:r>
      <w:r>
        <w:rPr>
          <w:rFonts w:ascii="Times New Roman" w:hAnsi="Times New Roman" w:eastAsia="仿宋_GB2312"/>
          <w:color w:val="000000"/>
          <w:kern w:val="0"/>
          <w:sz w:val="24"/>
          <w:lang w:bidi="ar"/>
        </w:rPr>
        <w:tab/>
      </w:r>
      <w:r>
        <w:rPr>
          <w:rFonts w:ascii="Times New Roman" w:hAnsi="Times New Roman" w:eastAsia="仿宋_GB2312"/>
          <w:color w:val="000000"/>
          <w:kern w:val="0"/>
          <w:sz w:val="24"/>
          <w:lang w:bidi="ar"/>
        </w:rPr>
        <w:tab/>
      </w:r>
      <w:r>
        <w:rPr>
          <w:rFonts w:ascii="Times New Roman" w:hAnsi="Times New Roman" w:eastAsia="仿宋_GB2312"/>
          <w:color w:val="000000"/>
          <w:kern w:val="0"/>
          <w:sz w:val="24"/>
          <w:lang w:bidi="ar"/>
        </w:rPr>
        <w:tab/>
      </w:r>
      <w:r>
        <w:rPr>
          <w:rFonts w:ascii="Times New Roman" w:hAnsi="Times New Roman" w:eastAsia="仿宋_GB2312"/>
          <w:color w:val="000000"/>
          <w:kern w:val="0"/>
          <w:sz w:val="24"/>
          <w:lang w:bidi="ar"/>
        </w:rPr>
        <w:tab/>
      </w:r>
      <w:r>
        <w:rPr>
          <w:rFonts w:ascii="Times New Roman" w:hAnsi="Times New Roman" w:eastAsia="仿宋_GB2312"/>
          <w:color w:val="000000"/>
          <w:kern w:val="0"/>
          <w:sz w:val="24"/>
          <w:lang w:bidi="ar"/>
        </w:rPr>
        <w:tab/>
      </w:r>
      <w:r>
        <w:rPr>
          <w:rFonts w:ascii="Times New Roman" w:hAnsi="Times New Roman" w:eastAsia="仿宋_GB2312"/>
          <w:color w:val="000000"/>
          <w:kern w:val="0"/>
          <w:sz w:val="24"/>
          <w:lang w:bidi="ar"/>
        </w:rPr>
        <w:tab/>
      </w:r>
      <w:r>
        <w:rPr>
          <w:rFonts w:ascii="Times New Roman" w:hAnsi="Times New Roman" w:eastAsia="仿宋_GB2312"/>
          <w:color w:val="000000"/>
          <w:kern w:val="0"/>
          <w:sz w:val="24"/>
          <w:lang w:bidi="ar"/>
        </w:rPr>
        <w:tab/>
      </w:r>
      <w:r>
        <w:rPr>
          <w:rFonts w:ascii="Times New Roman" w:hAnsi="Times New Roman" w:eastAsia="仿宋_GB2312"/>
          <w:color w:val="000000"/>
          <w:kern w:val="0"/>
          <w:sz w:val="24"/>
          <w:lang w:bidi="ar"/>
        </w:rPr>
        <w:tab/>
      </w:r>
      <w:r>
        <w:rPr>
          <w:rFonts w:ascii="Times New Roman" w:hAnsi="Times New Roman" w:eastAsia="仿宋_GB2312"/>
          <w:color w:val="000000"/>
          <w:kern w:val="0"/>
          <w:sz w:val="24"/>
          <w:lang w:bidi="ar"/>
        </w:rPr>
        <w:tab/>
      </w:r>
      <w:r>
        <w:rPr>
          <w:rFonts w:ascii="Times New Roman" w:hAnsi="Times New Roman" w:eastAsia="仿宋_GB2312"/>
          <w:color w:val="000000"/>
          <w:kern w:val="0"/>
          <w:sz w:val="24"/>
          <w:lang w:bidi="ar"/>
        </w:rPr>
        <w:tab/>
      </w:r>
      <w:r>
        <w:rPr>
          <w:rFonts w:ascii="Times New Roman" w:hAnsi="Times New Roman" w:eastAsia="仿宋_GB2312"/>
          <w:color w:val="000000"/>
          <w:kern w:val="0"/>
          <w:sz w:val="24"/>
          <w:lang w:bidi="ar"/>
        </w:rPr>
        <w:tab/>
      </w:r>
      <w:r>
        <w:rPr>
          <w:rFonts w:ascii="Times New Roman" w:hAnsi="Times New Roman" w:eastAsia="仿宋_GB2312"/>
          <w:color w:val="000000"/>
          <w:kern w:val="0"/>
          <w:sz w:val="24"/>
          <w:lang w:bidi="ar"/>
        </w:rPr>
        <w:tab/>
      </w:r>
      <w:r>
        <w:rPr>
          <w:rFonts w:ascii="Times New Roman" w:hAnsi="Times New Roman" w:eastAsia="仿宋_GB2312"/>
          <w:color w:val="000000"/>
          <w:kern w:val="0"/>
          <w:sz w:val="24"/>
          <w:lang w:bidi="ar"/>
        </w:rPr>
        <w:tab/>
      </w:r>
      <w:r>
        <w:rPr>
          <w:rFonts w:ascii="Times New Roman" w:hAnsi="Times New Roman" w:eastAsia="仿宋_GB2312"/>
          <w:color w:val="000000"/>
          <w:kern w:val="0"/>
          <w:sz w:val="24"/>
          <w:lang w:bidi="ar"/>
        </w:rPr>
        <w:tab/>
      </w:r>
      <w:r>
        <w:rPr>
          <w:rFonts w:ascii="Times New Roman" w:hAnsi="Times New Roman" w:eastAsia="仿宋_GB2312"/>
          <w:color w:val="000000"/>
          <w:kern w:val="0"/>
          <w:sz w:val="24"/>
          <w:lang w:bidi="ar"/>
        </w:rPr>
        <w:tab/>
      </w:r>
      <w:r>
        <w:rPr>
          <w:rFonts w:ascii="Times New Roman" w:hAnsi="Times New Roman" w:eastAsia="仿宋_GB2312"/>
          <w:color w:val="000000"/>
          <w:kern w:val="0"/>
          <w:sz w:val="24"/>
          <w:lang w:bidi="ar"/>
        </w:rPr>
        <w:tab/>
      </w:r>
      <w:r>
        <w:rPr>
          <w:rFonts w:ascii="Times New Roman" w:hAnsi="Times New Roman" w:eastAsia="仿宋_GB2312"/>
          <w:color w:val="000000"/>
          <w:kern w:val="0"/>
          <w:sz w:val="24"/>
          <w:lang w:bidi="ar"/>
        </w:rPr>
        <w:tab/>
      </w:r>
      <w:r>
        <w:rPr>
          <w:rFonts w:ascii="Times New Roman" w:hAnsi="Times New Roman" w:eastAsia="仿宋_GB2312"/>
          <w:color w:val="000000"/>
          <w:kern w:val="0"/>
          <w:sz w:val="24"/>
          <w:lang w:bidi="ar"/>
        </w:rPr>
        <w:tab/>
      </w:r>
      <w:r>
        <w:rPr>
          <w:rFonts w:ascii="Times New Roman" w:hAnsi="Times New Roman" w:eastAsia="仿宋_GB2312"/>
          <w:color w:val="000000"/>
          <w:kern w:val="0"/>
          <w:sz w:val="24"/>
          <w:lang w:bidi="ar"/>
        </w:rPr>
        <w:tab/>
      </w:r>
      <w:r>
        <w:rPr>
          <w:rFonts w:ascii="Times New Roman" w:hAnsi="Times New Roman" w:eastAsia="仿宋_GB2312"/>
          <w:color w:val="000000"/>
          <w:kern w:val="0"/>
          <w:sz w:val="24"/>
          <w:lang w:bidi="ar"/>
        </w:rPr>
        <w:tab/>
      </w:r>
      <w:r>
        <w:rPr>
          <w:rFonts w:ascii="Times New Roman" w:hAnsi="Times New Roman" w:eastAsia="仿宋_GB2312"/>
          <w:color w:val="000000"/>
          <w:kern w:val="0"/>
          <w:sz w:val="24"/>
          <w:lang w:bidi="ar"/>
        </w:rPr>
        <w:t>评估日期：</w:t>
      </w:r>
      <w:r>
        <w:rPr>
          <w:rFonts w:ascii="Times New Roman" w:hAnsi="Times New Roman" w:eastAsia="仿宋_GB2312"/>
          <w:color w:val="000000"/>
          <w:kern w:val="0"/>
          <w:sz w:val="24"/>
          <w:lang w:bidi="ar"/>
        </w:rPr>
        <w:tab/>
      </w:r>
      <w:r>
        <w:rPr>
          <w:rFonts w:ascii="Times New Roman" w:hAnsi="Times New Roman" w:eastAsia="仿宋_GB2312"/>
          <w:color w:val="000000"/>
          <w:kern w:val="0"/>
          <w:sz w:val="24"/>
          <w:lang w:bidi="ar"/>
        </w:rPr>
        <w:tab/>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000"/>
        <w:gridCol w:w="1200"/>
        <w:gridCol w:w="5712"/>
        <w:gridCol w:w="1725"/>
        <w:gridCol w:w="2588"/>
        <w:gridCol w:w="725"/>
        <w:gridCol w:w="7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pPr>
              <w:widowControl/>
              <w:suppressAutoHyphens/>
              <w:spacing w:line="320" w:lineRule="exact"/>
              <w:jc w:val="center"/>
              <w:textAlignment w:val="center"/>
              <w:rPr>
                <w:rFonts w:hint="eastAsia" w:ascii="黑体" w:hAnsi="黑体" w:eastAsia="黑体" w:cs="黑体"/>
                <w:color w:val="000000"/>
                <w:kern w:val="0"/>
                <w:sz w:val="24"/>
                <w:lang w:val="en-US" w:eastAsia="zh-CN" w:bidi="ar"/>
              </w:rPr>
            </w:pPr>
            <w:r>
              <w:rPr>
                <w:rFonts w:hint="eastAsia" w:ascii="黑体" w:hAnsi="黑体" w:eastAsia="黑体" w:cs="黑体"/>
                <w:color w:val="000000"/>
                <w:kern w:val="0"/>
                <w:sz w:val="24"/>
                <w:lang w:val="en-US" w:eastAsia="zh-CN" w:bidi="ar"/>
              </w:rPr>
              <w:t>序号</w:t>
            </w:r>
          </w:p>
        </w:tc>
        <w:tc>
          <w:tcPr>
            <w:tcW w:w="1000" w:type="dxa"/>
            <w:noWrap w:val="0"/>
            <w:vAlign w:val="center"/>
          </w:tcPr>
          <w:p>
            <w:pPr>
              <w:widowControl/>
              <w:suppressAutoHyphens/>
              <w:spacing w:line="320" w:lineRule="exact"/>
              <w:jc w:val="center"/>
              <w:textAlignment w:val="center"/>
              <w:rPr>
                <w:rFonts w:hint="eastAsia" w:ascii="黑体" w:hAnsi="黑体" w:eastAsia="黑体" w:cs="黑体"/>
                <w:color w:val="000000"/>
                <w:kern w:val="0"/>
                <w:sz w:val="24"/>
                <w:lang w:val="en-US" w:eastAsia="zh-CN" w:bidi="ar"/>
              </w:rPr>
            </w:pPr>
            <w:r>
              <w:rPr>
                <w:rFonts w:hint="eastAsia" w:ascii="黑体" w:hAnsi="黑体" w:eastAsia="黑体" w:cs="黑体"/>
                <w:color w:val="000000"/>
                <w:kern w:val="0"/>
                <w:sz w:val="24"/>
                <w:lang w:val="en-US" w:eastAsia="zh-CN" w:bidi="ar"/>
              </w:rPr>
              <w:t>项目</w:t>
            </w:r>
          </w:p>
        </w:tc>
        <w:tc>
          <w:tcPr>
            <w:tcW w:w="1200" w:type="dxa"/>
            <w:noWrap w:val="0"/>
            <w:vAlign w:val="center"/>
          </w:tcPr>
          <w:p>
            <w:pPr>
              <w:widowControl/>
              <w:suppressAutoHyphens/>
              <w:spacing w:line="320" w:lineRule="exact"/>
              <w:jc w:val="center"/>
              <w:textAlignment w:val="center"/>
              <w:rPr>
                <w:rFonts w:hint="eastAsia" w:ascii="黑体" w:hAnsi="黑体" w:eastAsia="黑体" w:cs="黑体"/>
                <w:color w:val="000000"/>
                <w:kern w:val="0"/>
                <w:sz w:val="24"/>
                <w:lang w:val="en-US" w:eastAsia="zh-CN" w:bidi="ar"/>
              </w:rPr>
            </w:pPr>
            <w:r>
              <w:rPr>
                <w:rFonts w:hint="eastAsia" w:ascii="黑体" w:hAnsi="黑体" w:eastAsia="黑体" w:cs="黑体"/>
                <w:color w:val="000000"/>
                <w:kern w:val="0"/>
                <w:sz w:val="24"/>
                <w:lang w:val="en-US" w:eastAsia="zh-CN" w:bidi="ar"/>
              </w:rPr>
              <w:t>考核内容</w:t>
            </w:r>
          </w:p>
        </w:tc>
        <w:tc>
          <w:tcPr>
            <w:tcW w:w="5712" w:type="dxa"/>
            <w:noWrap w:val="0"/>
            <w:vAlign w:val="center"/>
          </w:tcPr>
          <w:p>
            <w:pPr>
              <w:widowControl/>
              <w:suppressAutoHyphens/>
              <w:spacing w:line="320" w:lineRule="exact"/>
              <w:jc w:val="center"/>
              <w:textAlignment w:val="center"/>
              <w:rPr>
                <w:rFonts w:hint="eastAsia" w:ascii="黑体" w:hAnsi="黑体" w:eastAsia="黑体" w:cs="黑体"/>
                <w:color w:val="000000"/>
                <w:kern w:val="0"/>
                <w:sz w:val="24"/>
                <w:lang w:val="en-US" w:eastAsia="zh-CN" w:bidi="ar"/>
              </w:rPr>
            </w:pPr>
            <w:r>
              <w:rPr>
                <w:rFonts w:hint="eastAsia" w:ascii="黑体" w:hAnsi="黑体" w:eastAsia="黑体" w:cs="黑体"/>
                <w:color w:val="000000"/>
                <w:kern w:val="0"/>
                <w:sz w:val="24"/>
                <w:lang w:val="en-US" w:eastAsia="zh-CN" w:bidi="ar"/>
              </w:rPr>
              <w:t>基本要求</w:t>
            </w:r>
          </w:p>
        </w:tc>
        <w:tc>
          <w:tcPr>
            <w:tcW w:w="1725" w:type="dxa"/>
            <w:noWrap w:val="0"/>
            <w:vAlign w:val="center"/>
          </w:tcPr>
          <w:p>
            <w:pPr>
              <w:widowControl/>
              <w:suppressAutoHyphens/>
              <w:spacing w:line="320" w:lineRule="exact"/>
              <w:jc w:val="center"/>
              <w:textAlignment w:val="center"/>
              <w:rPr>
                <w:rFonts w:hint="eastAsia" w:ascii="黑体" w:hAnsi="黑体" w:eastAsia="黑体" w:cs="黑体"/>
                <w:color w:val="000000"/>
                <w:kern w:val="0"/>
                <w:sz w:val="24"/>
                <w:lang w:val="en-US" w:eastAsia="zh-CN" w:bidi="ar"/>
              </w:rPr>
            </w:pPr>
            <w:r>
              <w:rPr>
                <w:rFonts w:hint="eastAsia" w:ascii="黑体" w:hAnsi="黑体" w:eastAsia="黑体" w:cs="黑体"/>
                <w:color w:val="000000"/>
                <w:kern w:val="0"/>
                <w:sz w:val="24"/>
                <w:lang w:val="en-US" w:eastAsia="zh-CN" w:bidi="ar"/>
              </w:rPr>
              <w:t>检查方法</w:t>
            </w:r>
          </w:p>
        </w:tc>
        <w:tc>
          <w:tcPr>
            <w:tcW w:w="2588" w:type="dxa"/>
            <w:noWrap w:val="0"/>
            <w:vAlign w:val="center"/>
          </w:tcPr>
          <w:p>
            <w:pPr>
              <w:widowControl/>
              <w:suppressAutoHyphens/>
              <w:spacing w:line="320" w:lineRule="exact"/>
              <w:jc w:val="center"/>
              <w:textAlignment w:val="center"/>
              <w:rPr>
                <w:rFonts w:hint="eastAsia" w:ascii="黑体" w:hAnsi="黑体" w:eastAsia="黑体" w:cs="黑体"/>
                <w:color w:val="000000"/>
                <w:kern w:val="0"/>
                <w:sz w:val="24"/>
                <w:lang w:val="en-US" w:eastAsia="zh-CN" w:bidi="ar"/>
              </w:rPr>
            </w:pPr>
            <w:r>
              <w:rPr>
                <w:rFonts w:hint="eastAsia" w:ascii="黑体" w:hAnsi="黑体" w:eastAsia="黑体" w:cs="黑体"/>
                <w:color w:val="000000"/>
                <w:kern w:val="0"/>
                <w:sz w:val="24"/>
                <w:lang w:val="en-US" w:eastAsia="zh-CN" w:bidi="ar"/>
              </w:rPr>
              <w:t>评分标准</w:t>
            </w:r>
          </w:p>
        </w:tc>
        <w:tc>
          <w:tcPr>
            <w:tcW w:w="725" w:type="dxa"/>
            <w:noWrap w:val="0"/>
            <w:vAlign w:val="center"/>
          </w:tcPr>
          <w:p>
            <w:pPr>
              <w:widowControl/>
              <w:suppressAutoHyphens/>
              <w:spacing w:line="320" w:lineRule="exact"/>
              <w:jc w:val="center"/>
              <w:textAlignment w:val="center"/>
              <w:rPr>
                <w:rFonts w:hint="eastAsia" w:ascii="黑体" w:hAnsi="黑体" w:eastAsia="黑体" w:cs="黑体"/>
                <w:color w:val="000000"/>
                <w:kern w:val="0"/>
                <w:sz w:val="24"/>
                <w:lang w:val="en-US" w:eastAsia="zh-CN" w:bidi="ar"/>
              </w:rPr>
            </w:pPr>
            <w:r>
              <w:rPr>
                <w:rFonts w:hint="eastAsia" w:ascii="黑体" w:hAnsi="黑体" w:eastAsia="黑体" w:cs="黑体"/>
                <w:color w:val="000000"/>
                <w:kern w:val="0"/>
                <w:sz w:val="24"/>
                <w:lang w:val="en-US" w:eastAsia="zh-CN" w:bidi="ar"/>
              </w:rPr>
              <w:t>基本分值</w:t>
            </w:r>
          </w:p>
        </w:tc>
        <w:tc>
          <w:tcPr>
            <w:tcW w:w="700" w:type="dxa"/>
            <w:noWrap w:val="0"/>
            <w:vAlign w:val="center"/>
          </w:tcPr>
          <w:p>
            <w:pPr>
              <w:suppressAutoHyphens/>
              <w:spacing w:line="320" w:lineRule="exact"/>
              <w:jc w:val="center"/>
              <w:rPr>
                <w:rFonts w:hint="eastAsia" w:ascii="黑体" w:hAnsi="黑体" w:eastAsia="黑体" w:cs="黑体"/>
                <w:color w:val="000000"/>
                <w:sz w:val="24"/>
                <w:lang w:val="en-US" w:eastAsia="zh-CN"/>
              </w:rPr>
            </w:pPr>
            <w:r>
              <w:rPr>
                <w:rFonts w:hint="eastAsia" w:ascii="黑体" w:hAnsi="黑体" w:eastAsia="黑体" w:cs="黑体"/>
                <w:color w:val="000000"/>
                <w:sz w:val="24"/>
                <w:lang w:val="en-US" w:eastAsia="zh-CN"/>
              </w:rPr>
              <w:t>扣分依据</w:t>
            </w:r>
          </w:p>
        </w:tc>
        <w:tc>
          <w:tcPr>
            <w:tcW w:w="718" w:type="dxa"/>
            <w:noWrap w:val="0"/>
            <w:vAlign w:val="center"/>
          </w:tcPr>
          <w:p>
            <w:pPr>
              <w:suppressAutoHyphens/>
              <w:spacing w:line="320" w:lineRule="exact"/>
              <w:jc w:val="center"/>
              <w:rPr>
                <w:rFonts w:hint="eastAsia" w:ascii="黑体" w:hAnsi="黑体" w:eastAsia="黑体" w:cs="黑体"/>
                <w:color w:val="000000"/>
                <w:sz w:val="24"/>
                <w:lang w:val="en-US" w:eastAsia="zh-CN"/>
              </w:rPr>
            </w:pPr>
            <w:r>
              <w:rPr>
                <w:rFonts w:hint="eastAsia" w:ascii="黑体" w:hAnsi="黑体" w:eastAsia="黑体" w:cs="黑体"/>
                <w:color w:val="000000"/>
                <w:sz w:val="24"/>
                <w:lang w:val="en-US" w:eastAsia="zh-CN"/>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5153" w:type="dxa"/>
            <w:gridSpan w:val="9"/>
            <w:noWrap w:val="0"/>
            <w:vAlign w:val="center"/>
          </w:tcPr>
          <w:p>
            <w:pPr>
              <w:suppressAutoHyphens/>
              <w:spacing w:line="320" w:lineRule="exact"/>
              <w:jc w:val="left"/>
              <w:rPr>
                <w:rFonts w:hint="eastAsia" w:ascii="Times New Roman" w:hAnsi="Times New Roman" w:eastAsia="仿宋_GB2312"/>
                <w:color w:val="000000"/>
                <w:sz w:val="24"/>
                <w:lang w:val="en-US" w:eastAsia="zh-CN"/>
              </w:rPr>
            </w:pPr>
            <w:r>
              <w:rPr>
                <w:rFonts w:ascii="Times New Roman" w:hAnsi="Times New Roman" w:eastAsia="黑体"/>
                <w:color w:val="000000"/>
                <w:kern w:val="0"/>
                <w:sz w:val="24"/>
                <w:lang w:bidi="ar"/>
              </w:rPr>
              <w:t>一、基础评分事项（100分）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noWrap w:val="0"/>
            <w:vAlign w:val="center"/>
          </w:tcPr>
          <w:p>
            <w:pPr>
              <w:widowControl/>
              <w:suppressAutoHyphens/>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1</w:t>
            </w:r>
          </w:p>
        </w:tc>
        <w:tc>
          <w:tcPr>
            <w:tcW w:w="1000" w:type="dxa"/>
            <w:vMerge w:val="restart"/>
            <w:noWrap w:val="0"/>
            <w:vAlign w:val="center"/>
          </w:tcPr>
          <w:p>
            <w:pPr>
              <w:widowControl/>
              <w:suppressAutoHyphens/>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工伤保险医疗服务管理组织及工作情况</w:t>
            </w:r>
            <w:r>
              <w:rPr>
                <w:rFonts w:ascii="Times New Roman" w:hAnsi="Times New Roman" w:eastAsia="仿宋_GB2312"/>
                <w:color w:val="000000"/>
                <w:kern w:val="0"/>
                <w:sz w:val="24"/>
                <w:lang w:bidi="ar"/>
              </w:rPr>
              <w:br w:type="textWrapping"/>
            </w:r>
            <w:r>
              <w:rPr>
                <w:rFonts w:ascii="Times New Roman" w:hAnsi="Times New Roman" w:eastAsia="仿宋_GB2312"/>
                <w:color w:val="000000"/>
                <w:spacing w:val="-12"/>
                <w:kern w:val="0"/>
                <w:sz w:val="24"/>
                <w:highlight w:val="none"/>
                <w:lang w:bidi="ar"/>
              </w:rPr>
              <w:t>（15分）</w:t>
            </w:r>
          </w:p>
        </w:tc>
        <w:tc>
          <w:tcPr>
            <w:tcW w:w="1200" w:type="dxa"/>
            <w:vMerge w:val="restart"/>
            <w:noWrap w:val="0"/>
            <w:vAlign w:val="center"/>
          </w:tcPr>
          <w:p>
            <w:pPr>
              <w:widowControl/>
              <w:suppressAutoHyphens/>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服务管理组织、制度、人员配备</w:t>
            </w:r>
          </w:p>
        </w:tc>
        <w:tc>
          <w:tcPr>
            <w:tcW w:w="5712" w:type="dxa"/>
            <w:noWrap w:val="0"/>
            <w:vAlign w:val="center"/>
          </w:tcPr>
          <w:p>
            <w:pPr>
              <w:widowControl/>
              <w:suppressAutoHyphens/>
              <w:spacing w:line="320" w:lineRule="exact"/>
              <w:jc w:val="both"/>
              <w:textAlignment w:val="center"/>
              <w:rPr>
                <w:rFonts w:ascii="Times New Roman" w:hAnsi="Times New Roman" w:eastAsia="仿宋_GB2312"/>
                <w:color w:val="000000"/>
                <w:sz w:val="24"/>
              </w:rPr>
            </w:pPr>
            <w:r>
              <w:rPr>
                <w:rFonts w:ascii="Times New Roman" w:hAnsi="Times New Roman" w:eastAsia="宋体"/>
                <w:color w:val="000000"/>
                <w:kern w:val="0"/>
                <w:sz w:val="24"/>
                <w:lang w:bidi="ar"/>
              </w:rPr>
              <w:t>①</w:t>
            </w:r>
            <w:r>
              <w:rPr>
                <w:rFonts w:ascii="Times New Roman" w:hAnsi="Times New Roman" w:eastAsia="仿宋_GB2312"/>
                <w:color w:val="000000"/>
                <w:kern w:val="0"/>
                <w:sz w:val="24"/>
                <w:lang w:bidi="ar"/>
              </w:rPr>
              <w:t>必须有一名院级领导分管工伤医疗工作；有专职或兼职的工伤医疗服务管理人员，医务科必须参与工伤保险医疗服务的管理。</w:t>
            </w:r>
          </w:p>
        </w:tc>
        <w:tc>
          <w:tcPr>
            <w:tcW w:w="1725" w:type="dxa"/>
            <w:noWrap w:val="0"/>
            <w:vAlign w:val="center"/>
          </w:tcPr>
          <w:p>
            <w:pPr>
              <w:widowControl/>
              <w:suppressAutoHyphens/>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查看书面材料及现场考察</w:t>
            </w:r>
          </w:p>
        </w:tc>
        <w:tc>
          <w:tcPr>
            <w:tcW w:w="2588" w:type="dxa"/>
            <w:noWrap w:val="0"/>
            <w:vAlign w:val="center"/>
          </w:tcPr>
          <w:p>
            <w:pPr>
              <w:widowControl/>
              <w:suppressAutoHyphens/>
              <w:spacing w:line="32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每缺一项扣1分，扣完为止。</w:t>
            </w:r>
          </w:p>
        </w:tc>
        <w:tc>
          <w:tcPr>
            <w:tcW w:w="725" w:type="dxa"/>
            <w:noWrap w:val="0"/>
            <w:vAlign w:val="center"/>
          </w:tcPr>
          <w:p>
            <w:pPr>
              <w:widowControl/>
              <w:suppressAutoHyphens/>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2</w:t>
            </w:r>
          </w:p>
        </w:tc>
        <w:tc>
          <w:tcPr>
            <w:tcW w:w="700" w:type="dxa"/>
            <w:noWrap w:val="0"/>
            <w:vAlign w:val="center"/>
          </w:tcPr>
          <w:p>
            <w:pPr>
              <w:suppressAutoHyphens/>
              <w:spacing w:line="320" w:lineRule="exact"/>
              <w:jc w:val="left"/>
              <w:rPr>
                <w:rFonts w:ascii="Times New Roman" w:hAnsi="Times New Roman" w:eastAsia="仿宋_GB2312"/>
                <w:color w:val="000000"/>
                <w:sz w:val="24"/>
              </w:rPr>
            </w:pPr>
          </w:p>
        </w:tc>
        <w:tc>
          <w:tcPr>
            <w:tcW w:w="718" w:type="dxa"/>
            <w:noWrap w:val="0"/>
            <w:vAlign w:val="center"/>
          </w:tcPr>
          <w:p>
            <w:pPr>
              <w:suppressAutoHyphens/>
              <w:spacing w:line="320" w:lineRule="exact"/>
              <w:jc w:val="lef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noWrap w:val="0"/>
            <w:vAlign w:val="center"/>
          </w:tcPr>
          <w:p>
            <w:pPr>
              <w:widowControl/>
              <w:suppressAutoHyphens/>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2</w:t>
            </w:r>
          </w:p>
        </w:tc>
        <w:tc>
          <w:tcPr>
            <w:tcW w:w="1000" w:type="dxa"/>
            <w:vMerge w:val="continue"/>
            <w:noWrap w:val="0"/>
            <w:vAlign w:val="center"/>
          </w:tcPr>
          <w:p>
            <w:pPr>
              <w:suppressAutoHyphens/>
              <w:spacing w:line="320" w:lineRule="exact"/>
              <w:jc w:val="center"/>
              <w:rPr>
                <w:rFonts w:ascii="Times New Roman" w:hAnsi="Times New Roman" w:eastAsia="仿宋_GB2312"/>
                <w:color w:val="000000"/>
                <w:sz w:val="24"/>
              </w:rPr>
            </w:pPr>
          </w:p>
        </w:tc>
        <w:tc>
          <w:tcPr>
            <w:tcW w:w="1200" w:type="dxa"/>
            <w:vMerge w:val="continue"/>
            <w:noWrap w:val="0"/>
            <w:vAlign w:val="center"/>
          </w:tcPr>
          <w:p>
            <w:pPr>
              <w:suppressAutoHyphens/>
              <w:spacing w:line="320" w:lineRule="exact"/>
              <w:jc w:val="center"/>
              <w:rPr>
                <w:rFonts w:ascii="Times New Roman" w:hAnsi="Times New Roman" w:eastAsia="仿宋_GB2312"/>
                <w:color w:val="000000"/>
                <w:sz w:val="24"/>
              </w:rPr>
            </w:pPr>
          </w:p>
        </w:tc>
        <w:tc>
          <w:tcPr>
            <w:tcW w:w="5712" w:type="dxa"/>
            <w:noWrap w:val="0"/>
            <w:vAlign w:val="center"/>
          </w:tcPr>
          <w:p>
            <w:pPr>
              <w:widowControl/>
              <w:suppressAutoHyphens/>
              <w:spacing w:line="320" w:lineRule="exact"/>
              <w:jc w:val="left"/>
              <w:textAlignment w:val="center"/>
              <w:rPr>
                <w:rFonts w:ascii="Times New Roman" w:hAnsi="Times New Roman" w:eastAsia="仿宋_GB2312"/>
                <w:color w:val="000000"/>
                <w:sz w:val="24"/>
              </w:rPr>
            </w:pPr>
            <w:r>
              <w:rPr>
                <w:rFonts w:ascii="Times New Roman" w:hAnsi="Times New Roman" w:eastAsia="宋体"/>
                <w:color w:val="000000"/>
                <w:kern w:val="0"/>
                <w:sz w:val="24"/>
                <w:lang w:bidi="ar"/>
              </w:rPr>
              <w:t>②</w:t>
            </w:r>
            <w:r>
              <w:rPr>
                <w:rFonts w:ascii="Times New Roman" w:hAnsi="Times New Roman" w:eastAsia="仿宋_GB2312"/>
                <w:color w:val="000000"/>
                <w:kern w:val="0"/>
                <w:sz w:val="24"/>
                <w:lang w:bidi="ar"/>
              </w:rPr>
              <w:t>有工伤医疗服务的管理制度、妥善保管服务协议。</w:t>
            </w:r>
          </w:p>
        </w:tc>
        <w:tc>
          <w:tcPr>
            <w:tcW w:w="1725" w:type="dxa"/>
            <w:noWrap w:val="0"/>
            <w:vAlign w:val="center"/>
          </w:tcPr>
          <w:p>
            <w:pPr>
              <w:widowControl/>
              <w:suppressAutoHyphens/>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查看书面材料及现场考察</w:t>
            </w:r>
          </w:p>
        </w:tc>
        <w:tc>
          <w:tcPr>
            <w:tcW w:w="2588" w:type="dxa"/>
            <w:noWrap w:val="0"/>
            <w:vAlign w:val="center"/>
          </w:tcPr>
          <w:p>
            <w:pPr>
              <w:widowControl/>
              <w:suppressAutoHyphens/>
              <w:spacing w:line="32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每缺一项扣0.5分，扣完为止。</w:t>
            </w:r>
          </w:p>
        </w:tc>
        <w:tc>
          <w:tcPr>
            <w:tcW w:w="725" w:type="dxa"/>
            <w:noWrap w:val="0"/>
            <w:vAlign w:val="center"/>
          </w:tcPr>
          <w:p>
            <w:pPr>
              <w:widowControl/>
              <w:suppressAutoHyphens/>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1</w:t>
            </w:r>
          </w:p>
        </w:tc>
        <w:tc>
          <w:tcPr>
            <w:tcW w:w="700" w:type="dxa"/>
            <w:noWrap w:val="0"/>
            <w:vAlign w:val="center"/>
          </w:tcPr>
          <w:p>
            <w:pPr>
              <w:suppressAutoHyphens/>
              <w:spacing w:line="320" w:lineRule="exact"/>
              <w:jc w:val="left"/>
              <w:rPr>
                <w:rFonts w:ascii="Times New Roman" w:hAnsi="Times New Roman" w:eastAsia="仿宋_GB2312"/>
                <w:color w:val="000000"/>
                <w:sz w:val="24"/>
              </w:rPr>
            </w:pPr>
          </w:p>
        </w:tc>
        <w:tc>
          <w:tcPr>
            <w:tcW w:w="718" w:type="dxa"/>
            <w:noWrap w:val="0"/>
            <w:vAlign w:val="center"/>
          </w:tcPr>
          <w:p>
            <w:pPr>
              <w:suppressAutoHyphens/>
              <w:spacing w:line="320" w:lineRule="exact"/>
              <w:jc w:val="lef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noWrap w:val="0"/>
            <w:vAlign w:val="center"/>
          </w:tcPr>
          <w:p>
            <w:pPr>
              <w:widowControl/>
              <w:suppressAutoHyphens/>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3</w:t>
            </w:r>
          </w:p>
        </w:tc>
        <w:tc>
          <w:tcPr>
            <w:tcW w:w="1000" w:type="dxa"/>
            <w:vMerge w:val="continue"/>
            <w:noWrap w:val="0"/>
            <w:vAlign w:val="center"/>
          </w:tcPr>
          <w:p>
            <w:pPr>
              <w:suppressAutoHyphens/>
              <w:spacing w:line="320" w:lineRule="exact"/>
              <w:jc w:val="center"/>
              <w:rPr>
                <w:rFonts w:ascii="Times New Roman" w:hAnsi="Times New Roman" w:eastAsia="仿宋_GB2312"/>
                <w:color w:val="000000"/>
                <w:sz w:val="24"/>
              </w:rPr>
            </w:pPr>
          </w:p>
        </w:tc>
        <w:tc>
          <w:tcPr>
            <w:tcW w:w="1200" w:type="dxa"/>
            <w:vMerge w:val="restart"/>
            <w:noWrap w:val="0"/>
            <w:vAlign w:val="center"/>
          </w:tcPr>
          <w:p>
            <w:pPr>
              <w:widowControl/>
              <w:suppressAutoHyphens/>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工伤保险政策、业务学习、宣传、考核情况</w:t>
            </w:r>
          </w:p>
        </w:tc>
        <w:tc>
          <w:tcPr>
            <w:tcW w:w="5712" w:type="dxa"/>
            <w:noWrap w:val="0"/>
            <w:vAlign w:val="center"/>
          </w:tcPr>
          <w:p>
            <w:pPr>
              <w:widowControl/>
              <w:suppressAutoHyphens/>
              <w:spacing w:line="320" w:lineRule="exact"/>
              <w:jc w:val="both"/>
              <w:textAlignment w:val="center"/>
              <w:rPr>
                <w:rFonts w:ascii="Times New Roman" w:hAnsi="Times New Roman" w:eastAsia="仿宋_GB2312"/>
                <w:color w:val="000000"/>
                <w:sz w:val="24"/>
              </w:rPr>
            </w:pPr>
            <w:r>
              <w:rPr>
                <w:rFonts w:ascii="Times New Roman" w:hAnsi="Times New Roman" w:eastAsia="宋体"/>
                <w:color w:val="000000"/>
                <w:kern w:val="0"/>
                <w:sz w:val="24"/>
                <w:lang w:bidi="ar"/>
              </w:rPr>
              <w:t>①</w:t>
            </w:r>
            <w:r>
              <w:rPr>
                <w:rFonts w:ascii="Times New Roman" w:hAnsi="Times New Roman" w:eastAsia="仿宋_GB2312"/>
                <w:color w:val="000000"/>
                <w:kern w:val="0"/>
                <w:sz w:val="24"/>
                <w:lang w:bidi="ar"/>
              </w:rPr>
              <w:t>应定期组织工伤保险医疗服务管理人员和医护人员学习工伤保险政策，有书面记录材料，年度考核时对部分人员进行抽查。</w:t>
            </w:r>
          </w:p>
        </w:tc>
        <w:tc>
          <w:tcPr>
            <w:tcW w:w="1725" w:type="dxa"/>
            <w:noWrap w:val="0"/>
            <w:vAlign w:val="center"/>
          </w:tcPr>
          <w:p>
            <w:pPr>
              <w:widowControl/>
              <w:suppressAutoHyphens/>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检查有关书面材料，随机抽取部分医务人员了解情况</w:t>
            </w:r>
          </w:p>
        </w:tc>
        <w:tc>
          <w:tcPr>
            <w:tcW w:w="2588" w:type="dxa"/>
            <w:noWrap w:val="0"/>
            <w:vAlign w:val="center"/>
          </w:tcPr>
          <w:p>
            <w:pPr>
              <w:widowControl/>
              <w:suppressAutoHyphens/>
              <w:spacing w:line="32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无相关记录材料，扣1分；抽查不合格，扣1分。</w:t>
            </w:r>
          </w:p>
        </w:tc>
        <w:tc>
          <w:tcPr>
            <w:tcW w:w="725" w:type="dxa"/>
            <w:noWrap w:val="0"/>
            <w:vAlign w:val="center"/>
          </w:tcPr>
          <w:p>
            <w:pPr>
              <w:widowControl/>
              <w:suppressAutoHyphens/>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2</w:t>
            </w:r>
          </w:p>
        </w:tc>
        <w:tc>
          <w:tcPr>
            <w:tcW w:w="700" w:type="dxa"/>
            <w:noWrap w:val="0"/>
            <w:vAlign w:val="center"/>
          </w:tcPr>
          <w:p>
            <w:pPr>
              <w:suppressAutoHyphens/>
              <w:spacing w:line="320" w:lineRule="exact"/>
              <w:jc w:val="left"/>
              <w:rPr>
                <w:rFonts w:ascii="Times New Roman" w:hAnsi="Times New Roman" w:eastAsia="仿宋_GB2312"/>
                <w:color w:val="000000"/>
                <w:sz w:val="24"/>
              </w:rPr>
            </w:pPr>
          </w:p>
        </w:tc>
        <w:tc>
          <w:tcPr>
            <w:tcW w:w="718" w:type="dxa"/>
            <w:noWrap w:val="0"/>
            <w:vAlign w:val="center"/>
          </w:tcPr>
          <w:p>
            <w:pPr>
              <w:suppressAutoHyphens/>
              <w:spacing w:line="320" w:lineRule="exact"/>
              <w:jc w:val="lef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noWrap w:val="0"/>
            <w:vAlign w:val="center"/>
          </w:tcPr>
          <w:p>
            <w:pPr>
              <w:widowControl/>
              <w:suppressAutoHyphens/>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4</w:t>
            </w:r>
          </w:p>
        </w:tc>
        <w:tc>
          <w:tcPr>
            <w:tcW w:w="1000" w:type="dxa"/>
            <w:vMerge w:val="continue"/>
            <w:noWrap w:val="0"/>
            <w:vAlign w:val="center"/>
          </w:tcPr>
          <w:p>
            <w:pPr>
              <w:suppressAutoHyphens/>
              <w:spacing w:line="320" w:lineRule="exact"/>
              <w:rPr>
                <w:rFonts w:ascii="Times New Roman" w:hAnsi="Times New Roman" w:eastAsia="仿宋_GB2312"/>
                <w:color w:val="000000"/>
                <w:sz w:val="24"/>
              </w:rPr>
            </w:pPr>
          </w:p>
        </w:tc>
        <w:tc>
          <w:tcPr>
            <w:tcW w:w="1200" w:type="dxa"/>
            <w:vMerge w:val="continue"/>
            <w:noWrap w:val="0"/>
            <w:vAlign w:val="center"/>
          </w:tcPr>
          <w:p>
            <w:pPr>
              <w:suppressAutoHyphens/>
              <w:spacing w:line="320" w:lineRule="exact"/>
              <w:jc w:val="center"/>
              <w:rPr>
                <w:rFonts w:ascii="Times New Roman" w:hAnsi="Times New Roman" w:eastAsia="仿宋_GB2312"/>
                <w:color w:val="000000"/>
                <w:sz w:val="24"/>
              </w:rPr>
            </w:pPr>
          </w:p>
        </w:tc>
        <w:tc>
          <w:tcPr>
            <w:tcW w:w="5712" w:type="dxa"/>
            <w:noWrap w:val="0"/>
            <w:vAlign w:val="center"/>
          </w:tcPr>
          <w:p>
            <w:pPr>
              <w:widowControl/>
              <w:suppressAutoHyphens/>
              <w:spacing w:line="320" w:lineRule="exact"/>
              <w:jc w:val="both"/>
              <w:textAlignment w:val="center"/>
              <w:rPr>
                <w:rFonts w:ascii="Times New Roman" w:hAnsi="Times New Roman" w:eastAsia="仿宋_GB2312"/>
                <w:color w:val="000000"/>
                <w:sz w:val="24"/>
              </w:rPr>
            </w:pPr>
            <w:r>
              <w:rPr>
                <w:rFonts w:ascii="Times New Roman" w:hAnsi="Times New Roman" w:eastAsia="宋体"/>
                <w:color w:val="000000"/>
                <w:kern w:val="0"/>
                <w:sz w:val="24"/>
                <w:lang w:bidi="ar"/>
              </w:rPr>
              <w:t>②</w:t>
            </w:r>
            <w:r>
              <w:rPr>
                <w:rFonts w:ascii="Times New Roman" w:hAnsi="Times New Roman" w:eastAsia="仿宋_GB2312"/>
                <w:color w:val="000000"/>
                <w:kern w:val="0"/>
                <w:sz w:val="24"/>
                <w:lang w:bidi="ar"/>
              </w:rPr>
              <w:t>须在显要位置悬挂工伤保险</w:t>
            </w:r>
            <w:r>
              <w:rPr>
                <w:rFonts w:hint="eastAsia" w:ascii="Times New Roman" w:hAnsi="Times New Roman" w:eastAsia="仿宋_GB2312"/>
                <w:color w:val="000000"/>
                <w:kern w:val="0"/>
                <w:sz w:val="24"/>
                <w:lang w:eastAsia="zh-CN" w:bidi="ar"/>
              </w:rPr>
              <w:t>服务</w:t>
            </w:r>
            <w:r>
              <w:rPr>
                <w:rFonts w:hint="eastAsia" w:ascii="Times New Roman" w:hAnsi="Times New Roman" w:eastAsia="仿宋_GB2312"/>
                <w:color w:val="000000"/>
                <w:kern w:val="0"/>
                <w:sz w:val="24"/>
                <w:lang w:val="en-US" w:eastAsia="zh-CN" w:bidi="ar"/>
              </w:rPr>
              <w:t>机构</w:t>
            </w:r>
            <w:r>
              <w:rPr>
                <w:rFonts w:ascii="Times New Roman" w:hAnsi="Times New Roman" w:eastAsia="仿宋_GB2312"/>
                <w:color w:val="000000"/>
                <w:kern w:val="0"/>
                <w:sz w:val="24"/>
                <w:lang w:bidi="ar"/>
              </w:rPr>
              <w:t>标牌，设立工伤保险宣传栏，及时更新工伤保险政策。</w:t>
            </w:r>
          </w:p>
        </w:tc>
        <w:tc>
          <w:tcPr>
            <w:tcW w:w="1725" w:type="dxa"/>
            <w:noWrap w:val="0"/>
            <w:vAlign w:val="center"/>
          </w:tcPr>
          <w:p>
            <w:pPr>
              <w:widowControl/>
              <w:suppressAutoHyphens/>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查看书面材料及现场考察</w:t>
            </w:r>
          </w:p>
        </w:tc>
        <w:tc>
          <w:tcPr>
            <w:tcW w:w="2588" w:type="dxa"/>
            <w:noWrap w:val="0"/>
            <w:vAlign w:val="center"/>
          </w:tcPr>
          <w:p>
            <w:pPr>
              <w:widowControl/>
              <w:suppressAutoHyphens/>
              <w:spacing w:line="32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每缺一项扣1分，扣完为止。</w:t>
            </w:r>
          </w:p>
        </w:tc>
        <w:tc>
          <w:tcPr>
            <w:tcW w:w="725" w:type="dxa"/>
            <w:noWrap w:val="0"/>
            <w:vAlign w:val="center"/>
          </w:tcPr>
          <w:p>
            <w:pPr>
              <w:widowControl/>
              <w:suppressAutoHyphens/>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2</w:t>
            </w:r>
          </w:p>
        </w:tc>
        <w:tc>
          <w:tcPr>
            <w:tcW w:w="700" w:type="dxa"/>
            <w:noWrap w:val="0"/>
            <w:vAlign w:val="center"/>
          </w:tcPr>
          <w:p>
            <w:pPr>
              <w:suppressAutoHyphens/>
              <w:spacing w:line="320" w:lineRule="exact"/>
              <w:jc w:val="left"/>
              <w:rPr>
                <w:rFonts w:ascii="Times New Roman" w:hAnsi="Times New Roman" w:eastAsia="仿宋_GB2312"/>
                <w:color w:val="000000"/>
                <w:sz w:val="24"/>
              </w:rPr>
            </w:pPr>
          </w:p>
        </w:tc>
        <w:tc>
          <w:tcPr>
            <w:tcW w:w="718" w:type="dxa"/>
            <w:noWrap w:val="0"/>
            <w:vAlign w:val="center"/>
          </w:tcPr>
          <w:p>
            <w:pPr>
              <w:suppressAutoHyphens/>
              <w:spacing w:line="320" w:lineRule="exact"/>
              <w:jc w:val="lef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noWrap w:val="0"/>
            <w:vAlign w:val="center"/>
          </w:tcPr>
          <w:p>
            <w:pPr>
              <w:widowControl/>
              <w:suppressAutoHyphens/>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5</w:t>
            </w:r>
          </w:p>
        </w:tc>
        <w:tc>
          <w:tcPr>
            <w:tcW w:w="1000" w:type="dxa"/>
            <w:vMerge w:val="continue"/>
            <w:noWrap w:val="0"/>
            <w:vAlign w:val="center"/>
          </w:tcPr>
          <w:p>
            <w:pPr>
              <w:suppressAutoHyphens/>
              <w:spacing w:line="320" w:lineRule="exact"/>
              <w:rPr>
                <w:rFonts w:ascii="Times New Roman" w:hAnsi="Times New Roman" w:eastAsia="仿宋_GB2312"/>
                <w:color w:val="000000"/>
                <w:sz w:val="24"/>
              </w:rPr>
            </w:pPr>
          </w:p>
        </w:tc>
        <w:tc>
          <w:tcPr>
            <w:tcW w:w="1200" w:type="dxa"/>
            <w:vMerge w:val="restart"/>
            <w:noWrap w:val="0"/>
            <w:vAlign w:val="center"/>
          </w:tcPr>
          <w:p>
            <w:pPr>
              <w:widowControl/>
              <w:suppressAutoHyphens/>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配合、自查情况</w:t>
            </w:r>
          </w:p>
        </w:tc>
        <w:tc>
          <w:tcPr>
            <w:tcW w:w="5712" w:type="dxa"/>
            <w:noWrap w:val="0"/>
            <w:vAlign w:val="center"/>
          </w:tcPr>
          <w:p>
            <w:pPr>
              <w:widowControl/>
              <w:suppressAutoHyphens/>
              <w:spacing w:line="320" w:lineRule="exact"/>
              <w:jc w:val="both"/>
              <w:textAlignment w:val="center"/>
              <w:rPr>
                <w:rFonts w:ascii="Times New Roman" w:hAnsi="Times New Roman" w:eastAsia="仿宋_GB2312"/>
                <w:color w:val="000000"/>
                <w:sz w:val="24"/>
              </w:rPr>
            </w:pPr>
            <w:r>
              <w:rPr>
                <w:rFonts w:ascii="Times New Roman" w:hAnsi="Times New Roman" w:eastAsia="宋体"/>
                <w:color w:val="000000"/>
                <w:kern w:val="0"/>
                <w:sz w:val="24"/>
                <w:lang w:bidi="ar"/>
              </w:rPr>
              <w:t>①</w:t>
            </w:r>
            <w:r>
              <w:rPr>
                <w:rFonts w:ascii="Times New Roman" w:hAnsi="Times New Roman" w:eastAsia="仿宋_GB2312"/>
                <w:color w:val="000000"/>
                <w:kern w:val="0"/>
                <w:sz w:val="24"/>
                <w:lang w:bidi="ar"/>
              </w:rPr>
              <w:t>积极配合</w:t>
            </w:r>
            <w:r>
              <w:rPr>
                <w:rFonts w:hint="eastAsia" w:ascii="Times New Roman" w:hAnsi="Times New Roman" w:eastAsia="仿宋_GB2312"/>
                <w:color w:val="000000"/>
                <w:kern w:val="0"/>
                <w:sz w:val="24"/>
                <w:lang w:val="en-US" w:eastAsia="zh-CN" w:bidi="ar"/>
              </w:rPr>
              <w:t>社会保险</w:t>
            </w:r>
            <w:r>
              <w:rPr>
                <w:rFonts w:ascii="Times New Roman" w:hAnsi="Times New Roman" w:eastAsia="仿宋_GB2312"/>
                <w:color w:val="000000"/>
                <w:kern w:val="0"/>
                <w:sz w:val="24"/>
                <w:lang w:bidi="ar"/>
              </w:rPr>
              <w:t>行政部门或经办机构及时调取、据实出具医疗诊断证明书、医疗档案等有关医学材料。</w:t>
            </w:r>
          </w:p>
        </w:tc>
        <w:tc>
          <w:tcPr>
            <w:tcW w:w="1725" w:type="dxa"/>
            <w:noWrap w:val="0"/>
            <w:vAlign w:val="center"/>
          </w:tcPr>
          <w:p>
            <w:pPr>
              <w:widowControl/>
              <w:suppressAutoHyphens/>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平时调查</w:t>
            </w:r>
          </w:p>
        </w:tc>
        <w:tc>
          <w:tcPr>
            <w:tcW w:w="2588" w:type="dxa"/>
            <w:noWrap w:val="0"/>
            <w:vAlign w:val="center"/>
          </w:tcPr>
          <w:p>
            <w:pPr>
              <w:widowControl/>
              <w:suppressAutoHyphens/>
              <w:spacing w:line="32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不积极提供的，每缺一次扣1分，扣完为止。</w:t>
            </w:r>
          </w:p>
        </w:tc>
        <w:tc>
          <w:tcPr>
            <w:tcW w:w="725" w:type="dxa"/>
            <w:noWrap w:val="0"/>
            <w:vAlign w:val="center"/>
          </w:tcPr>
          <w:p>
            <w:pPr>
              <w:widowControl/>
              <w:suppressAutoHyphens/>
              <w:spacing w:line="320" w:lineRule="exact"/>
              <w:jc w:val="center"/>
              <w:textAlignment w:val="center"/>
              <w:rPr>
                <w:rFonts w:hint="eastAsia" w:ascii="Times New Roman" w:hAnsi="Times New Roman" w:eastAsia="仿宋_GB2312"/>
                <w:color w:val="000000"/>
                <w:sz w:val="24"/>
                <w:lang w:eastAsia="zh-CN"/>
              </w:rPr>
            </w:pPr>
            <w:r>
              <w:rPr>
                <w:rFonts w:hint="eastAsia" w:ascii="Times New Roman" w:hAnsi="Times New Roman" w:eastAsia="仿宋_GB2312"/>
                <w:color w:val="000000"/>
                <w:kern w:val="0"/>
                <w:sz w:val="24"/>
                <w:lang w:val="en-US" w:eastAsia="zh-CN" w:bidi="ar"/>
              </w:rPr>
              <w:t>3</w:t>
            </w:r>
          </w:p>
        </w:tc>
        <w:tc>
          <w:tcPr>
            <w:tcW w:w="700" w:type="dxa"/>
            <w:noWrap w:val="0"/>
            <w:vAlign w:val="center"/>
          </w:tcPr>
          <w:p>
            <w:pPr>
              <w:suppressAutoHyphens/>
              <w:spacing w:line="320" w:lineRule="exact"/>
              <w:jc w:val="left"/>
              <w:rPr>
                <w:rFonts w:ascii="Times New Roman" w:hAnsi="Times New Roman" w:eastAsia="仿宋_GB2312"/>
                <w:color w:val="000000"/>
                <w:sz w:val="24"/>
              </w:rPr>
            </w:pPr>
          </w:p>
        </w:tc>
        <w:tc>
          <w:tcPr>
            <w:tcW w:w="718" w:type="dxa"/>
            <w:noWrap w:val="0"/>
            <w:vAlign w:val="center"/>
          </w:tcPr>
          <w:p>
            <w:pPr>
              <w:suppressAutoHyphens/>
              <w:spacing w:line="320" w:lineRule="exact"/>
              <w:jc w:val="lef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noWrap w:val="0"/>
            <w:vAlign w:val="center"/>
          </w:tcPr>
          <w:p>
            <w:pPr>
              <w:widowControl/>
              <w:suppressAutoHyphens/>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6</w:t>
            </w:r>
          </w:p>
        </w:tc>
        <w:tc>
          <w:tcPr>
            <w:tcW w:w="1000" w:type="dxa"/>
            <w:vMerge w:val="continue"/>
            <w:noWrap w:val="0"/>
            <w:vAlign w:val="center"/>
          </w:tcPr>
          <w:p>
            <w:pPr>
              <w:suppressAutoHyphens/>
              <w:spacing w:line="320" w:lineRule="exact"/>
              <w:rPr>
                <w:rFonts w:ascii="Times New Roman" w:hAnsi="Times New Roman" w:eastAsia="仿宋_GB2312"/>
                <w:color w:val="000000"/>
                <w:sz w:val="24"/>
              </w:rPr>
            </w:pPr>
          </w:p>
        </w:tc>
        <w:tc>
          <w:tcPr>
            <w:tcW w:w="1200" w:type="dxa"/>
            <w:vMerge w:val="continue"/>
            <w:noWrap w:val="0"/>
            <w:vAlign w:val="center"/>
          </w:tcPr>
          <w:p>
            <w:pPr>
              <w:suppressAutoHyphens/>
              <w:spacing w:line="320" w:lineRule="exact"/>
              <w:jc w:val="center"/>
              <w:rPr>
                <w:rFonts w:ascii="Times New Roman" w:hAnsi="Times New Roman" w:eastAsia="仿宋_GB2312"/>
                <w:color w:val="000000"/>
                <w:sz w:val="24"/>
              </w:rPr>
            </w:pPr>
          </w:p>
        </w:tc>
        <w:tc>
          <w:tcPr>
            <w:tcW w:w="5712" w:type="dxa"/>
            <w:noWrap w:val="0"/>
            <w:vAlign w:val="center"/>
          </w:tcPr>
          <w:p>
            <w:pPr>
              <w:widowControl/>
              <w:suppressAutoHyphens/>
              <w:spacing w:line="320" w:lineRule="exact"/>
              <w:jc w:val="both"/>
              <w:textAlignment w:val="center"/>
              <w:rPr>
                <w:rFonts w:ascii="Times New Roman" w:hAnsi="Times New Roman" w:eastAsia="仿宋_GB2312"/>
                <w:color w:val="000000"/>
                <w:sz w:val="24"/>
              </w:rPr>
            </w:pPr>
            <w:r>
              <w:rPr>
                <w:rFonts w:ascii="Times New Roman" w:hAnsi="Times New Roman" w:eastAsia="宋体"/>
                <w:color w:val="000000"/>
                <w:kern w:val="0"/>
                <w:sz w:val="24"/>
                <w:lang w:bidi="ar"/>
              </w:rPr>
              <w:t>②</w:t>
            </w:r>
            <w:r>
              <w:rPr>
                <w:rFonts w:ascii="Times New Roman" w:hAnsi="Times New Roman" w:eastAsia="仿宋_GB2312"/>
                <w:color w:val="000000"/>
                <w:kern w:val="0"/>
                <w:sz w:val="24"/>
                <w:lang w:bidi="ar"/>
              </w:rPr>
              <w:t>积极配合</w:t>
            </w:r>
            <w:r>
              <w:rPr>
                <w:rFonts w:hint="eastAsia" w:ascii="Times New Roman" w:hAnsi="Times New Roman" w:eastAsia="仿宋_GB2312"/>
                <w:color w:val="000000"/>
                <w:kern w:val="0"/>
                <w:sz w:val="24"/>
                <w:lang w:val="en-US" w:eastAsia="zh-CN" w:bidi="ar"/>
              </w:rPr>
              <w:t>工伤保险</w:t>
            </w:r>
            <w:r>
              <w:rPr>
                <w:rFonts w:ascii="Times New Roman" w:hAnsi="Times New Roman" w:eastAsia="仿宋_GB2312"/>
                <w:color w:val="000000"/>
                <w:kern w:val="0"/>
                <w:sz w:val="24"/>
                <w:lang w:bidi="ar"/>
              </w:rPr>
              <w:t>经办机构或受</w:t>
            </w:r>
            <w:r>
              <w:rPr>
                <w:rFonts w:hint="eastAsia" w:ascii="Times New Roman" w:hAnsi="Times New Roman" w:eastAsia="仿宋_GB2312"/>
                <w:color w:val="000000"/>
                <w:kern w:val="0"/>
                <w:sz w:val="24"/>
                <w:lang w:val="en-US" w:eastAsia="zh-CN" w:bidi="ar"/>
              </w:rPr>
              <w:t>工伤保险职能部门</w:t>
            </w:r>
            <w:r>
              <w:rPr>
                <w:rFonts w:ascii="Times New Roman" w:hAnsi="Times New Roman" w:eastAsia="仿宋_GB2312"/>
                <w:color w:val="000000"/>
                <w:kern w:val="0"/>
                <w:sz w:val="24"/>
                <w:lang w:bidi="ar"/>
              </w:rPr>
              <w:t>委托的第三方专业机构开展的各项监督检查和考核工作。</w:t>
            </w:r>
          </w:p>
        </w:tc>
        <w:tc>
          <w:tcPr>
            <w:tcW w:w="1725" w:type="dxa"/>
            <w:noWrap w:val="0"/>
            <w:vAlign w:val="center"/>
          </w:tcPr>
          <w:p>
            <w:pPr>
              <w:widowControl/>
              <w:suppressAutoHyphens/>
              <w:spacing w:line="32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现场考核和</w:t>
            </w:r>
          </w:p>
          <w:p>
            <w:pPr>
              <w:widowControl/>
              <w:suppressAutoHyphens/>
              <w:spacing w:line="32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平时表现综合</w:t>
            </w:r>
          </w:p>
          <w:p>
            <w:pPr>
              <w:widowControl/>
              <w:suppressAutoHyphens/>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考评</w:t>
            </w:r>
          </w:p>
        </w:tc>
        <w:tc>
          <w:tcPr>
            <w:tcW w:w="2588" w:type="dxa"/>
            <w:noWrap w:val="0"/>
            <w:vAlign w:val="center"/>
          </w:tcPr>
          <w:p>
            <w:pPr>
              <w:widowControl/>
              <w:suppressAutoHyphens/>
              <w:spacing w:line="320" w:lineRule="exact"/>
              <w:jc w:val="both"/>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不积极配合监督检查和考核工作，查实1例扣1分，扣完为止。</w:t>
            </w:r>
          </w:p>
        </w:tc>
        <w:tc>
          <w:tcPr>
            <w:tcW w:w="725" w:type="dxa"/>
            <w:noWrap w:val="0"/>
            <w:vAlign w:val="center"/>
          </w:tcPr>
          <w:p>
            <w:pPr>
              <w:widowControl/>
              <w:suppressAutoHyphens/>
              <w:spacing w:line="320" w:lineRule="exact"/>
              <w:jc w:val="center"/>
              <w:textAlignment w:val="center"/>
              <w:rPr>
                <w:rFonts w:hint="eastAsia" w:ascii="Times New Roman" w:hAnsi="Times New Roman" w:eastAsia="仿宋_GB2312"/>
                <w:color w:val="000000"/>
                <w:sz w:val="24"/>
                <w:lang w:eastAsia="zh-CN"/>
              </w:rPr>
            </w:pPr>
            <w:r>
              <w:rPr>
                <w:rFonts w:hint="eastAsia" w:ascii="Times New Roman" w:hAnsi="Times New Roman" w:eastAsia="仿宋_GB2312"/>
                <w:color w:val="000000"/>
                <w:kern w:val="0"/>
                <w:sz w:val="24"/>
                <w:lang w:val="en-US" w:eastAsia="zh-CN" w:bidi="ar"/>
              </w:rPr>
              <w:t>3</w:t>
            </w:r>
          </w:p>
        </w:tc>
        <w:tc>
          <w:tcPr>
            <w:tcW w:w="700" w:type="dxa"/>
            <w:noWrap w:val="0"/>
            <w:vAlign w:val="center"/>
          </w:tcPr>
          <w:p>
            <w:pPr>
              <w:suppressAutoHyphens/>
              <w:spacing w:line="320" w:lineRule="exact"/>
              <w:jc w:val="left"/>
              <w:rPr>
                <w:rFonts w:ascii="Times New Roman" w:hAnsi="Times New Roman" w:eastAsia="仿宋_GB2312"/>
                <w:color w:val="000000"/>
                <w:sz w:val="24"/>
              </w:rPr>
            </w:pPr>
          </w:p>
        </w:tc>
        <w:tc>
          <w:tcPr>
            <w:tcW w:w="718" w:type="dxa"/>
            <w:noWrap w:val="0"/>
            <w:vAlign w:val="center"/>
          </w:tcPr>
          <w:p>
            <w:pPr>
              <w:suppressAutoHyphens/>
              <w:spacing w:line="320" w:lineRule="exact"/>
              <w:jc w:val="lef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85" w:type="dxa"/>
            <w:noWrap w:val="0"/>
            <w:vAlign w:val="center"/>
          </w:tcPr>
          <w:p>
            <w:pPr>
              <w:widowControl/>
              <w:suppressAutoHyphens/>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7</w:t>
            </w:r>
          </w:p>
        </w:tc>
        <w:tc>
          <w:tcPr>
            <w:tcW w:w="1000" w:type="dxa"/>
            <w:vMerge w:val="continue"/>
            <w:noWrap w:val="0"/>
            <w:vAlign w:val="center"/>
          </w:tcPr>
          <w:p>
            <w:pPr>
              <w:suppressAutoHyphens/>
              <w:spacing w:line="320" w:lineRule="exact"/>
              <w:rPr>
                <w:rFonts w:ascii="Times New Roman" w:hAnsi="Times New Roman" w:eastAsia="仿宋_GB2312"/>
                <w:color w:val="000000"/>
                <w:sz w:val="24"/>
              </w:rPr>
            </w:pPr>
          </w:p>
        </w:tc>
        <w:tc>
          <w:tcPr>
            <w:tcW w:w="1200" w:type="dxa"/>
            <w:vMerge w:val="continue"/>
            <w:noWrap w:val="0"/>
            <w:vAlign w:val="center"/>
          </w:tcPr>
          <w:p>
            <w:pPr>
              <w:suppressAutoHyphens/>
              <w:spacing w:line="320" w:lineRule="exact"/>
              <w:jc w:val="center"/>
              <w:rPr>
                <w:rFonts w:ascii="Times New Roman" w:hAnsi="Times New Roman" w:eastAsia="仿宋_GB2312"/>
                <w:color w:val="000000"/>
                <w:sz w:val="24"/>
              </w:rPr>
            </w:pPr>
          </w:p>
        </w:tc>
        <w:tc>
          <w:tcPr>
            <w:tcW w:w="5712" w:type="dxa"/>
            <w:noWrap w:val="0"/>
            <w:vAlign w:val="center"/>
          </w:tcPr>
          <w:p>
            <w:pPr>
              <w:widowControl/>
              <w:suppressAutoHyphens/>
              <w:spacing w:line="320" w:lineRule="exact"/>
              <w:jc w:val="both"/>
              <w:textAlignment w:val="center"/>
              <w:rPr>
                <w:rFonts w:ascii="Times New Roman" w:hAnsi="Times New Roman" w:eastAsia="仿宋_GB2312"/>
                <w:color w:val="000000"/>
                <w:sz w:val="24"/>
              </w:rPr>
            </w:pPr>
            <w:r>
              <w:rPr>
                <w:rFonts w:ascii="Times New Roman" w:hAnsi="Times New Roman" w:eastAsia="宋体"/>
                <w:color w:val="000000"/>
                <w:kern w:val="0"/>
                <w:sz w:val="24"/>
                <w:lang w:bidi="ar"/>
              </w:rPr>
              <w:t>③</w:t>
            </w:r>
            <w:r>
              <w:rPr>
                <w:rFonts w:ascii="Times New Roman" w:hAnsi="Times New Roman" w:eastAsia="仿宋_GB2312"/>
                <w:color w:val="000000"/>
                <w:kern w:val="0"/>
                <w:sz w:val="24"/>
                <w:lang w:bidi="ar"/>
              </w:rPr>
              <w:t>能按考核内容对工伤保险医疗服务情况每年进行自查，并形成书面材料报</w:t>
            </w:r>
            <w:r>
              <w:rPr>
                <w:rFonts w:hint="eastAsia" w:ascii="Times New Roman" w:hAnsi="Times New Roman" w:eastAsia="仿宋_GB2312"/>
                <w:color w:val="000000"/>
                <w:kern w:val="0"/>
                <w:sz w:val="24"/>
                <w:lang w:val="en-US" w:eastAsia="zh-CN" w:bidi="ar"/>
              </w:rPr>
              <w:t>工伤保险经办机构</w:t>
            </w:r>
            <w:r>
              <w:rPr>
                <w:rFonts w:ascii="Times New Roman" w:hAnsi="Times New Roman" w:eastAsia="仿宋_GB2312"/>
                <w:color w:val="000000"/>
                <w:kern w:val="0"/>
                <w:sz w:val="24"/>
                <w:lang w:bidi="ar"/>
              </w:rPr>
              <w:t>备案的。</w:t>
            </w:r>
          </w:p>
        </w:tc>
        <w:tc>
          <w:tcPr>
            <w:tcW w:w="1725" w:type="dxa"/>
            <w:noWrap w:val="0"/>
            <w:vAlign w:val="center"/>
          </w:tcPr>
          <w:p>
            <w:pPr>
              <w:widowControl/>
              <w:suppressAutoHyphens/>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查看书面材料</w:t>
            </w:r>
          </w:p>
        </w:tc>
        <w:tc>
          <w:tcPr>
            <w:tcW w:w="2588" w:type="dxa"/>
            <w:noWrap w:val="0"/>
            <w:vAlign w:val="center"/>
          </w:tcPr>
          <w:p>
            <w:pPr>
              <w:widowControl/>
              <w:suppressAutoHyphens/>
              <w:spacing w:line="32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每缺一次扣1分，扣完为止。</w:t>
            </w:r>
          </w:p>
        </w:tc>
        <w:tc>
          <w:tcPr>
            <w:tcW w:w="725" w:type="dxa"/>
            <w:noWrap w:val="0"/>
            <w:vAlign w:val="center"/>
          </w:tcPr>
          <w:p>
            <w:pPr>
              <w:widowControl/>
              <w:suppressAutoHyphens/>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2</w:t>
            </w:r>
          </w:p>
        </w:tc>
        <w:tc>
          <w:tcPr>
            <w:tcW w:w="700" w:type="dxa"/>
            <w:noWrap w:val="0"/>
            <w:vAlign w:val="center"/>
          </w:tcPr>
          <w:p>
            <w:pPr>
              <w:suppressAutoHyphens/>
              <w:spacing w:line="320" w:lineRule="exact"/>
              <w:jc w:val="left"/>
              <w:rPr>
                <w:rFonts w:ascii="Times New Roman" w:hAnsi="Times New Roman" w:eastAsia="仿宋_GB2312"/>
                <w:color w:val="000000"/>
                <w:sz w:val="24"/>
              </w:rPr>
            </w:pPr>
          </w:p>
        </w:tc>
        <w:tc>
          <w:tcPr>
            <w:tcW w:w="718" w:type="dxa"/>
            <w:noWrap w:val="0"/>
            <w:vAlign w:val="center"/>
          </w:tcPr>
          <w:p>
            <w:pPr>
              <w:suppressAutoHyphens/>
              <w:spacing w:line="320" w:lineRule="exact"/>
              <w:jc w:val="lef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noWrap w:val="0"/>
            <w:vAlign w:val="center"/>
          </w:tcPr>
          <w:p>
            <w:pPr>
              <w:widowControl/>
              <w:suppressAutoHyphens/>
              <w:spacing w:line="36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8</w:t>
            </w:r>
          </w:p>
        </w:tc>
        <w:tc>
          <w:tcPr>
            <w:tcW w:w="1000" w:type="dxa"/>
            <w:vMerge w:val="restart"/>
            <w:noWrap w:val="0"/>
            <w:vAlign w:val="center"/>
          </w:tcPr>
          <w:p>
            <w:pPr>
              <w:widowControl/>
              <w:suppressAutoHyphens/>
              <w:adjustRightInd w:val="0"/>
              <w:snapToGrid w:val="0"/>
              <w:spacing w:line="360" w:lineRule="exact"/>
              <w:jc w:val="center"/>
              <w:textAlignment w:val="center"/>
              <w:rPr>
                <w:rFonts w:ascii="Times New Roman" w:hAnsi="Times New Roman" w:eastAsia="仿宋_GB2312"/>
                <w:color w:val="000000"/>
                <w:spacing w:val="-12"/>
                <w:kern w:val="0"/>
                <w:sz w:val="24"/>
                <w:lang w:bidi="ar"/>
              </w:rPr>
            </w:pPr>
            <w:r>
              <w:rPr>
                <w:rFonts w:ascii="Times New Roman" w:hAnsi="Times New Roman" w:eastAsia="仿宋_GB2312"/>
                <w:color w:val="000000"/>
                <w:spacing w:val="-12"/>
                <w:kern w:val="0"/>
                <w:sz w:val="24"/>
                <w:lang w:bidi="ar"/>
              </w:rPr>
              <w:t>医疗业务执行情况</w:t>
            </w:r>
          </w:p>
          <w:p>
            <w:pPr>
              <w:widowControl/>
              <w:suppressAutoHyphens/>
              <w:adjustRightInd w:val="0"/>
              <w:snapToGrid w:val="0"/>
              <w:spacing w:line="360" w:lineRule="exact"/>
              <w:jc w:val="center"/>
              <w:textAlignment w:val="center"/>
              <w:rPr>
                <w:rFonts w:ascii="Times New Roman" w:hAnsi="Times New Roman" w:eastAsia="仿宋_GB2312"/>
                <w:color w:val="000000"/>
                <w:spacing w:val="-12"/>
                <w:sz w:val="24"/>
              </w:rPr>
            </w:pPr>
            <w:r>
              <w:rPr>
                <w:rFonts w:ascii="Times New Roman" w:hAnsi="Times New Roman" w:eastAsia="仿宋_GB2312"/>
                <w:color w:val="000000"/>
                <w:spacing w:val="-12"/>
                <w:kern w:val="0"/>
                <w:sz w:val="24"/>
                <w:highlight w:val="none"/>
                <w:lang w:bidi="ar"/>
              </w:rPr>
              <w:t>（</w:t>
            </w:r>
            <w:r>
              <w:rPr>
                <w:rFonts w:hint="eastAsia" w:ascii="Times New Roman" w:hAnsi="Times New Roman" w:eastAsia="仿宋_GB2312"/>
                <w:color w:val="000000"/>
                <w:spacing w:val="-12"/>
                <w:kern w:val="0"/>
                <w:sz w:val="24"/>
                <w:highlight w:val="none"/>
                <w:lang w:val="en-US" w:eastAsia="zh-CN" w:bidi="ar"/>
              </w:rPr>
              <w:t>7</w:t>
            </w:r>
            <w:r>
              <w:rPr>
                <w:rFonts w:ascii="Times New Roman" w:hAnsi="Times New Roman" w:eastAsia="仿宋_GB2312"/>
                <w:color w:val="000000"/>
                <w:spacing w:val="-12"/>
                <w:kern w:val="0"/>
                <w:sz w:val="24"/>
                <w:highlight w:val="none"/>
                <w:lang w:bidi="ar"/>
              </w:rPr>
              <w:t>5分）</w:t>
            </w:r>
          </w:p>
        </w:tc>
        <w:tc>
          <w:tcPr>
            <w:tcW w:w="1200" w:type="dxa"/>
            <w:vMerge w:val="restart"/>
            <w:noWrap w:val="0"/>
            <w:vAlign w:val="center"/>
          </w:tcPr>
          <w:p>
            <w:pPr>
              <w:widowControl/>
              <w:suppressAutoHyphens/>
              <w:spacing w:line="35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病历记载情况</w:t>
            </w:r>
          </w:p>
        </w:tc>
        <w:tc>
          <w:tcPr>
            <w:tcW w:w="5712" w:type="dxa"/>
            <w:noWrap w:val="0"/>
            <w:vAlign w:val="center"/>
          </w:tcPr>
          <w:p>
            <w:pPr>
              <w:widowControl/>
              <w:suppressAutoHyphens/>
              <w:spacing w:line="350" w:lineRule="exact"/>
              <w:jc w:val="both"/>
              <w:textAlignment w:val="center"/>
              <w:rPr>
                <w:rFonts w:ascii="Times New Roman" w:hAnsi="Times New Roman" w:eastAsia="仿宋_GB2312"/>
                <w:color w:val="000000"/>
                <w:sz w:val="24"/>
              </w:rPr>
            </w:pPr>
            <w:r>
              <w:rPr>
                <w:rFonts w:ascii="Times New Roman" w:hAnsi="Times New Roman" w:eastAsia="宋体"/>
                <w:color w:val="000000"/>
                <w:kern w:val="0"/>
                <w:sz w:val="24"/>
                <w:lang w:bidi="ar"/>
              </w:rPr>
              <w:t>①</w:t>
            </w:r>
            <w:r>
              <w:rPr>
                <w:rFonts w:ascii="Times New Roman" w:hAnsi="Times New Roman" w:eastAsia="仿宋_GB2312"/>
                <w:color w:val="000000"/>
                <w:kern w:val="0"/>
                <w:sz w:val="24"/>
                <w:lang w:bidi="ar"/>
              </w:rPr>
              <w:t>病案首页和病案编码、病历书写规范、记载清楚、完整，准确填写姓名、性别、年龄、职业，注明受伤时间、地点、原因。</w:t>
            </w:r>
          </w:p>
        </w:tc>
        <w:tc>
          <w:tcPr>
            <w:tcW w:w="1725" w:type="dxa"/>
            <w:noWrap w:val="0"/>
            <w:vAlign w:val="center"/>
          </w:tcPr>
          <w:p>
            <w:pPr>
              <w:widowControl/>
              <w:suppressAutoHyphens/>
              <w:spacing w:line="35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抽查病历、</w:t>
            </w:r>
          </w:p>
          <w:p>
            <w:pPr>
              <w:widowControl/>
              <w:suppressAutoHyphens/>
              <w:spacing w:line="35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平时调查</w:t>
            </w:r>
          </w:p>
        </w:tc>
        <w:tc>
          <w:tcPr>
            <w:tcW w:w="2588" w:type="dxa"/>
            <w:noWrap w:val="0"/>
            <w:vAlign w:val="center"/>
          </w:tcPr>
          <w:p>
            <w:pPr>
              <w:widowControl/>
              <w:suppressAutoHyphens/>
              <w:spacing w:line="35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不符合要求的，查实1例扣1分，扣完为止。</w:t>
            </w:r>
          </w:p>
        </w:tc>
        <w:tc>
          <w:tcPr>
            <w:tcW w:w="725" w:type="dxa"/>
            <w:noWrap w:val="0"/>
            <w:vAlign w:val="center"/>
          </w:tcPr>
          <w:p>
            <w:pPr>
              <w:widowControl/>
              <w:suppressAutoHyphens/>
              <w:spacing w:line="36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3</w:t>
            </w:r>
          </w:p>
        </w:tc>
        <w:tc>
          <w:tcPr>
            <w:tcW w:w="700" w:type="dxa"/>
            <w:noWrap w:val="0"/>
            <w:vAlign w:val="center"/>
          </w:tcPr>
          <w:p>
            <w:pPr>
              <w:suppressAutoHyphens/>
              <w:spacing w:line="360" w:lineRule="exact"/>
              <w:jc w:val="left"/>
              <w:rPr>
                <w:rFonts w:ascii="Times New Roman" w:hAnsi="Times New Roman" w:eastAsia="仿宋_GB2312"/>
                <w:color w:val="000000"/>
                <w:sz w:val="24"/>
              </w:rPr>
            </w:pPr>
          </w:p>
        </w:tc>
        <w:tc>
          <w:tcPr>
            <w:tcW w:w="718" w:type="dxa"/>
            <w:noWrap w:val="0"/>
            <w:vAlign w:val="center"/>
          </w:tcPr>
          <w:p>
            <w:pPr>
              <w:suppressAutoHyphens/>
              <w:spacing w:line="360" w:lineRule="exact"/>
              <w:jc w:val="lef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noWrap w:val="0"/>
            <w:vAlign w:val="center"/>
          </w:tcPr>
          <w:p>
            <w:pPr>
              <w:widowControl/>
              <w:suppressAutoHyphens/>
              <w:spacing w:line="36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9</w:t>
            </w:r>
          </w:p>
        </w:tc>
        <w:tc>
          <w:tcPr>
            <w:tcW w:w="1000" w:type="dxa"/>
            <w:vMerge w:val="continue"/>
            <w:noWrap w:val="0"/>
            <w:vAlign w:val="center"/>
          </w:tcPr>
          <w:p>
            <w:pPr>
              <w:suppressAutoHyphens/>
              <w:spacing w:line="360" w:lineRule="exact"/>
              <w:rPr>
                <w:rFonts w:ascii="Times New Roman" w:hAnsi="Times New Roman" w:eastAsia="仿宋_GB2312"/>
                <w:color w:val="000000"/>
                <w:sz w:val="24"/>
              </w:rPr>
            </w:pPr>
          </w:p>
        </w:tc>
        <w:tc>
          <w:tcPr>
            <w:tcW w:w="1200" w:type="dxa"/>
            <w:vMerge w:val="continue"/>
            <w:noWrap w:val="0"/>
            <w:vAlign w:val="center"/>
          </w:tcPr>
          <w:p>
            <w:pPr>
              <w:suppressAutoHyphens/>
              <w:spacing w:line="350" w:lineRule="exact"/>
              <w:jc w:val="center"/>
              <w:rPr>
                <w:rFonts w:ascii="Times New Roman" w:hAnsi="Times New Roman" w:eastAsia="仿宋_GB2312"/>
                <w:color w:val="000000"/>
                <w:sz w:val="24"/>
              </w:rPr>
            </w:pPr>
          </w:p>
        </w:tc>
        <w:tc>
          <w:tcPr>
            <w:tcW w:w="5712" w:type="dxa"/>
            <w:noWrap w:val="0"/>
            <w:vAlign w:val="center"/>
          </w:tcPr>
          <w:p>
            <w:pPr>
              <w:widowControl/>
              <w:suppressAutoHyphens/>
              <w:spacing w:line="350" w:lineRule="exact"/>
              <w:jc w:val="left"/>
              <w:textAlignment w:val="center"/>
              <w:rPr>
                <w:rFonts w:ascii="Times New Roman" w:hAnsi="Times New Roman" w:eastAsia="仿宋_GB2312"/>
                <w:color w:val="000000"/>
                <w:sz w:val="24"/>
              </w:rPr>
            </w:pPr>
            <w:r>
              <w:rPr>
                <w:rFonts w:ascii="Times New Roman" w:hAnsi="Times New Roman" w:eastAsia="宋体"/>
                <w:color w:val="000000"/>
                <w:kern w:val="0"/>
                <w:sz w:val="24"/>
                <w:lang w:bidi="ar"/>
              </w:rPr>
              <w:t>②</w:t>
            </w:r>
            <w:r>
              <w:rPr>
                <w:rFonts w:ascii="Times New Roman" w:hAnsi="Times New Roman" w:eastAsia="仿宋_GB2312"/>
                <w:color w:val="000000"/>
                <w:kern w:val="0"/>
                <w:sz w:val="24"/>
                <w:lang w:bidi="ar"/>
              </w:rPr>
              <w:t>医嘱、清单与实际执行不符的；重复收费。</w:t>
            </w:r>
          </w:p>
        </w:tc>
        <w:tc>
          <w:tcPr>
            <w:tcW w:w="1725" w:type="dxa"/>
            <w:noWrap w:val="0"/>
            <w:vAlign w:val="center"/>
          </w:tcPr>
          <w:p>
            <w:pPr>
              <w:widowControl/>
              <w:suppressAutoHyphens/>
              <w:spacing w:line="35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抽查病历、</w:t>
            </w:r>
          </w:p>
          <w:p>
            <w:pPr>
              <w:widowControl/>
              <w:suppressAutoHyphens/>
              <w:spacing w:line="35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平时调查</w:t>
            </w:r>
          </w:p>
        </w:tc>
        <w:tc>
          <w:tcPr>
            <w:tcW w:w="2588" w:type="dxa"/>
            <w:noWrap w:val="0"/>
            <w:vAlign w:val="center"/>
          </w:tcPr>
          <w:p>
            <w:pPr>
              <w:widowControl/>
              <w:suppressAutoHyphens/>
              <w:spacing w:line="35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查实1例扣1分，扣完为止。</w:t>
            </w:r>
          </w:p>
        </w:tc>
        <w:tc>
          <w:tcPr>
            <w:tcW w:w="725" w:type="dxa"/>
            <w:noWrap w:val="0"/>
            <w:vAlign w:val="center"/>
          </w:tcPr>
          <w:p>
            <w:pPr>
              <w:widowControl/>
              <w:suppressAutoHyphens/>
              <w:spacing w:line="36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3</w:t>
            </w:r>
          </w:p>
        </w:tc>
        <w:tc>
          <w:tcPr>
            <w:tcW w:w="700" w:type="dxa"/>
            <w:noWrap w:val="0"/>
            <w:vAlign w:val="center"/>
          </w:tcPr>
          <w:p>
            <w:pPr>
              <w:suppressAutoHyphens/>
              <w:spacing w:line="360" w:lineRule="exact"/>
              <w:jc w:val="left"/>
              <w:rPr>
                <w:rFonts w:ascii="Times New Roman" w:hAnsi="Times New Roman" w:eastAsia="仿宋_GB2312"/>
                <w:color w:val="000000"/>
                <w:sz w:val="24"/>
              </w:rPr>
            </w:pPr>
          </w:p>
        </w:tc>
        <w:tc>
          <w:tcPr>
            <w:tcW w:w="718" w:type="dxa"/>
            <w:noWrap w:val="0"/>
            <w:vAlign w:val="center"/>
          </w:tcPr>
          <w:p>
            <w:pPr>
              <w:suppressAutoHyphens/>
              <w:spacing w:line="360" w:lineRule="exact"/>
              <w:jc w:val="lef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noWrap w:val="0"/>
            <w:vAlign w:val="center"/>
          </w:tcPr>
          <w:p>
            <w:pPr>
              <w:widowControl/>
              <w:suppressAutoHyphens/>
              <w:spacing w:line="36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10</w:t>
            </w:r>
          </w:p>
        </w:tc>
        <w:tc>
          <w:tcPr>
            <w:tcW w:w="1000" w:type="dxa"/>
            <w:vMerge w:val="continue"/>
            <w:noWrap w:val="0"/>
            <w:vAlign w:val="center"/>
          </w:tcPr>
          <w:p>
            <w:pPr>
              <w:suppressAutoHyphens/>
              <w:spacing w:line="360" w:lineRule="exact"/>
              <w:rPr>
                <w:rFonts w:ascii="Times New Roman" w:hAnsi="Times New Roman" w:eastAsia="仿宋_GB2312"/>
                <w:color w:val="000000"/>
                <w:sz w:val="24"/>
              </w:rPr>
            </w:pPr>
          </w:p>
        </w:tc>
        <w:tc>
          <w:tcPr>
            <w:tcW w:w="1200" w:type="dxa"/>
            <w:vMerge w:val="continue"/>
            <w:noWrap w:val="0"/>
            <w:vAlign w:val="center"/>
          </w:tcPr>
          <w:p>
            <w:pPr>
              <w:suppressAutoHyphens/>
              <w:spacing w:line="350" w:lineRule="exact"/>
              <w:jc w:val="center"/>
              <w:rPr>
                <w:rFonts w:ascii="Times New Roman" w:hAnsi="Times New Roman" w:eastAsia="仿宋_GB2312"/>
                <w:color w:val="000000"/>
                <w:sz w:val="24"/>
              </w:rPr>
            </w:pPr>
          </w:p>
        </w:tc>
        <w:tc>
          <w:tcPr>
            <w:tcW w:w="5712" w:type="dxa"/>
            <w:noWrap w:val="0"/>
            <w:vAlign w:val="center"/>
          </w:tcPr>
          <w:p>
            <w:pPr>
              <w:widowControl/>
              <w:suppressAutoHyphens/>
              <w:spacing w:line="350" w:lineRule="exact"/>
              <w:jc w:val="left"/>
              <w:textAlignment w:val="center"/>
              <w:rPr>
                <w:rFonts w:ascii="Times New Roman" w:hAnsi="Times New Roman" w:eastAsia="仿宋_GB2312"/>
                <w:color w:val="000000"/>
                <w:sz w:val="24"/>
              </w:rPr>
            </w:pPr>
            <w:r>
              <w:rPr>
                <w:rFonts w:ascii="Times New Roman" w:hAnsi="Times New Roman" w:eastAsia="宋体"/>
                <w:color w:val="000000"/>
                <w:kern w:val="0"/>
                <w:sz w:val="24"/>
                <w:lang w:bidi="ar"/>
              </w:rPr>
              <w:t>③</w:t>
            </w:r>
            <w:r>
              <w:rPr>
                <w:rFonts w:ascii="Times New Roman" w:hAnsi="Times New Roman" w:eastAsia="仿宋_GB2312"/>
                <w:color w:val="000000"/>
                <w:kern w:val="0"/>
                <w:sz w:val="24"/>
                <w:lang w:bidi="ar"/>
              </w:rPr>
              <w:t>病历未记载却有收费，有收费无报告单的。</w:t>
            </w:r>
          </w:p>
        </w:tc>
        <w:tc>
          <w:tcPr>
            <w:tcW w:w="1725" w:type="dxa"/>
            <w:noWrap w:val="0"/>
            <w:vAlign w:val="center"/>
          </w:tcPr>
          <w:p>
            <w:pPr>
              <w:widowControl/>
              <w:suppressAutoHyphens/>
              <w:spacing w:line="35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抽查病历、</w:t>
            </w:r>
          </w:p>
          <w:p>
            <w:pPr>
              <w:widowControl/>
              <w:suppressAutoHyphens/>
              <w:spacing w:line="35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平时调查</w:t>
            </w:r>
          </w:p>
        </w:tc>
        <w:tc>
          <w:tcPr>
            <w:tcW w:w="2588" w:type="dxa"/>
            <w:noWrap w:val="0"/>
            <w:vAlign w:val="center"/>
          </w:tcPr>
          <w:p>
            <w:pPr>
              <w:widowControl/>
              <w:suppressAutoHyphens/>
              <w:spacing w:line="35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查实1例扣1分，扣完为止。</w:t>
            </w:r>
          </w:p>
        </w:tc>
        <w:tc>
          <w:tcPr>
            <w:tcW w:w="725" w:type="dxa"/>
            <w:noWrap w:val="0"/>
            <w:vAlign w:val="center"/>
          </w:tcPr>
          <w:p>
            <w:pPr>
              <w:widowControl/>
              <w:suppressAutoHyphens/>
              <w:spacing w:line="36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5</w:t>
            </w:r>
          </w:p>
        </w:tc>
        <w:tc>
          <w:tcPr>
            <w:tcW w:w="700" w:type="dxa"/>
            <w:noWrap w:val="0"/>
            <w:vAlign w:val="center"/>
          </w:tcPr>
          <w:p>
            <w:pPr>
              <w:suppressAutoHyphens/>
              <w:spacing w:line="360" w:lineRule="exact"/>
              <w:jc w:val="left"/>
              <w:rPr>
                <w:rFonts w:ascii="Times New Roman" w:hAnsi="Times New Roman" w:eastAsia="仿宋_GB2312"/>
                <w:color w:val="000000"/>
                <w:sz w:val="24"/>
              </w:rPr>
            </w:pPr>
          </w:p>
        </w:tc>
        <w:tc>
          <w:tcPr>
            <w:tcW w:w="718" w:type="dxa"/>
            <w:noWrap w:val="0"/>
            <w:vAlign w:val="center"/>
          </w:tcPr>
          <w:p>
            <w:pPr>
              <w:suppressAutoHyphens/>
              <w:spacing w:line="360" w:lineRule="exact"/>
              <w:jc w:val="lef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noWrap w:val="0"/>
            <w:vAlign w:val="center"/>
          </w:tcPr>
          <w:p>
            <w:pPr>
              <w:widowControl/>
              <w:suppressAutoHyphens/>
              <w:spacing w:line="36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11</w:t>
            </w:r>
          </w:p>
        </w:tc>
        <w:tc>
          <w:tcPr>
            <w:tcW w:w="1000" w:type="dxa"/>
            <w:vMerge w:val="continue"/>
            <w:noWrap w:val="0"/>
            <w:vAlign w:val="center"/>
          </w:tcPr>
          <w:p>
            <w:pPr>
              <w:suppressAutoHyphens/>
              <w:spacing w:line="360" w:lineRule="exact"/>
              <w:rPr>
                <w:rFonts w:ascii="Times New Roman" w:hAnsi="Times New Roman" w:eastAsia="仿宋_GB2312"/>
                <w:color w:val="000000"/>
                <w:sz w:val="24"/>
              </w:rPr>
            </w:pPr>
          </w:p>
        </w:tc>
        <w:tc>
          <w:tcPr>
            <w:tcW w:w="1200" w:type="dxa"/>
            <w:vMerge w:val="continue"/>
            <w:noWrap w:val="0"/>
            <w:vAlign w:val="center"/>
          </w:tcPr>
          <w:p>
            <w:pPr>
              <w:suppressAutoHyphens/>
              <w:spacing w:line="350" w:lineRule="exact"/>
              <w:jc w:val="center"/>
              <w:rPr>
                <w:rFonts w:ascii="Times New Roman" w:hAnsi="Times New Roman" w:eastAsia="仿宋_GB2312"/>
                <w:color w:val="000000"/>
                <w:sz w:val="24"/>
              </w:rPr>
            </w:pPr>
          </w:p>
        </w:tc>
        <w:tc>
          <w:tcPr>
            <w:tcW w:w="5712" w:type="dxa"/>
            <w:noWrap w:val="0"/>
            <w:vAlign w:val="center"/>
          </w:tcPr>
          <w:p>
            <w:pPr>
              <w:widowControl/>
              <w:suppressAutoHyphens/>
              <w:spacing w:line="350" w:lineRule="exact"/>
              <w:jc w:val="left"/>
              <w:textAlignment w:val="center"/>
              <w:rPr>
                <w:rFonts w:ascii="Times New Roman" w:hAnsi="Times New Roman" w:eastAsia="仿宋_GB2312"/>
                <w:color w:val="000000"/>
                <w:sz w:val="24"/>
                <w:highlight w:val="none"/>
              </w:rPr>
            </w:pPr>
            <w:r>
              <w:rPr>
                <w:rFonts w:ascii="Times New Roman" w:hAnsi="Times New Roman" w:eastAsia="宋体"/>
                <w:color w:val="000000"/>
                <w:kern w:val="0"/>
                <w:sz w:val="24"/>
                <w:highlight w:val="none"/>
                <w:lang w:bidi="ar"/>
              </w:rPr>
              <w:t>④</w:t>
            </w:r>
            <w:r>
              <w:rPr>
                <w:rFonts w:ascii="Times New Roman" w:hAnsi="Times New Roman" w:eastAsia="仿宋_GB2312"/>
                <w:color w:val="000000"/>
                <w:kern w:val="0"/>
                <w:sz w:val="24"/>
                <w:highlight w:val="none"/>
                <w:lang w:bidi="ar"/>
              </w:rPr>
              <w:t>作假病历、假清单、假证明等造假行为的。</w:t>
            </w:r>
          </w:p>
        </w:tc>
        <w:tc>
          <w:tcPr>
            <w:tcW w:w="1725" w:type="dxa"/>
            <w:noWrap w:val="0"/>
            <w:vAlign w:val="center"/>
          </w:tcPr>
          <w:p>
            <w:pPr>
              <w:widowControl/>
              <w:suppressAutoHyphens/>
              <w:spacing w:line="35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抽查病历、</w:t>
            </w:r>
          </w:p>
          <w:p>
            <w:pPr>
              <w:widowControl/>
              <w:suppressAutoHyphens/>
              <w:spacing w:line="35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平时调查</w:t>
            </w:r>
          </w:p>
        </w:tc>
        <w:tc>
          <w:tcPr>
            <w:tcW w:w="2588" w:type="dxa"/>
            <w:noWrap w:val="0"/>
            <w:vAlign w:val="center"/>
          </w:tcPr>
          <w:p>
            <w:pPr>
              <w:widowControl/>
              <w:suppressAutoHyphens/>
              <w:spacing w:line="35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查实1例扣2分，扣完为止。</w:t>
            </w:r>
          </w:p>
        </w:tc>
        <w:tc>
          <w:tcPr>
            <w:tcW w:w="725" w:type="dxa"/>
            <w:noWrap w:val="0"/>
            <w:vAlign w:val="center"/>
          </w:tcPr>
          <w:p>
            <w:pPr>
              <w:widowControl/>
              <w:suppressAutoHyphens/>
              <w:spacing w:line="36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4</w:t>
            </w:r>
          </w:p>
        </w:tc>
        <w:tc>
          <w:tcPr>
            <w:tcW w:w="700" w:type="dxa"/>
            <w:noWrap w:val="0"/>
            <w:vAlign w:val="center"/>
          </w:tcPr>
          <w:p>
            <w:pPr>
              <w:suppressAutoHyphens/>
              <w:spacing w:line="360" w:lineRule="exact"/>
              <w:jc w:val="left"/>
              <w:rPr>
                <w:rFonts w:ascii="Times New Roman" w:hAnsi="Times New Roman" w:eastAsia="仿宋_GB2312"/>
                <w:color w:val="000000"/>
                <w:sz w:val="24"/>
              </w:rPr>
            </w:pPr>
          </w:p>
        </w:tc>
        <w:tc>
          <w:tcPr>
            <w:tcW w:w="718" w:type="dxa"/>
            <w:noWrap w:val="0"/>
            <w:vAlign w:val="center"/>
          </w:tcPr>
          <w:p>
            <w:pPr>
              <w:suppressAutoHyphens/>
              <w:spacing w:line="360" w:lineRule="exact"/>
              <w:jc w:val="lef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noWrap w:val="0"/>
            <w:vAlign w:val="center"/>
          </w:tcPr>
          <w:p>
            <w:pPr>
              <w:widowControl/>
              <w:suppressAutoHyphens/>
              <w:spacing w:line="36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12</w:t>
            </w:r>
          </w:p>
        </w:tc>
        <w:tc>
          <w:tcPr>
            <w:tcW w:w="1000" w:type="dxa"/>
            <w:vMerge w:val="continue"/>
            <w:noWrap w:val="0"/>
            <w:vAlign w:val="center"/>
          </w:tcPr>
          <w:p>
            <w:pPr>
              <w:suppressAutoHyphens/>
              <w:spacing w:line="360" w:lineRule="exact"/>
              <w:rPr>
                <w:rFonts w:ascii="Times New Roman" w:hAnsi="Times New Roman" w:eastAsia="仿宋_GB2312"/>
                <w:color w:val="000000"/>
                <w:sz w:val="24"/>
              </w:rPr>
            </w:pPr>
          </w:p>
        </w:tc>
        <w:tc>
          <w:tcPr>
            <w:tcW w:w="1200" w:type="dxa"/>
            <w:noWrap w:val="0"/>
            <w:vAlign w:val="center"/>
          </w:tcPr>
          <w:p>
            <w:pPr>
              <w:widowControl/>
              <w:suppressAutoHyphens/>
              <w:spacing w:line="35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门诊处方（含外配处方）</w:t>
            </w:r>
          </w:p>
        </w:tc>
        <w:tc>
          <w:tcPr>
            <w:tcW w:w="5712" w:type="dxa"/>
            <w:noWrap w:val="0"/>
            <w:vAlign w:val="center"/>
          </w:tcPr>
          <w:p>
            <w:pPr>
              <w:widowControl/>
              <w:suppressAutoHyphens/>
              <w:spacing w:line="35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严格执行卫生行政部门制定的《处方管理办法》。</w:t>
            </w:r>
          </w:p>
        </w:tc>
        <w:tc>
          <w:tcPr>
            <w:tcW w:w="1725" w:type="dxa"/>
            <w:noWrap w:val="0"/>
            <w:vAlign w:val="center"/>
          </w:tcPr>
          <w:p>
            <w:pPr>
              <w:widowControl/>
              <w:suppressAutoHyphens/>
              <w:spacing w:line="35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抽查病历、</w:t>
            </w:r>
          </w:p>
          <w:p>
            <w:pPr>
              <w:widowControl/>
              <w:suppressAutoHyphens/>
              <w:spacing w:line="35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平时调查</w:t>
            </w:r>
          </w:p>
        </w:tc>
        <w:tc>
          <w:tcPr>
            <w:tcW w:w="2588" w:type="dxa"/>
            <w:noWrap w:val="0"/>
            <w:vAlign w:val="center"/>
          </w:tcPr>
          <w:p>
            <w:pPr>
              <w:widowControl/>
              <w:suppressAutoHyphens/>
              <w:spacing w:line="35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处方项目不完整，按抽查每例扣1分，扣完为止。</w:t>
            </w:r>
          </w:p>
        </w:tc>
        <w:tc>
          <w:tcPr>
            <w:tcW w:w="725" w:type="dxa"/>
            <w:noWrap w:val="0"/>
            <w:vAlign w:val="center"/>
          </w:tcPr>
          <w:p>
            <w:pPr>
              <w:widowControl/>
              <w:suppressAutoHyphens/>
              <w:spacing w:line="36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5</w:t>
            </w:r>
          </w:p>
        </w:tc>
        <w:tc>
          <w:tcPr>
            <w:tcW w:w="700" w:type="dxa"/>
            <w:noWrap w:val="0"/>
            <w:vAlign w:val="center"/>
          </w:tcPr>
          <w:p>
            <w:pPr>
              <w:suppressAutoHyphens/>
              <w:spacing w:line="360" w:lineRule="exact"/>
              <w:jc w:val="left"/>
              <w:rPr>
                <w:rFonts w:ascii="Times New Roman" w:hAnsi="Times New Roman" w:eastAsia="仿宋_GB2312"/>
                <w:color w:val="000000"/>
                <w:sz w:val="24"/>
              </w:rPr>
            </w:pPr>
          </w:p>
        </w:tc>
        <w:tc>
          <w:tcPr>
            <w:tcW w:w="718" w:type="dxa"/>
            <w:noWrap w:val="0"/>
            <w:vAlign w:val="center"/>
          </w:tcPr>
          <w:p>
            <w:pPr>
              <w:suppressAutoHyphens/>
              <w:spacing w:line="360" w:lineRule="exact"/>
              <w:jc w:val="lef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noWrap w:val="0"/>
            <w:vAlign w:val="center"/>
          </w:tcPr>
          <w:p>
            <w:pPr>
              <w:widowControl/>
              <w:suppressAutoHyphens/>
              <w:spacing w:line="36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13</w:t>
            </w:r>
          </w:p>
        </w:tc>
        <w:tc>
          <w:tcPr>
            <w:tcW w:w="1000" w:type="dxa"/>
            <w:vMerge w:val="continue"/>
            <w:noWrap w:val="0"/>
            <w:vAlign w:val="center"/>
          </w:tcPr>
          <w:p>
            <w:pPr>
              <w:suppressAutoHyphens/>
              <w:spacing w:line="360" w:lineRule="exact"/>
              <w:jc w:val="left"/>
              <w:rPr>
                <w:rFonts w:ascii="Times New Roman" w:hAnsi="Times New Roman" w:eastAsia="仿宋_GB2312"/>
                <w:color w:val="000000"/>
                <w:sz w:val="24"/>
              </w:rPr>
            </w:pPr>
          </w:p>
        </w:tc>
        <w:tc>
          <w:tcPr>
            <w:tcW w:w="1200" w:type="dxa"/>
            <w:vMerge w:val="restart"/>
            <w:noWrap w:val="0"/>
            <w:vAlign w:val="center"/>
          </w:tcPr>
          <w:p>
            <w:pPr>
              <w:widowControl/>
              <w:suppressAutoHyphens/>
              <w:spacing w:line="35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工伤保险三大目录执行情况</w:t>
            </w:r>
          </w:p>
        </w:tc>
        <w:tc>
          <w:tcPr>
            <w:tcW w:w="5712" w:type="dxa"/>
            <w:noWrap w:val="0"/>
            <w:vAlign w:val="center"/>
          </w:tcPr>
          <w:p>
            <w:pPr>
              <w:widowControl/>
              <w:suppressAutoHyphens/>
              <w:spacing w:line="350" w:lineRule="exact"/>
              <w:jc w:val="both"/>
              <w:textAlignment w:val="center"/>
              <w:rPr>
                <w:rFonts w:ascii="Times New Roman" w:hAnsi="Times New Roman" w:eastAsia="仿宋_GB2312"/>
                <w:color w:val="000000"/>
                <w:sz w:val="24"/>
              </w:rPr>
            </w:pPr>
            <w:r>
              <w:rPr>
                <w:rFonts w:ascii="Times New Roman" w:hAnsi="Times New Roman" w:eastAsia="宋体"/>
                <w:color w:val="000000"/>
                <w:kern w:val="0"/>
                <w:sz w:val="24"/>
                <w:lang w:bidi="ar"/>
              </w:rPr>
              <w:t>①</w:t>
            </w:r>
            <w:r>
              <w:rPr>
                <w:rFonts w:ascii="Times New Roman" w:hAnsi="Times New Roman" w:eastAsia="仿宋_GB2312"/>
                <w:color w:val="000000"/>
                <w:kern w:val="0"/>
                <w:sz w:val="24"/>
                <w:lang w:bidi="ar"/>
              </w:rPr>
              <w:t>药品目录应严格按照国家、</w:t>
            </w:r>
            <w:r>
              <w:rPr>
                <w:rFonts w:hint="eastAsia" w:ascii="Times New Roman" w:hAnsi="Times New Roman" w:eastAsia="仿宋_GB2312"/>
                <w:color w:val="000000"/>
                <w:kern w:val="0"/>
                <w:sz w:val="24"/>
                <w:lang w:val="en-US" w:eastAsia="zh-CN" w:bidi="ar"/>
              </w:rPr>
              <w:t>本市</w:t>
            </w:r>
            <w:r>
              <w:rPr>
                <w:rFonts w:ascii="Times New Roman" w:hAnsi="Times New Roman" w:eastAsia="仿宋_GB2312"/>
                <w:color w:val="000000"/>
                <w:kern w:val="0"/>
                <w:sz w:val="24"/>
                <w:lang w:bidi="ar"/>
              </w:rPr>
              <w:t>下发的工伤保险药品目录执行。</w:t>
            </w:r>
          </w:p>
        </w:tc>
        <w:tc>
          <w:tcPr>
            <w:tcW w:w="1725" w:type="dxa"/>
            <w:noWrap w:val="0"/>
            <w:vAlign w:val="center"/>
          </w:tcPr>
          <w:p>
            <w:pPr>
              <w:widowControl/>
              <w:suppressAutoHyphens/>
              <w:spacing w:line="35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抽查病历、</w:t>
            </w:r>
          </w:p>
          <w:p>
            <w:pPr>
              <w:widowControl/>
              <w:suppressAutoHyphens/>
              <w:spacing w:line="35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平时调查</w:t>
            </w:r>
          </w:p>
        </w:tc>
        <w:tc>
          <w:tcPr>
            <w:tcW w:w="2588" w:type="dxa"/>
            <w:noWrap w:val="0"/>
            <w:vAlign w:val="center"/>
          </w:tcPr>
          <w:p>
            <w:pPr>
              <w:widowControl/>
              <w:suppressAutoHyphens/>
              <w:spacing w:line="350" w:lineRule="exact"/>
              <w:jc w:val="both"/>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将目录外费用列入支付或目录内费用由</w:t>
            </w:r>
            <w:r>
              <w:rPr>
                <w:rFonts w:hint="eastAsia" w:ascii="Times New Roman" w:hAnsi="Times New Roman" w:eastAsia="仿宋_GB2312"/>
                <w:color w:val="000000"/>
                <w:kern w:val="0"/>
                <w:sz w:val="24"/>
                <w:lang w:eastAsia="zh-CN" w:bidi="ar"/>
              </w:rPr>
              <w:t>工伤职工</w:t>
            </w:r>
            <w:r>
              <w:rPr>
                <w:rFonts w:ascii="Times New Roman" w:hAnsi="Times New Roman" w:eastAsia="仿宋_GB2312"/>
                <w:color w:val="000000"/>
                <w:kern w:val="0"/>
                <w:sz w:val="24"/>
                <w:lang w:bidi="ar"/>
              </w:rPr>
              <w:t>自付的发现1例扣1分；不按规定使用限制使用的药品的发现1例扣1分。扣完为止。</w:t>
            </w:r>
          </w:p>
        </w:tc>
        <w:tc>
          <w:tcPr>
            <w:tcW w:w="725" w:type="dxa"/>
            <w:noWrap w:val="0"/>
            <w:vAlign w:val="center"/>
          </w:tcPr>
          <w:p>
            <w:pPr>
              <w:widowControl/>
              <w:suppressAutoHyphens/>
              <w:spacing w:line="360" w:lineRule="exact"/>
              <w:jc w:val="center"/>
              <w:textAlignment w:val="center"/>
              <w:rPr>
                <w:rFonts w:hint="eastAsia" w:ascii="Times New Roman" w:hAnsi="Times New Roman" w:eastAsia="仿宋_GB2312"/>
                <w:color w:val="000000"/>
                <w:sz w:val="24"/>
                <w:lang w:eastAsia="zh-CN"/>
              </w:rPr>
            </w:pPr>
            <w:r>
              <w:rPr>
                <w:rFonts w:hint="eastAsia" w:ascii="Times New Roman" w:hAnsi="Times New Roman" w:eastAsia="仿宋_GB2312"/>
                <w:color w:val="000000"/>
                <w:kern w:val="0"/>
                <w:sz w:val="24"/>
                <w:lang w:val="en-US" w:eastAsia="zh-CN" w:bidi="ar"/>
              </w:rPr>
              <w:t>4</w:t>
            </w:r>
          </w:p>
        </w:tc>
        <w:tc>
          <w:tcPr>
            <w:tcW w:w="700" w:type="dxa"/>
            <w:noWrap w:val="0"/>
            <w:vAlign w:val="center"/>
          </w:tcPr>
          <w:p>
            <w:pPr>
              <w:suppressAutoHyphens/>
              <w:spacing w:line="360" w:lineRule="exact"/>
              <w:jc w:val="left"/>
              <w:rPr>
                <w:rFonts w:ascii="Times New Roman" w:hAnsi="Times New Roman" w:eastAsia="仿宋_GB2312"/>
                <w:color w:val="000000"/>
                <w:sz w:val="24"/>
              </w:rPr>
            </w:pPr>
          </w:p>
        </w:tc>
        <w:tc>
          <w:tcPr>
            <w:tcW w:w="718" w:type="dxa"/>
            <w:noWrap w:val="0"/>
            <w:vAlign w:val="center"/>
          </w:tcPr>
          <w:p>
            <w:pPr>
              <w:suppressAutoHyphens/>
              <w:spacing w:line="360" w:lineRule="exact"/>
              <w:jc w:val="lef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785" w:type="dxa"/>
            <w:noWrap w:val="0"/>
            <w:vAlign w:val="center"/>
          </w:tcPr>
          <w:p>
            <w:pPr>
              <w:widowControl/>
              <w:suppressAutoHyphens/>
              <w:spacing w:line="36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14</w:t>
            </w:r>
          </w:p>
        </w:tc>
        <w:tc>
          <w:tcPr>
            <w:tcW w:w="1000" w:type="dxa"/>
            <w:vMerge w:val="continue"/>
            <w:noWrap w:val="0"/>
            <w:vAlign w:val="center"/>
          </w:tcPr>
          <w:p>
            <w:pPr>
              <w:suppressAutoHyphens/>
              <w:spacing w:line="360" w:lineRule="exact"/>
              <w:jc w:val="left"/>
              <w:rPr>
                <w:rFonts w:ascii="Times New Roman" w:hAnsi="Times New Roman" w:eastAsia="仿宋_GB2312"/>
                <w:color w:val="000000"/>
                <w:sz w:val="24"/>
              </w:rPr>
            </w:pPr>
          </w:p>
        </w:tc>
        <w:tc>
          <w:tcPr>
            <w:tcW w:w="1200" w:type="dxa"/>
            <w:vMerge w:val="continue"/>
            <w:noWrap w:val="0"/>
            <w:vAlign w:val="center"/>
          </w:tcPr>
          <w:p>
            <w:pPr>
              <w:suppressAutoHyphens/>
              <w:spacing w:line="350" w:lineRule="exact"/>
              <w:jc w:val="center"/>
              <w:rPr>
                <w:rFonts w:ascii="Times New Roman" w:hAnsi="Times New Roman" w:eastAsia="仿宋_GB2312"/>
                <w:color w:val="000000"/>
                <w:sz w:val="24"/>
              </w:rPr>
            </w:pPr>
          </w:p>
        </w:tc>
        <w:tc>
          <w:tcPr>
            <w:tcW w:w="5712" w:type="dxa"/>
            <w:noWrap w:val="0"/>
            <w:vAlign w:val="center"/>
          </w:tcPr>
          <w:p>
            <w:pPr>
              <w:widowControl/>
              <w:suppressAutoHyphens/>
              <w:spacing w:line="350" w:lineRule="exact"/>
              <w:jc w:val="both"/>
              <w:textAlignment w:val="center"/>
              <w:rPr>
                <w:rFonts w:ascii="Times New Roman" w:hAnsi="Times New Roman" w:eastAsia="仿宋_GB2312"/>
                <w:color w:val="000000"/>
                <w:sz w:val="24"/>
              </w:rPr>
            </w:pPr>
            <w:r>
              <w:rPr>
                <w:rFonts w:ascii="Times New Roman" w:hAnsi="Times New Roman" w:eastAsia="宋体"/>
                <w:color w:val="000000"/>
                <w:kern w:val="0"/>
                <w:sz w:val="24"/>
                <w:lang w:bidi="ar"/>
              </w:rPr>
              <w:t>②</w:t>
            </w:r>
            <w:r>
              <w:rPr>
                <w:rFonts w:ascii="Times New Roman" w:hAnsi="Times New Roman" w:eastAsia="仿宋_GB2312"/>
                <w:color w:val="000000"/>
                <w:kern w:val="0"/>
                <w:sz w:val="24"/>
                <w:lang w:bidi="ar"/>
              </w:rPr>
              <w:t>工伤保险诊疗项目按照国家</w:t>
            </w:r>
            <w:r>
              <w:rPr>
                <w:rFonts w:hint="eastAsia" w:ascii="Times New Roman" w:hAnsi="Times New Roman" w:eastAsia="仿宋_GB2312"/>
                <w:color w:val="000000"/>
                <w:kern w:val="0"/>
                <w:sz w:val="24"/>
                <w:lang w:eastAsia="zh-CN" w:bidi="ar"/>
              </w:rPr>
              <w:t>和</w:t>
            </w:r>
            <w:r>
              <w:rPr>
                <w:rFonts w:hint="eastAsia" w:ascii="Times New Roman" w:hAnsi="Times New Roman" w:eastAsia="仿宋_GB2312"/>
                <w:color w:val="000000"/>
                <w:kern w:val="0"/>
                <w:sz w:val="24"/>
                <w:lang w:val="en-US" w:eastAsia="zh-CN" w:bidi="ar"/>
              </w:rPr>
              <w:t>本市</w:t>
            </w:r>
            <w:r>
              <w:rPr>
                <w:rFonts w:ascii="Times New Roman" w:hAnsi="Times New Roman" w:eastAsia="仿宋_GB2312"/>
                <w:color w:val="000000"/>
                <w:kern w:val="0"/>
                <w:sz w:val="24"/>
                <w:lang w:bidi="ar"/>
              </w:rPr>
              <w:t>工伤保险诊疗项目目录有关规定执行。</w:t>
            </w:r>
          </w:p>
        </w:tc>
        <w:tc>
          <w:tcPr>
            <w:tcW w:w="1725" w:type="dxa"/>
            <w:noWrap w:val="0"/>
            <w:vAlign w:val="center"/>
          </w:tcPr>
          <w:p>
            <w:pPr>
              <w:widowControl/>
              <w:suppressAutoHyphens/>
              <w:spacing w:line="35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抽查病历、</w:t>
            </w:r>
          </w:p>
          <w:p>
            <w:pPr>
              <w:widowControl/>
              <w:suppressAutoHyphens/>
              <w:spacing w:line="35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清单等</w:t>
            </w:r>
          </w:p>
        </w:tc>
        <w:tc>
          <w:tcPr>
            <w:tcW w:w="2588" w:type="dxa"/>
            <w:noWrap w:val="0"/>
            <w:vAlign w:val="center"/>
          </w:tcPr>
          <w:p>
            <w:pPr>
              <w:widowControl/>
              <w:suppressAutoHyphens/>
              <w:spacing w:line="35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不符合要求的，查实1例扣1分，扣完为止。</w:t>
            </w:r>
          </w:p>
        </w:tc>
        <w:tc>
          <w:tcPr>
            <w:tcW w:w="725" w:type="dxa"/>
            <w:noWrap w:val="0"/>
            <w:vAlign w:val="center"/>
          </w:tcPr>
          <w:p>
            <w:pPr>
              <w:widowControl/>
              <w:suppressAutoHyphens/>
              <w:spacing w:line="360" w:lineRule="exact"/>
              <w:jc w:val="center"/>
              <w:textAlignment w:val="center"/>
              <w:rPr>
                <w:rFonts w:hint="eastAsia" w:ascii="Times New Roman" w:hAnsi="Times New Roman" w:eastAsia="仿宋_GB2312"/>
                <w:color w:val="000000"/>
                <w:sz w:val="24"/>
                <w:lang w:eastAsia="zh-CN"/>
              </w:rPr>
            </w:pPr>
            <w:r>
              <w:rPr>
                <w:rFonts w:hint="eastAsia" w:ascii="Times New Roman" w:hAnsi="Times New Roman" w:eastAsia="仿宋_GB2312"/>
                <w:color w:val="000000"/>
                <w:kern w:val="0"/>
                <w:sz w:val="24"/>
                <w:lang w:val="en-US" w:eastAsia="zh-CN" w:bidi="ar"/>
              </w:rPr>
              <w:t>4</w:t>
            </w:r>
          </w:p>
        </w:tc>
        <w:tc>
          <w:tcPr>
            <w:tcW w:w="700" w:type="dxa"/>
            <w:noWrap w:val="0"/>
            <w:vAlign w:val="center"/>
          </w:tcPr>
          <w:p>
            <w:pPr>
              <w:suppressAutoHyphens/>
              <w:spacing w:line="360" w:lineRule="exact"/>
              <w:jc w:val="left"/>
              <w:rPr>
                <w:rFonts w:ascii="Times New Roman" w:hAnsi="Times New Roman" w:eastAsia="仿宋_GB2312"/>
                <w:color w:val="000000"/>
                <w:sz w:val="24"/>
              </w:rPr>
            </w:pPr>
          </w:p>
        </w:tc>
        <w:tc>
          <w:tcPr>
            <w:tcW w:w="718" w:type="dxa"/>
            <w:noWrap w:val="0"/>
            <w:vAlign w:val="center"/>
          </w:tcPr>
          <w:p>
            <w:pPr>
              <w:suppressAutoHyphens/>
              <w:spacing w:line="360" w:lineRule="exact"/>
              <w:jc w:val="lef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785" w:type="dxa"/>
            <w:noWrap w:val="0"/>
            <w:vAlign w:val="center"/>
          </w:tcPr>
          <w:p>
            <w:pPr>
              <w:widowControl/>
              <w:suppressAutoHyphens/>
              <w:spacing w:line="36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15</w:t>
            </w:r>
          </w:p>
        </w:tc>
        <w:tc>
          <w:tcPr>
            <w:tcW w:w="1000" w:type="dxa"/>
            <w:vMerge w:val="continue"/>
            <w:noWrap w:val="0"/>
            <w:vAlign w:val="center"/>
          </w:tcPr>
          <w:p>
            <w:pPr>
              <w:suppressAutoHyphens/>
              <w:spacing w:line="360" w:lineRule="exact"/>
              <w:jc w:val="left"/>
              <w:rPr>
                <w:rFonts w:ascii="Times New Roman" w:hAnsi="Times New Roman" w:eastAsia="仿宋_GB2312"/>
                <w:color w:val="000000"/>
                <w:sz w:val="24"/>
              </w:rPr>
            </w:pPr>
          </w:p>
        </w:tc>
        <w:tc>
          <w:tcPr>
            <w:tcW w:w="1200" w:type="dxa"/>
            <w:vMerge w:val="continue"/>
            <w:noWrap w:val="0"/>
            <w:vAlign w:val="center"/>
          </w:tcPr>
          <w:p>
            <w:pPr>
              <w:suppressAutoHyphens/>
              <w:spacing w:line="350" w:lineRule="exact"/>
              <w:jc w:val="center"/>
              <w:rPr>
                <w:rFonts w:ascii="Times New Roman" w:hAnsi="Times New Roman" w:eastAsia="仿宋_GB2312"/>
                <w:color w:val="000000"/>
                <w:sz w:val="24"/>
              </w:rPr>
            </w:pPr>
          </w:p>
        </w:tc>
        <w:tc>
          <w:tcPr>
            <w:tcW w:w="5712" w:type="dxa"/>
            <w:noWrap w:val="0"/>
            <w:vAlign w:val="center"/>
          </w:tcPr>
          <w:p>
            <w:pPr>
              <w:widowControl/>
              <w:suppressAutoHyphens/>
              <w:spacing w:line="350" w:lineRule="exact"/>
              <w:jc w:val="both"/>
              <w:textAlignment w:val="center"/>
              <w:rPr>
                <w:rFonts w:ascii="Times New Roman" w:hAnsi="Times New Roman" w:eastAsia="仿宋_GB2312"/>
                <w:color w:val="000000"/>
                <w:sz w:val="24"/>
              </w:rPr>
            </w:pPr>
            <w:r>
              <w:rPr>
                <w:rFonts w:ascii="Times New Roman" w:hAnsi="Times New Roman" w:eastAsia="宋体"/>
                <w:color w:val="000000"/>
                <w:kern w:val="0"/>
                <w:sz w:val="24"/>
                <w:lang w:bidi="ar"/>
              </w:rPr>
              <w:t>③</w:t>
            </w:r>
            <w:r>
              <w:rPr>
                <w:rFonts w:ascii="Times New Roman" w:hAnsi="Times New Roman" w:eastAsia="仿宋_GB2312"/>
                <w:color w:val="000000"/>
                <w:kern w:val="0"/>
                <w:sz w:val="24"/>
                <w:lang w:bidi="ar"/>
              </w:rPr>
              <w:t>工伤保险住院服务标准按照国家</w:t>
            </w:r>
            <w:r>
              <w:rPr>
                <w:rFonts w:hint="eastAsia" w:ascii="Times New Roman" w:hAnsi="Times New Roman" w:eastAsia="仿宋_GB2312"/>
                <w:color w:val="000000"/>
                <w:kern w:val="0"/>
                <w:sz w:val="24"/>
                <w:lang w:eastAsia="zh-CN" w:bidi="ar"/>
              </w:rPr>
              <w:t>和</w:t>
            </w:r>
            <w:r>
              <w:rPr>
                <w:rFonts w:hint="eastAsia" w:ascii="Times New Roman" w:hAnsi="Times New Roman" w:eastAsia="仿宋_GB2312"/>
                <w:color w:val="000000"/>
                <w:kern w:val="0"/>
                <w:sz w:val="24"/>
                <w:lang w:val="en-US" w:eastAsia="zh-CN" w:bidi="ar"/>
              </w:rPr>
              <w:t>本市</w:t>
            </w:r>
            <w:r>
              <w:rPr>
                <w:rFonts w:ascii="Times New Roman" w:hAnsi="Times New Roman" w:eastAsia="仿宋_GB2312"/>
                <w:color w:val="000000"/>
                <w:kern w:val="0"/>
                <w:sz w:val="24"/>
                <w:lang w:bidi="ar"/>
              </w:rPr>
              <w:t>工伤保险住院服务标准有关规定执行。</w:t>
            </w:r>
          </w:p>
        </w:tc>
        <w:tc>
          <w:tcPr>
            <w:tcW w:w="1725" w:type="dxa"/>
            <w:noWrap w:val="0"/>
            <w:vAlign w:val="center"/>
          </w:tcPr>
          <w:p>
            <w:pPr>
              <w:widowControl/>
              <w:suppressAutoHyphens/>
              <w:spacing w:line="35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抽查病历、</w:t>
            </w:r>
          </w:p>
          <w:p>
            <w:pPr>
              <w:widowControl/>
              <w:suppressAutoHyphens/>
              <w:spacing w:line="35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清单等</w:t>
            </w:r>
          </w:p>
        </w:tc>
        <w:tc>
          <w:tcPr>
            <w:tcW w:w="2588" w:type="dxa"/>
            <w:noWrap w:val="0"/>
            <w:vAlign w:val="center"/>
          </w:tcPr>
          <w:p>
            <w:pPr>
              <w:widowControl/>
              <w:suppressAutoHyphens/>
              <w:spacing w:line="35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不符合要求的，查实1例扣1分，扣完为止。</w:t>
            </w:r>
          </w:p>
        </w:tc>
        <w:tc>
          <w:tcPr>
            <w:tcW w:w="725" w:type="dxa"/>
            <w:noWrap w:val="0"/>
            <w:vAlign w:val="center"/>
          </w:tcPr>
          <w:p>
            <w:pPr>
              <w:widowControl/>
              <w:suppressAutoHyphens/>
              <w:spacing w:line="360" w:lineRule="exact"/>
              <w:jc w:val="center"/>
              <w:textAlignment w:val="center"/>
              <w:rPr>
                <w:rFonts w:hint="eastAsia" w:ascii="Times New Roman" w:hAnsi="Times New Roman" w:eastAsia="仿宋_GB2312"/>
                <w:color w:val="000000"/>
                <w:sz w:val="24"/>
                <w:lang w:eastAsia="zh-CN"/>
              </w:rPr>
            </w:pPr>
            <w:r>
              <w:rPr>
                <w:rFonts w:hint="eastAsia" w:ascii="Times New Roman" w:hAnsi="Times New Roman" w:eastAsia="仿宋_GB2312"/>
                <w:color w:val="000000"/>
                <w:kern w:val="0"/>
                <w:sz w:val="24"/>
                <w:lang w:val="en-US" w:eastAsia="zh-CN" w:bidi="ar"/>
              </w:rPr>
              <w:t>4</w:t>
            </w:r>
          </w:p>
        </w:tc>
        <w:tc>
          <w:tcPr>
            <w:tcW w:w="700" w:type="dxa"/>
            <w:noWrap w:val="0"/>
            <w:vAlign w:val="center"/>
          </w:tcPr>
          <w:p>
            <w:pPr>
              <w:suppressAutoHyphens/>
              <w:spacing w:line="360" w:lineRule="exact"/>
              <w:jc w:val="left"/>
              <w:rPr>
                <w:rFonts w:ascii="Times New Roman" w:hAnsi="Times New Roman" w:eastAsia="仿宋_GB2312"/>
                <w:color w:val="000000"/>
                <w:sz w:val="24"/>
              </w:rPr>
            </w:pPr>
          </w:p>
        </w:tc>
        <w:tc>
          <w:tcPr>
            <w:tcW w:w="718" w:type="dxa"/>
            <w:noWrap w:val="0"/>
            <w:vAlign w:val="center"/>
          </w:tcPr>
          <w:p>
            <w:pPr>
              <w:suppressAutoHyphens/>
              <w:spacing w:line="360" w:lineRule="exact"/>
              <w:jc w:val="lef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noWrap w:val="0"/>
            <w:vAlign w:val="center"/>
          </w:tcPr>
          <w:p>
            <w:pPr>
              <w:widowControl/>
              <w:suppressAutoHyphens/>
              <w:spacing w:line="36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16</w:t>
            </w:r>
          </w:p>
        </w:tc>
        <w:tc>
          <w:tcPr>
            <w:tcW w:w="1000" w:type="dxa"/>
            <w:vMerge w:val="restart"/>
            <w:noWrap w:val="0"/>
            <w:vAlign w:val="center"/>
          </w:tcPr>
          <w:p>
            <w:pPr>
              <w:widowControl/>
              <w:suppressAutoHyphens/>
              <w:adjustRightInd w:val="0"/>
              <w:snapToGrid w:val="0"/>
              <w:spacing w:line="360" w:lineRule="exact"/>
              <w:jc w:val="center"/>
              <w:textAlignment w:val="center"/>
              <w:rPr>
                <w:rFonts w:ascii="Times New Roman" w:hAnsi="Times New Roman" w:eastAsia="仿宋_GB2312"/>
                <w:color w:val="000000"/>
                <w:spacing w:val="-12"/>
                <w:kern w:val="0"/>
                <w:sz w:val="24"/>
                <w:lang w:bidi="ar"/>
              </w:rPr>
            </w:pPr>
            <w:r>
              <w:rPr>
                <w:rFonts w:ascii="Times New Roman" w:hAnsi="Times New Roman" w:eastAsia="仿宋_GB2312"/>
                <w:color w:val="000000"/>
                <w:spacing w:val="-12"/>
                <w:kern w:val="0"/>
                <w:sz w:val="24"/>
                <w:lang w:bidi="ar"/>
              </w:rPr>
              <w:t>医疗业务执行情况</w:t>
            </w:r>
          </w:p>
          <w:p>
            <w:pPr>
              <w:suppressAutoHyphens/>
              <w:spacing w:line="360" w:lineRule="exact"/>
              <w:jc w:val="left"/>
              <w:rPr>
                <w:rFonts w:ascii="Times New Roman" w:hAnsi="Times New Roman" w:eastAsia="仿宋_GB2312"/>
                <w:color w:val="000000"/>
                <w:sz w:val="24"/>
              </w:rPr>
            </w:pPr>
            <w:r>
              <w:rPr>
                <w:rFonts w:ascii="Times New Roman" w:hAnsi="Times New Roman" w:eastAsia="仿宋_GB2312"/>
                <w:color w:val="000000"/>
                <w:spacing w:val="-12"/>
                <w:kern w:val="0"/>
                <w:sz w:val="24"/>
                <w:lang w:bidi="ar"/>
              </w:rPr>
              <w:t>（</w:t>
            </w:r>
            <w:r>
              <w:rPr>
                <w:rFonts w:hint="eastAsia" w:ascii="Times New Roman" w:hAnsi="Times New Roman" w:eastAsia="仿宋_GB2312"/>
                <w:color w:val="000000"/>
                <w:spacing w:val="-12"/>
                <w:kern w:val="0"/>
                <w:sz w:val="24"/>
                <w:lang w:val="en-US" w:eastAsia="zh-CN" w:bidi="ar"/>
              </w:rPr>
              <w:t>7</w:t>
            </w:r>
            <w:r>
              <w:rPr>
                <w:rFonts w:ascii="Times New Roman" w:hAnsi="Times New Roman" w:eastAsia="仿宋_GB2312"/>
                <w:color w:val="000000"/>
                <w:spacing w:val="-12"/>
                <w:kern w:val="0"/>
                <w:sz w:val="24"/>
                <w:lang w:bidi="ar"/>
              </w:rPr>
              <w:t>5分）</w:t>
            </w:r>
          </w:p>
        </w:tc>
        <w:tc>
          <w:tcPr>
            <w:tcW w:w="1200" w:type="dxa"/>
            <w:noWrap w:val="0"/>
            <w:vAlign w:val="center"/>
          </w:tcPr>
          <w:p>
            <w:pPr>
              <w:widowControl/>
              <w:suppressAutoHyphens/>
              <w:spacing w:line="35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工伤保险三大目录执行情况</w:t>
            </w:r>
          </w:p>
        </w:tc>
        <w:tc>
          <w:tcPr>
            <w:tcW w:w="5712" w:type="dxa"/>
            <w:noWrap w:val="0"/>
            <w:vAlign w:val="center"/>
          </w:tcPr>
          <w:p>
            <w:pPr>
              <w:widowControl/>
              <w:suppressAutoHyphens/>
              <w:spacing w:line="360" w:lineRule="exact"/>
              <w:jc w:val="both"/>
              <w:textAlignment w:val="center"/>
              <w:rPr>
                <w:rFonts w:ascii="Times New Roman" w:hAnsi="Times New Roman" w:eastAsia="仿宋_GB2312"/>
                <w:color w:val="000000"/>
                <w:sz w:val="24"/>
              </w:rPr>
            </w:pPr>
            <w:r>
              <w:rPr>
                <w:rFonts w:ascii="Times New Roman" w:hAnsi="Times New Roman" w:eastAsia="宋体"/>
                <w:color w:val="000000"/>
                <w:kern w:val="0"/>
                <w:sz w:val="24"/>
                <w:lang w:bidi="ar"/>
              </w:rPr>
              <w:t>④</w:t>
            </w:r>
            <w:r>
              <w:rPr>
                <w:rFonts w:ascii="Times New Roman" w:hAnsi="Times New Roman" w:eastAsia="仿宋_GB2312"/>
                <w:color w:val="000000"/>
                <w:kern w:val="0"/>
                <w:sz w:val="24"/>
                <w:lang w:bidi="ar"/>
              </w:rPr>
              <w:t>坚持合理检查、合理治疗、合理用药，杜绝过度医疗。</w:t>
            </w:r>
          </w:p>
        </w:tc>
        <w:tc>
          <w:tcPr>
            <w:tcW w:w="1725" w:type="dxa"/>
            <w:noWrap w:val="0"/>
            <w:vAlign w:val="center"/>
          </w:tcPr>
          <w:p>
            <w:pPr>
              <w:widowControl/>
              <w:suppressAutoHyphens/>
              <w:spacing w:line="36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平时调查、综合考评、抽查病历</w:t>
            </w:r>
          </w:p>
        </w:tc>
        <w:tc>
          <w:tcPr>
            <w:tcW w:w="2588" w:type="dxa"/>
            <w:noWrap w:val="0"/>
            <w:vAlign w:val="center"/>
          </w:tcPr>
          <w:p>
            <w:pPr>
              <w:widowControl/>
              <w:suppressAutoHyphens/>
              <w:spacing w:line="36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弄虚作假、调换药品、用药适应症错误，滥用药；过度检查，实施的检查、治疗及用药与伤情、伤情记录不符，诊疗方案不合理的。查实1例扣2分，扣完为止。</w:t>
            </w:r>
          </w:p>
        </w:tc>
        <w:tc>
          <w:tcPr>
            <w:tcW w:w="725" w:type="dxa"/>
            <w:noWrap w:val="0"/>
            <w:vAlign w:val="center"/>
          </w:tcPr>
          <w:p>
            <w:pPr>
              <w:widowControl/>
              <w:suppressAutoHyphens/>
              <w:spacing w:line="36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6</w:t>
            </w:r>
          </w:p>
        </w:tc>
        <w:tc>
          <w:tcPr>
            <w:tcW w:w="700" w:type="dxa"/>
            <w:noWrap w:val="0"/>
            <w:vAlign w:val="center"/>
          </w:tcPr>
          <w:p>
            <w:pPr>
              <w:suppressAutoHyphens/>
              <w:spacing w:line="360" w:lineRule="exact"/>
              <w:jc w:val="left"/>
              <w:rPr>
                <w:rFonts w:ascii="Times New Roman" w:hAnsi="Times New Roman" w:eastAsia="仿宋_GB2312"/>
                <w:color w:val="000000"/>
                <w:sz w:val="24"/>
              </w:rPr>
            </w:pPr>
          </w:p>
        </w:tc>
        <w:tc>
          <w:tcPr>
            <w:tcW w:w="718" w:type="dxa"/>
            <w:noWrap w:val="0"/>
            <w:vAlign w:val="center"/>
          </w:tcPr>
          <w:p>
            <w:pPr>
              <w:suppressAutoHyphens/>
              <w:spacing w:line="360" w:lineRule="exact"/>
              <w:jc w:val="lef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noWrap w:val="0"/>
            <w:vAlign w:val="center"/>
          </w:tcPr>
          <w:p>
            <w:pPr>
              <w:widowControl/>
              <w:suppressAutoHyphens/>
              <w:spacing w:line="36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17</w:t>
            </w:r>
          </w:p>
        </w:tc>
        <w:tc>
          <w:tcPr>
            <w:tcW w:w="1000" w:type="dxa"/>
            <w:vMerge w:val="continue"/>
            <w:noWrap w:val="0"/>
            <w:vAlign w:val="center"/>
          </w:tcPr>
          <w:p>
            <w:pPr>
              <w:suppressAutoHyphens/>
              <w:spacing w:line="360" w:lineRule="exact"/>
              <w:jc w:val="left"/>
              <w:rPr>
                <w:rFonts w:ascii="Times New Roman" w:hAnsi="Times New Roman" w:eastAsia="仿宋_GB2312"/>
                <w:color w:val="000000"/>
                <w:sz w:val="24"/>
              </w:rPr>
            </w:pPr>
          </w:p>
        </w:tc>
        <w:tc>
          <w:tcPr>
            <w:tcW w:w="1200" w:type="dxa"/>
            <w:vMerge w:val="restart"/>
            <w:noWrap w:val="0"/>
            <w:vAlign w:val="center"/>
          </w:tcPr>
          <w:p>
            <w:pPr>
              <w:widowControl/>
              <w:suppressAutoHyphens/>
              <w:spacing w:line="36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出入院标准及住院病人管理</w:t>
            </w:r>
          </w:p>
        </w:tc>
        <w:tc>
          <w:tcPr>
            <w:tcW w:w="5712" w:type="dxa"/>
            <w:noWrap w:val="0"/>
            <w:vAlign w:val="center"/>
          </w:tcPr>
          <w:p>
            <w:pPr>
              <w:widowControl/>
              <w:suppressAutoHyphens/>
              <w:spacing w:line="360" w:lineRule="exact"/>
              <w:jc w:val="both"/>
              <w:textAlignment w:val="center"/>
              <w:rPr>
                <w:rFonts w:ascii="Times New Roman" w:hAnsi="Times New Roman" w:eastAsia="仿宋_GB2312"/>
                <w:color w:val="000000"/>
                <w:sz w:val="24"/>
              </w:rPr>
            </w:pPr>
            <w:r>
              <w:rPr>
                <w:rFonts w:ascii="Times New Roman" w:hAnsi="Times New Roman" w:eastAsia="宋体"/>
                <w:color w:val="000000"/>
                <w:kern w:val="0"/>
                <w:sz w:val="24"/>
                <w:lang w:bidi="ar"/>
              </w:rPr>
              <w:t>①</w:t>
            </w:r>
            <w:r>
              <w:rPr>
                <w:rFonts w:ascii="Times New Roman" w:hAnsi="Times New Roman" w:eastAsia="仿宋_GB2312"/>
                <w:color w:val="000000"/>
                <w:kern w:val="0"/>
                <w:sz w:val="24"/>
                <w:lang w:bidi="ar"/>
              </w:rPr>
              <w:t>严格掌握出入院指征，避免将不符合入院标准的工伤职工收入院；不得故意延长住院时间，不及时办理出院手续。</w:t>
            </w:r>
          </w:p>
        </w:tc>
        <w:tc>
          <w:tcPr>
            <w:tcW w:w="1725" w:type="dxa"/>
            <w:noWrap w:val="0"/>
            <w:vAlign w:val="center"/>
          </w:tcPr>
          <w:p>
            <w:pPr>
              <w:widowControl/>
              <w:suppressAutoHyphens/>
              <w:spacing w:line="36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查资料记录、抽查病历</w:t>
            </w:r>
          </w:p>
        </w:tc>
        <w:tc>
          <w:tcPr>
            <w:tcW w:w="2588" w:type="dxa"/>
            <w:noWrap w:val="0"/>
            <w:vAlign w:val="center"/>
          </w:tcPr>
          <w:p>
            <w:pPr>
              <w:widowControl/>
              <w:suppressAutoHyphens/>
              <w:spacing w:line="36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不符合要求的，查实1例扣1分，扣完为止。</w:t>
            </w:r>
          </w:p>
        </w:tc>
        <w:tc>
          <w:tcPr>
            <w:tcW w:w="725" w:type="dxa"/>
            <w:noWrap w:val="0"/>
            <w:vAlign w:val="center"/>
          </w:tcPr>
          <w:p>
            <w:pPr>
              <w:widowControl/>
              <w:suppressAutoHyphens/>
              <w:spacing w:line="36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3</w:t>
            </w:r>
          </w:p>
        </w:tc>
        <w:tc>
          <w:tcPr>
            <w:tcW w:w="700" w:type="dxa"/>
            <w:noWrap w:val="0"/>
            <w:vAlign w:val="center"/>
          </w:tcPr>
          <w:p>
            <w:pPr>
              <w:suppressAutoHyphens/>
              <w:spacing w:line="360" w:lineRule="exact"/>
              <w:jc w:val="left"/>
              <w:rPr>
                <w:rFonts w:ascii="Times New Roman" w:hAnsi="Times New Roman" w:eastAsia="仿宋_GB2312"/>
                <w:color w:val="000000"/>
                <w:sz w:val="24"/>
              </w:rPr>
            </w:pPr>
          </w:p>
        </w:tc>
        <w:tc>
          <w:tcPr>
            <w:tcW w:w="718" w:type="dxa"/>
            <w:noWrap w:val="0"/>
            <w:vAlign w:val="center"/>
          </w:tcPr>
          <w:p>
            <w:pPr>
              <w:suppressAutoHyphens/>
              <w:spacing w:line="360" w:lineRule="exact"/>
              <w:jc w:val="lef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noWrap w:val="0"/>
            <w:vAlign w:val="center"/>
          </w:tcPr>
          <w:p>
            <w:pPr>
              <w:widowControl/>
              <w:suppressAutoHyphens/>
              <w:spacing w:line="36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18</w:t>
            </w:r>
          </w:p>
        </w:tc>
        <w:tc>
          <w:tcPr>
            <w:tcW w:w="1000" w:type="dxa"/>
            <w:vMerge w:val="continue"/>
            <w:noWrap w:val="0"/>
            <w:vAlign w:val="center"/>
          </w:tcPr>
          <w:p>
            <w:pPr>
              <w:suppressAutoHyphens/>
              <w:spacing w:line="360" w:lineRule="exact"/>
              <w:jc w:val="left"/>
              <w:rPr>
                <w:rFonts w:ascii="Times New Roman" w:hAnsi="Times New Roman" w:eastAsia="仿宋_GB2312"/>
                <w:color w:val="000000"/>
                <w:sz w:val="24"/>
              </w:rPr>
            </w:pPr>
          </w:p>
        </w:tc>
        <w:tc>
          <w:tcPr>
            <w:tcW w:w="1200" w:type="dxa"/>
            <w:vMerge w:val="continue"/>
            <w:noWrap w:val="0"/>
            <w:vAlign w:val="center"/>
          </w:tcPr>
          <w:p>
            <w:pPr>
              <w:suppressAutoHyphens/>
              <w:spacing w:line="360" w:lineRule="exact"/>
              <w:jc w:val="center"/>
              <w:rPr>
                <w:rFonts w:ascii="Times New Roman" w:hAnsi="Times New Roman" w:eastAsia="仿宋_GB2312"/>
                <w:color w:val="000000"/>
                <w:sz w:val="24"/>
              </w:rPr>
            </w:pPr>
          </w:p>
        </w:tc>
        <w:tc>
          <w:tcPr>
            <w:tcW w:w="5712" w:type="dxa"/>
            <w:noWrap w:val="0"/>
            <w:vAlign w:val="center"/>
          </w:tcPr>
          <w:p>
            <w:pPr>
              <w:widowControl/>
              <w:suppressAutoHyphens/>
              <w:spacing w:line="360" w:lineRule="exact"/>
              <w:jc w:val="both"/>
              <w:textAlignment w:val="center"/>
              <w:rPr>
                <w:rFonts w:ascii="Times New Roman" w:hAnsi="Times New Roman" w:eastAsia="仿宋_GB2312"/>
                <w:color w:val="000000"/>
                <w:sz w:val="24"/>
              </w:rPr>
            </w:pPr>
            <w:r>
              <w:rPr>
                <w:rFonts w:ascii="Times New Roman" w:hAnsi="Times New Roman" w:eastAsia="宋体"/>
                <w:color w:val="000000"/>
                <w:kern w:val="0"/>
                <w:sz w:val="24"/>
                <w:lang w:bidi="ar"/>
              </w:rPr>
              <w:t>②</w:t>
            </w:r>
            <w:r>
              <w:rPr>
                <w:rFonts w:ascii="Times New Roman" w:hAnsi="Times New Roman" w:eastAsia="仿宋_GB2312"/>
                <w:color w:val="000000"/>
                <w:kern w:val="0"/>
                <w:sz w:val="24"/>
                <w:lang w:bidi="ar"/>
              </w:rPr>
              <w:t>医院应核对工伤职工身份，确保人与身份证件相符。</w:t>
            </w:r>
          </w:p>
        </w:tc>
        <w:tc>
          <w:tcPr>
            <w:tcW w:w="1725" w:type="dxa"/>
            <w:noWrap w:val="0"/>
            <w:vAlign w:val="center"/>
          </w:tcPr>
          <w:p>
            <w:pPr>
              <w:widowControl/>
              <w:suppressAutoHyphens/>
              <w:spacing w:line="36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平时调查、现场考察</w:t>
            </w:r>
          </w:p>
        </w:tc>
        <w:tc>
          <w:tcPr>
            <w:tcW w:w="2588" w:type="dxa"/>
            <w:noWrap w:val="0"/>
            <w:vAlign w:val="center"/>
          </w:tcPr>
          <w:p>
            <w:pPr>
              <w:widowControl/>
              <w:suppressAutoHyphens/>
              <w:spacing w:line="36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不符合要求的，查实1例扣1分，扣完为止。</w:t>
            </w:r>
          </w:p>
        </w:tc>
        <w:tc>
          <w:tcPr>
            <w:tcW w:w="725" w:type="dxa"/>
            <w:noWrap w:val="0"/>
            <w:vAlign w:val="center"/>
          </w:tcPr>
          <w:p>
            <w:pPr>
              <w:widowControl/>
              <w:suppressAutoHyphens/>
              <w:spacing w:line="36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3</w:t>
            </w:r>
          </w:p>
        </w:tc>
        <w:tc>
          <w:tcPr>
            <w:tcW w:w="700" w:type="dxa"/>
            <w:noWrap w:val="0"/>
            <w:vAlign w:val="center"/>
          </w:tcPr>
          <w:p>
            <w:pPr>
              <w:suppressAutoHyphens/>
              <w:spacing w:line="360" w:lineRule="exact"/>
              <w:jc w:val="left"/>
              <w:rPr>
                <w:rFonts w:ascii="Times New Roman" w:hAnsi="Times New Roman" w:eastAsia="仿宋_GB2312"/>
                <w:color w:val="000000"/>
                <w:sz w:val="24"/>
              </w:rPr>
            </w:pPr>
          </w:p>
        </w:tc>
        <w:tc>
          <w:tcPr>
            <w:tcW w:w="718" w:type="dxa"/>
            <w:noWrap w:val="0"/>
            <w:vAlign w:val="center"/>
          </w:tcPr>
          <w:p>
            <w:pPr>
              <w:suppressAutoHyphens/>
              <w:spacing w:line="360" w:lineRule="exact"/>
              <w:jc w:val="lef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noWrap w:val="0"/>
            <w:vAlign w:val="center"/>
          </w:tcPr>
          <w:p>
            <w:pPr>
              <w:widowControl/>
              <w:suppressAutoHyphens/>
              <w:spacing w:line="36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19</w:t>
            </w:r>
          </w:p>
        </w:tc>
        <w:tc>
          <w:tcPr>
            <w:tcW w:w="1000" w:type="dxa"/>
            <w:vMerge w:val="continue"/>
            <w:noWrap w:val="0"/>
            <w:vAlign w:val="center"/>
          </w:tcPr>
          <w:p>
            <w:pPr>
              <w:suppressAutoHyphens/>
              <w:spacing w:line="360" w:lineRule="exact"/>
              <w:jc w:val="left"/>
              <w:rPr>
                <w:rFonts w:ascii="Times New Roman" w:hAnsi="Times New Roman" w:eastAsia="仿宋_GB2312"/>
                <w:color w:val="000000"/>
                <w:sz w:val="24"/>
              </w:rPr>
            </w:pPr>
          </w:p>
        </w:tc>
        <w:tc>
          <w:tcPr>
            <w:tcW w:w="1200" w:type="dxa"/>
            <w:vMerge w:val="continue"/>
            <w:noWrap w:val="0"/>
            <w:vAlign w:val="center"/>
          </w:tcPr>
          <w:p>
            <w:pPr>
              <w:suppressAutoHyphens/>
              <w:spacing w:line="360" w:lineRule="exact"/>
              <w:jc w:val="center"/>
              <w:rPr>
                <w:rFonts w:ascii="Times New Roman" w:hAnsi="Times New Roman" w:eastAsia="仿宋_GB2312"/>
                <w:color w:val="000000"/>
                <w:sz w:val="24"/>
              </w:rPr>
            </w:pPr>
          </w:p>
        </w:tc>
        <w:tc>
          <w:tcPr>
            <w:tcW w:w="5712" w:type="dxa"/>
            <w:noWrap w:val="0"/>
            <w:vAlign w:val="center"/>
          </w:tcPr>
          <w:p>
            <w:pPr>
              <w:widowControl/>
              <w:suppressAutoHyphens/>
              <w:spacing w:line="360" w:lineRule="exact"/>
              <w:jc w:val="left"/>
              <w:textAlignment w:val="center"/>
              <w:rPr>
                <w:rFonts w:ascii="Times New Roman" w:hAnsi="Times New Roman" w:eastAsia="仿宋_GB2312"/>
                <w:color w:val="000000"/>
                <w:sz w:val="24"/>
              </w:rPr>
            </w:pPr>
            <w:r>
              <w:rPr>
                <w:rFonts w:ascii="Times New Roman" w:hAnsi="Times New Roman" w:eastAsia="宋体"/>
                <w:color w:val="000000"/>
                <w:kern w:val="0"/>
                <w:sz w:val="24"/>
                <w:lang w:bidi="ar"/>
              </w:rPr>
              <w:t>③</w:t>
            </w:r>
            <w:r>
              <w:rPr>
                <w:rFonts w:ascii="Times New Roman" w:hAnsi="Times New Roman" w:eastAsia="仿宋_GB2312"/>
                <w:color w:val="000000"/>
                <w:kern w:val="0"/>
                <w:sz w:val="24"/>
                <w:lang w:bidi="ar"/>
              </w:rPr>
              <w:t>住院期间</w:t>
            </w:r>
            <w:r>
              <w:rPr>
                <w:rFonts w:hint="eastAsia" w:ascii="Times New Roman" w:hAnsi="Times New Roman" w:eastAsia="仿宋_GB2312"/>
                <w:color w:val="000000"/>
                <w:kern w:val="0"/>
                <w:sz w:val="24"/>
                <w:lang w:eastAsia="zh-CN" w:bidi="ar"/>
              </w:rPr>
              <w:t>严禁</w:t>
            </w:r>
            <w:r>
              <w:rPr>
                <w:rFonts w:ascii="Times New Roman" w:hAnsi="Times New Roman" w:eastAsia="仿宋_GB2312"/>
                <w:color w:val="000000"/>
                <w:kern w:val="0"/>
                <w:sz w:val="24"/>
                <w:lang w:bidi="ar"/>
              </w:rPr>
              <w:t>挂床住院。</w:t>
            </w:r>
          </w:p>
        </w:tc>
        <w:tc>
          <w:tcPr>
            <w:tcW w:w="1725" w:type="dxa"/>
            <w:noWrap w:val="0"/>
            <w:vAlign w:val="center"/>
          </w:tcPr>
          <w:p>
            <w:pPr>
              <w:widowControl/>
              <w:suppressAutoHyphens/>
              <w:spacing w:line="36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平时调查、现场考察及抽查病历</w:t>
            </w:r>
          </w:p>
        </w:tc>
        <w:tc>
          <w:tcPr>
            <w:tcW w:w="2588" w:type="dxa"/>
            <w:noWrap w:val="0"/>
            <w:vAlign w:val="center"/>
          </w:tcPr>
          <w:p>
            <w:pPr>
              <w:widowControl/>
              <w:suppressAutoHyphens/>
              <w:spacing w:line="36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查实1例扣1分，扣完为止。</w:t>
            </w:r>
          </w:p>
        </w:tc>
        <w:tc>
          <w:tcPr>
            <w:tcW w:w="725" w:type="dxa"/>
            <w:noWrap w:val="0"/>
            <w:vAlign w:val="center"/>
          </w:tcPr>
          <w:p>
            <w:pPr>
              <w:widowControl/>
              <w:suppressAutoHyphens/>
              <w:spacing w:line="360" w:lineRule="exact"/>
              <w:jc w:val="center"/>
              <w:textAlignment w:val="center"/>
              <w:rPr>
                <w:rFonts w:hint="eastAsia" w:ascii="Times New Roman" w:hAnsi="Times New Roman" w:eastAsia="仿宋_GB2312"/>
                <w:color w:val="000000"/>
                <w:sz w:val="24"/>
                <w:lang w:eastAsia="zh-CN"/>
              </w:rPr>
            </w:pPr>
            <w:r>
              <w:rPr>
                <w:rFonts w:hint="eastAsia" w:ascii="Times New Roman" w:hAnsi="Times New Roman" w:eastAsia="仿宋_GB2312"/>
                <w:color w:val="000000"/>
                <w:kern w:val="0"/>
                <w:sz w:val="24"/>
                <w:lang w:val="en-US" w:eastAsia="zh-CN" w:bidi="ar"/>
              </w:rPr>
              <w:t>4</w:t>
            </w:r>
          </w:p>
        </w:tc>
        <w:tc>
          <w:tcPr>
            <w:tcW w:w="700" w:type="dxa"/>
            <w:noWrap w:val="0"/>
            <w:vAlign w:val="center"/>
          </w:tcPr>
          <w:p>
            <w:pPr>
              <w:suppressAutoHyphens/>
              <w:spacing w:line="360" w:lineRule="exact"/>
              <w:jc w:val="left"/>
              <w:rPr>
                <w:rFonts w:ascii="Times New Roman" w:hAnsi="Times New Roman" w:eastAsia="仿宋_GB2312"/>
                <w:color w:val="000000"/>
                <w:sz w:val="24"/>
              </w:rPr>
            </w:pPr>
          </w:p>
        </w:tc>
        <w:tc>
          <w:tcPr>
            <w:tcW w:w="718" w:type="dxa"/>
            <w:noWrap w:val="0"/>
            <w:vAlign w:val="center"/>
          </w:tcPr>
          <w:p>
            <w:pPr>
              <w:suppressAutoHyphens/>
              <w:spacing w:line="360" w:lineRule="exact"/>
              <w:jc w:val="lef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5" w:hRule="atLeast"/>
          <w:jc w:val="center"/>
        </w:trPr>
        <w:tc>
          <w:tcPr>
            <w:tcW w:w="785" w:type="dxa"/>
            <w:noWrap w:val="0"/>
            <w:vAlign w:val="center"/>
          </w:tcPr>
          <w:p>
            <w:pPr>
              <w:widowControl/>
              <w:suppressAutoHyphens/>
              <w:spacing w:line="36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20</w:t>
            </w:r>
          </w:p>
        </w:tc>
        <w:tc>
          <w:tcPr>
            <w:tcW w:w="1000" w:type="dxa"/>
            <w:vMerge w:val="continue"/>
            <w:noWrap w:val="0"/>
            <w:vAlign w:val="center"/>
          </w:tcPr>
          <w:p>
            <w:pPr>
              <w:suppressAutoHyphens/>
              <w:spacing w:line="360" w:lineRule="exact"/>
              <w:jc w:val="left"/>
              <w:rPr>
                <w:rFonts w:ascii="Times New Roman" w:hAnsi="Times New Roman" w:eastAsia="仿宋_GB2312"/>
                <w:color w:val="000000"/>
                <w:sz w:val="24"/>
              </w:rPr>
            </w:pPr>
          </w:p>
        </w:tc>
        <w:tc>
          <w:tcPr>
            <w:tcW w:w="1200" w:type="dxa"/>
            <w:vMerge w:val="continue"/>
            <w:noWrap w:val="0"/>
            <w:vAlign w:val="center"/>
          </w:tcPr>
          <w:p>
            <w:pPr>
              <w:suppressAutoHyphens/>
              <w:spacing w:line="360" w:lineRule="exact"/>
              <w:jc w:val="center"/>
              <w:rPr>
                <w:rFonts w:ascii="Times New Roman" w:hAnsi="Times New Roman" w:eastAsia="仿宋_GB2312"/>
                <w:color w:val="000000"/>
                <w:sz w:val="24"/>
              </w:rPr>
            </w:pPr>
          </w:p>
        </w:tc>
        <w:tc>
          <w:tcPr>
            <w:tcW w:w="5712" w:type="dxa"/>
            <w:noWrap w:val="0"/>
            <w:vAlign w:val="center"/>
          </w:tcPr>
          <w:p>
            <w:pPr>
              <w:widowControl/>
              <w:suppressAutoHyphens/>
              <w:spacing w:line="360" w:lineRule="exact"/>
              <w:jc w:val="both"/>
              <w:textAlignment w:val="center"/>
              <w:rPr>
                <w:rFonts w:ascii="Times New Roman" w:hAnsi="Times New Roman" w:eastAsia="仿宋_GB2312"/>
                <w:color w:val="000000"/>
                <w:sz w:val="24"/>
              </w:rPr>
            </w:pPr>
            <w:r>
              <w:rPr>
                <w:rFonts w:ascii="Times New Roman" w:hAnsi="Times New Roman" w:eastAsia="宋体"/>
                <w:color w:val="000000"/>
                <w:kern w:val="0"/>
                <w:sz w:val="24"/>
                <w:lang w:bidi="ar"/>
              </w:rPr>
              <w:t>④</w:t>
            </w:r>
            <w:r>
              <w:rPr>
                <w:rFonts w:ascii="Times New Roman" w:hAnsi="Times New Roman" w:eastAsia="仿宋_GB2312"/>
                <w:color w:val="000000"/>
                <w:kern w:val="0"/>
                <w:sz w:val="24"/>
                <w:lang w:bidi="ar"/>
              </w:rPr>
              <w:t>根据出院病人伤情按规定出院带药并做好记录。</w:t>
            </w:r>
          </w:p>
        </w:tc>
        <w:tc>
          <w:tcPr>
            <w:tcW w:w="1725" w:type="dxa"/>
            <w:noWrap w:val="0"/>
            <w:vAlign w:val="center"/>
          </w:tcPr>
          <w:p>
            <w:pPr>
              <w:widowControl/>
              <w:suppressAutoHyphens/>
              <w:spacing w:line="36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平时调查、抽查病历</w:t>
            </w:r>
          </w:p>
        </w:tc>
        <w:tc>
          <w:tcPr>
            <w:tcW w:w="2588" w:type="dxa"/>
            <w:noWrap w:val="0"/>
            <w:vAlign w:val="center"/>
          </w:tcPr>
          <w:p>
            <w:pPr>
              <w:widowControl/>
              <w:suppressAutoHyphens/>
              <w:spacing w:line="36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不符合要求的，查实1例扣1分，扣完为止。</w:t>
            </w:r>
          </w:p>
        </w:tc>
        <w:tc>
          <w:tcPr>
            <w:tcW w:w="725" w:type="dxa"/>
            <w:noWrap w:val="0"/>
            <w:vAlign w:val="center"/>
          </w:tcPr>
          <w:p>
            <w:pPr>
              <w:widowControl/>
              <w:suppressAutoHyphens/>
              <w:spacing w:line="36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3</w:t>
            </w:r>
          </w:p>
        </w:tc>
        <w:tc>
          <w:tcPr>
            <w:tcW w:w="700" w:type="dxa"/>
            <w:noWrap w:val="0"/>
            <w:vAlign w:val="center"/>
          </w:tcPr>
          <w:p>
            <w:pPr>
              <w:suppressAutoHyphens/>
              <w:spacing w:line="360" w:lineRule="exact"/>
              <w:jc w:val="left"/>
              <w:rPr>
                <w:rFonts w:ascii="Times New Roman" w:hAnsi="Times New Roman" w:eastAsia="仿宋_GB2312"/>
                <w:color w:val="000000"/>
                <w:sz w:val="24"/>
              </w:rPr>
            </w:pPr>
          </w:p>
        </w:tc>
        <w:tc>
          <w:tcPr>
            <w:tcW w:w="718" w:type="dxa"/>
            <w:noWrap w:val="0"/>
            <w:vAlign w:val="center"/>
          </w:tcPr>
          <w:p>
            <w:pPr>
              <w:suppressAutoHyphens/>
              <w:spacing w:line="360" w:lineRule="exact"/>
              <w:jc w:val="lef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noWrap w:val="0"/>
            <w:vAlign w:val="center"/>
          </w:tcPr>
          <w:p>
            <w:pPr>
              <w:widowControl/>
              <w:suppressAutoHyphens/>
              <w:spacing w:line="36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21</w:t>
            </w:r>
          </w:p>
        </w:tc>
        <w:tc>
          <w:tcPr>
            <w:tcW w:w="1000" w:type="dxa"/>
            <w:vMerge w:val="continue"/>
            <w:noWrap w:val="0"/>
            <w:vAlign w:val="center"/>
          </w:tcPr>
          <w:p>
            <w:pPr>
              <w:suppressAutoHyphens/>
              <w:spacing w:line="360" w:lineRule="exact"/>
              <w:jc w:val="left"/>
              <w:rPr>
                <w:rFonts w:ascii="Times New Roman" w:hAnsi="Times New Roman" w:eastAsia="仿宋_GB2312"/>
                <w:color w:val="000000"/>
                <w:sz w:val="24"/>
              </w:rPr>
            </w:pPr>
          </w:p>
        </w:tc>
        <w:tc>
          <w:tcPr>
            <w:tcW w:w="1200" w:type="dxa"/>
            <w:vMerge w:val="continue"/>
            <w:noWrap w:val="0"/>
            <w:vAlign w:val="center"/>
          </w:tcPr>
          <w:p>
            <w:pPr>
              <w:suppressAutoHyphens/>
              <w:spacing w:line="360" w:lineRule="exact"/>
              <w:jc w:val="center"/>
              <w:rPr>
                <w:rFonts w:ascii="Times New Roman" w:hAnsi="Times New Roman" w:eastAsia="仿宋_GB2312"/>
                <w:color w:val="000000"/>
                <w:sz w:val="24"/>
              </w:rPr>
            </w:pPr>
          </w:p>
        </w:tc>
        <w:tc>
          <w:tcPr>
            <w:tcW w:w="5712" w:type="dxa"/>
            <w:noWrap w:val="0"/>
            <w:vAlign w:val="center"/>
          </w:tcPr>
          <w:p>
            <w:pPr>
              <w:widowControl/>
              <w:suppressAutoHyphens/>
              <w:spacing w:line="360" w:lineRule="exact"/>
              <w:jc w:val="both"/>
              <w:textAlignment w:val="center"/>
              <w:rPr>
                <w:rFonts w:ascii="Times New Roman" w:hAnsi="Times New Roman" w:eastAsia="仿宋_GB2312"/>
                <w:color w:val="000000"/>
                <w:sz w:val="24"/>
              </w:rPr>
            </w:pPr>
            <w:r>
              <w:rPr>
                <w:rFonts w:ascii="Times New Roman" w:hAnsi="Times New Roman" w:eastAsia="宋体"/>
                <w:color w:val="000000"/>
                <w:kern w:val="0"/>
                <w:sz w:val="24"/>
                <w:highlight w:val="none"/>
                <w:lang w:bidi="ar"/>
              </w:rPr>
              <w:t>⑤</w:t>
            </w:r>
            <w:r>
              <w:rPr>
                <w:rFonts w:ascii="Times New Roman" w:hAnsi="Times New Roman" w:eastAsia="仿宋_GB2312"/>
                <w:color w:val="000000"/>
                <w:kern w:val="0"/>
                <w:sz w:val="24"/>
                <w:highlight w:val="none"/>
                <w:lang w:bidi="ar"/>
              </w:rPr>
              <w:t>严格履行外转病人审批程序，根据病情需要转院。</w:t>
            </w:r>
          </w:p>
        </w:tc>
        <w:tc>
          <w:tcPr>
            <w:tcW w:w="1725" w:type="dxa"/>
            <w:noWrap w:val="0"/>
            <w:vAlign w:val="center"/>
          </w:tcPr>
          <w:p>
            <w:pPr>
              <w:widowControl/>
              <w:suppressAutoHyphens/>
              <w:spacing w:line="36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查资料记录、平时调查</w:t>
            </w:r>
          </w:p>
        </w:tc>
        <w:tc>
          <w:tcPr>
            <w:tcW w:w="2588" w:type="dxa"/>
            <w:noWrap w:val="0"/>
            <w:vAlign w:val="center"/>
          </w:tcPr>
          <w:p>
            <w:pPr>
              <w:widowControl/>
              <w:suppressAutoHyphens/>
              <w:spacing w:line="36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不符合要求的，查实1例扣1分，扣完为止。</w:t>
            </w:r>
          </w:p>
        </w:tc>
        <w:tc>
          <w:tcPr>
            <w:tcW w:w="725" w:type="dxa"/>
            <w:noWrap w:val="0"/>
            <w:vAlign w:val="center"/>
          </w:tcPr>
          <w:p>
            <w:pPr>
              <w:widowControl/>
              <w:suppressAutoHyphens/>
              <w:spacing w:line="36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2</w:t>
            </w:r>
          </w:p>
        </w:tc>
        <w:tc>
          <w:tcPr>
            <w:tcW w:w="700" w:type="dxa"/>
            <w:noWrap w:val="0"/>
            <w:vAlign w:val="center"/>
          </w:tcPr>
          <w:p>
            <w:pPr>
              <w:suppressAutoHyphens/>
              <w:spacing w:line="360" w:lineRule="exact"/>
              <w:jc w:val="left"/>
              <w:rPr>
                <w:rFonts w:ascii="Times New Roman" w:hAnsi="Times New Roman" w:eastAsia="仿宋_GB2312"/>
                <w:color w:val="000000"/>
                <w:sz w:val="24"/>
              </w:rPr>
            </w:pPr>
          </w:p>
        </w:tc>
        <w:tc>
          <w:tcPr>
            <w:tcW w:w="718" w:type="dxa"/>
            <w:noWrap w:val="0"/>
            <w:vAlign w:val="center"/>
          </w:tcPr>
          <w:p>
            <w:pPr>
              <w:suppressAutoHyphens/>
              <w:spacing w:line="360" w:lineRule="exact"/>
              <w:jc w:val="lef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785" w:type="dxa"/>
            <w:noWrap w:val="0"/>
            <w:vAlign w:val="center"/>
          </w:tcPr>
          <w:p>
            <w:pPr>
              <w:widowControl/>
              <w:suppressAutoHyphens/>
              <w:spacing w:line="36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22</w:t>
            </w:r>
          </w:p>
        </w:tc>
        <w:tc>
          <w:tcPr>
            <w:tcW w:w="1000" w:type="dxa"/>
            <w:vMerge w:val="continue"/>
            <w:noWrap w:val="0"/>
            <w:vAlign w:val="center"/>
          </w:tcPr>
          <w:p>
            <w:pPr>
              <w:suppressAutoHyphens/>
              <w:spacing w:line="360" w:lineRule="exact"/>
              <w:jc w:val="left"/>
              <w:rPr>
                <w:rFonts w:ascii="Times New Roman" w:hAnsi="Times New Roman" w:eastAsia="仿宋_GB2312"/>
                <w:color w:val="000000"/>
                <w:sz w:val="24"/>
              </w:rPr>
            </w:pPr>
          </w:p>
        </w:tc>
        <w:tc>
          <w:tcPr>
            <w:tcW w:w="1200" w:type="dxa"/>
            <w:noWrap w:val="0"/>
            <w:vAlign w:val="center"/>
          </w:tcPr>
          <w:p>
            <w:pPr>
              <w:widowControl/>
              <w:suppressAutoHyphens/>
              <w:spacing w:line="36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自费告知制度</w:t>
            </w:r>
          </w:p>
        </w:tc>
        <w:tc>
          <w:tcPr>
            <w:tcW w:w="5712" w:type="dxa"/>
            <w:noWrap w:val="0"/>
            <w:vAlign w:val="center"/>
          </w:tcPr>
          <w:p>
            <w:pPr>
              <w:widowControl/>
              <w:suppressAutoHyphens/>
              <w:spacing w:line="360" w:lineRule="exact"/>
              <w:jc w:val="both"/>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工伤职工住院期间需使用超出三个目录范围的项目，要注明</w:t>
            </w:r>
            <w:r>
              <w:rPr>
                <w:rFonts w:hint="eastAsia" w:ascii="Times New Roman" w:hAnsi="Times New Roman" w:eastAsia="仿宋_GB2312"/>
                <w:color w:val="000000"/>
                <w:kern w:val="0"/>
                <w:sz w:val="24"/>
                <w:lang w:eastAsia="zh-CN" w:bidi="ar"/>
              </w:rPr>
              <w:t>“</w:t>
            </w:r>
            <w:r>
              <w:rPr>
                <w:rFonts w:ascii="Times New Roman" w:hAnsi="Times New Roman" w:eastAsia="仿宋_GB2312"/>
                <w:color w:val="000000"/>
                <w:kern w:val="0"/>
                <w:sz w:val="24"/>
                <w:lang w:bidi="ar"/>
              </w:rPr>
              <w:t>自费</w:t>
            </w:r>
            <w:r>
              <w:rPr>
                <w:rFonts w:hint="eastAsia" w:ascii="Times New Roman" w:hAnsi="Times New Roman" w:eastAsia="仿宋_GB2312"/>
                <w:color w:val="000000"/>
                <w:kern w:val="0"/>
                <w:sz w:val="24"/>
                <w:lang w:eastAsia="zh-CN" w:bidi="ar"/>
              </w:rPr>
              <w:t>”</w:t>
            </w:r>
            <w:r>
              <w:rPr>
                <w:rFonts w:ascii="Times New Roman" w:hAnsi="Times New Roman" w:eastAsia="仿宋_GB2312"/>
                <w:color w:val="000000"/>
                <w:kern w:val="0"/>
                <w:sz w:val="24"/>
                <w:lang w:bidi="ar"/>
              </w:rPr>
              <w:t>字样，并应书面告知伤者或用人单位，签名确认。</w:t>
            </w:r>
          </w:p>
        </w:tc>
        <w:tc>
          <w:tcPr>
            <w:tcW w:w="1725" w:type="dxa"/>
            <w:noWrap w:val="0"/>
            <w:vAlign w:val="center"/>
          </w:tcPr>
          <w:p>
            <w:pPr>
              <w:widowControl/>
              <w:suppressAutoHyphens/>
              <w:spacing w:line="36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平时调查、抽查病历等</w:t>
            </w:r>
          </w:p>
        </w:tc>
        <w:tc>
          <w:tcPr>
            <w:tcW w:w="2588" w:type="dxa"/>
            <w:noWrap w:val="0"/>
            <w:vAlign w:val="center"/>
          </w:tcPr>
          <w:p>
            <w:pPr>
              <w:widowControl/>
              <w:suppressAutoHyphens/>
              <w:spacing w:line="36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不符合要求的，查实1例扣1分，扣完为止。</w:t>
            </w:r>
          </w:p>
        </w:tc>
        <w:tc>
          <w:tcPr>
            <w:tcW w:w="725" w:type="dxa"/>
            <w:noWrap w:val="0"/>
            <w:vAlign w:val="center"/>
          </w:tcPr>
          <w:p>
            <w:pPr>
              <w:widowControl/>
              <w:suppressAutoHyphens/>
              <w:spacing w:line="36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4</w:t>
            </w:r>
          </w:p>
        </w:tc>
        <w:tc>
          <w:tcPr>
            <w:tcW w:w="700" w:type="dxa"/>
            <w:noWrap w:val="0"/>
            <w:vAlign w:val="center"/>
          </w:tcPr>
          <w:p>
            <w:pPr>
              <w:suppressAutoHyphens/>
              <w:spacing w:line="360" w:lineRule="exact"/>
              <w:jc w:val="left"/>
              <w:rPr>
                <w:rFonts w:ascii="Times New Roman" w:hAnsi="Times New Roman" w:eastAsia="仿宋_GB2312"/>
                <w:color w:val="000000"/>
                <w:sz w:val="24"/>
              </w:rPr>
            </w:pPr>
          </w:p>
        </w:tc>
        <w:tc>
          <w:tcPr>
            <w:tcW w:w="718" w:type="dxa"/>
            <w:noWrap w:val="0"/>
            <w:vAlign w:val="center"/>
          </w:tcPr>
          <w:p>
            <w:pPr>
              <w:suppressAutoHyphens/>
              <w:spacing w:line="360" w:lineRule="exact"/>
              <w:jc w:val="lef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noWrap w:val="0"/>
            <w:vAlign w:val="center"/>
          </w:tcPr>
          <w:p>
            <w:pPr>
              <w:widowControl/>
              <w:suppressAutoHyphens/>
              <w:spacing w:line="36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23</w:t>
            </w:r>
          </w:p>
        </w:tc>
        <w:tc>
          <w:tcPr>
            <w:tcW w:w="1000" w:type="dxa"/>
            <w:vMerge w:val="restart"/>
            <w:noWrap w:val="0"/>
            <w:vAlign w:val="center"/>
          </w:tcPr>
          <w:p>
            <w:pPr>
              <w:widowControl/>
              <w:suppressAutoHyphens/>
              <w:adjustRightInd w:val="0"/>
              <w:snapToGrid w:val="0"/>
              <w:spacing w:line="360" w:lineRule="exact"/>
              <w:jc w:val="center"/>
              <w:textAlignment w:val="center"/>
              <w:rPr>
                <w:rFonts w:ascii="Times New Roman" w:hAnsi="Times New Roman" w:eastAsia="仿宋_GB2312"/>
                <w:color w:val="000000"/>
                <w:spacing w:val="-12"/>
                <w:kern w:val="0"/>
                <w:sz w:val="24"/>
                <w:lang w:bidi="ar"/>
              </w:rPr>
            </w:pPr>
            <w:r>
              <w:rPr>
                <w:rFonts w:ascii="Times New Roman" w:hAnsi="Times New Roman" w:eastAsia="仿宋_GB2312"/>
                <w:color w:val="000000"/>
                <w:spacing w:val="-12"/>
                <w:kern w:val="0"/>
                <w:sz w:val="24"/>
                <w:lang w:bidi="ar"/>
              </w:rPr>
              <w:t>医疗业务执行情况</w:t>
            </w:r>
          </w:p>
          <w:p>
            <w:pPr>
              <w:suppressAutoHyphens/>
              <w:spacing w:line="360" w:lineRule="exact"/>
              <w:jc w:val="left"/>
              <w:rPr>
                <w:rFonts w:ascii="Times New Roman" w:hAnsi="Times New Roman" w:eastAsia="仿宋_GB2312"/>
                <w:color w:val="000000"/>
                <w:sz w:val="24"/>
              </w:rPr>
            </w:pPr>
            <w:r>
              <w:rPr>
                <w:rFonts w:ascii="Times New Roman" w:hAnsi="Times New Roman" w:eastAsia="仿宋_GB2312"/>
                <w:color w:val="000000"/>
                <w:spacing w:val="-12"/>
                <w:kern w:val="0"/>
                <w:sz w:val="24"/>
                <w:lang w:bidi="ar"/>
              </w:rPr>
              <w:t>（</w:t>
            </w:r>
            <w:r>
              <w:rPr>
                <w:rFonts w:hint="eastAsia" w:ascii="Times New Roman" w:hAnsi="Times New Roman" w:eastAsia="仿宋_GB2312"/>
                <w:color w:val="000000"/>
                <w:spacing w:val="-12"/>
                <w:kern w:val="0"/>
                <w:sz w:val="24"/>
                <w:lang w:val="en-US" w:eastAsia="zh-CN" w:bidi="ar"/>
              </w:rPr>
              <w:t>7</w:t>
            </w:r>
            <w:r>
              <w:rPr>
                <w:rFonts w:ascii="Times New Roman" w:hAnsi="Times New Roman" w:eastAsia="仿宋_GB2312"/>
                <w:color w:val="000000"/>
                <w:spacing w:val="-12"/>
                <w:kern w:val="0"/>
                <w:sz w:val="24"/>
                <w:lang w:bidi="ar"/>
              </w:rPr>
              <w:t>5分）</w:t>
            </w:r>
          </w:p>
        </w:tc>
        <w:tc>
          <w:tcPr>
            <w:tcW w:w="1200" w:type="dxa"/>
            <w:vMerge w:val="restart"/>
            <w:noWrap w:val="0"/>
            <w:vAlign w:val="center"/>
          </w:tcPr>
          <w:p>
            <w:pPr>
              <w:widowControl/>
              <w:suppressAutoHyphens/>
              <w:spacing w:line="36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医疗费用结算</w:t>
            </w:r>
          </w:p>
        </w:tc>
        <w:tc>
          <w:tcPr>
            <w:tcW w:w="5712" w:type="dxa"/>
            <w:noWrap w:val="0"/>
            <w:vAlign w:val="center"/>
          </w:tcPr>
          <w:p>
            <w:pPr>
              <w:widowControl/>
              <w:suppressAutoHyphens/>
              <w:spacing w:line="360" w:lineRule="exact"/>
              <w:jc w:val="left"/>
              <w:textAlignment w:val="center"/>
              <w:rPr>
                <w:rFonts w:ascii="Times New Roman" w:hAnsi="Times New Roman" w:eastAsia="仿宋_GB2312"/>
                <w:color w:val="000000"/>
                <w:sz w:val="24"/>
              </w:rPr>
            </w:pPr>
            <w:r>
              <w:rPr>
                <w:rFonts w:ascii="Times New Roman" w:hAnsi="Times New Roman" w:eastAsia="宋体"/>
                <w:color w:val="000000"/>
                <w:kern w:val="0"/>
                <w:sz w:val="24"/>
                <w:lang w:bidi="ar"/>
              </w:rPr>
              <w:t>①</w:t>
            </w:r>
            <w:r>
              <w:rPr>
                <w:rFonts w:ascii="Times New Roman" w:hAnsi="Times New Roman" w:eastAsia="仿宋_GB2312"/>
                <w:color w:val="000000"/>
                <w:kern w:val="0"/>
                <w:sz w:val="24"/>
                <w:lang w:bidi="ar"/>
              </w:rPr>
              <w:t>结算项目分类准确。</w:t>
            </w:r>
          </w:p>
        </w:tc>
        <w:tc>
          <w:tcPr>
            <w:tcW w:w="1725" w:type="dxa"/>
            <w:noWrap w:val="0"/>
            <w:vAlign w:val="center"/>
          </w:tcPr>
          <w:p>
            <w:pPr>
              <w:widowControl/>
              <w:suppressAutoHyphens/>
              <w:spacing w:line="36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抽查病历</w:t>
            </w:r>
          </w:p>
        </w:tc>
        <w:tc>
          <w:tcPr>
            <w:tcW w:w="2588" w:type="dxa"/>
            <w:noWrap w:val="0"/>
            <w:vAlign w:val="center"/>
          </w:tcPr>
          <w:p>
            <w:pPr>
              <w:widowControl/>
              <w:suppressAutoHyphens/>
              <w:spacing w:line="36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不符合要求的，查实1例扣1分，扣完为止。</w:t>
            </w:r>
          </w:p>
        </w:tc>
        <w:tc>
          <w:tcPr>
            <w:tcW w:w="725" w:type="dxa"/>
            <w:noWrap w:val="0"/>
            <w:vAlign w:val="center"/>
          </w:tcPr>
          <w:p>
            <w:pPr>
              <w:widowControl/>
              <w:suppressAutoHyphens/>
              <w:spacing w:line="36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2</w:t>
            </w:r>
          </w:p>
        </w:tc>
        <w:tc>
          <w:tcPr>
            <w:tcW w:w="700" w:type="dxa"/>
            <w:noWrap w:val="0"/>
            <w:vAlign w:val="center"/>
          </w:tcPr>
          <w:p>
            <w:pPr>
              <w:suppressAutoHyphens/>
              <w:spacing w:line="360" w:lineRule="exact"/>
              <w:jc w:val="left"/>
              <w:rPr>
                <w:rFonts w:ascii="Times New Roman" w:hAnsi="Times New Roman" w:eastAsia="仿宋_GB2312"/>
                <w:color w:val="000000"/>
                <w:sz w:val="24"/>
              </w:rPr>
            </w:pPr>
          </w:p>
        </w:tc>
        <w:tc>
          <w:tcPr>
            <w:tcW w:w="718" w:type="dxa"/>
            <w:noWrap w:val="0"/>
            <w:vAlign w:val="center"/>
          </w:tcPr>
          <w:p>
            <w:pPr>
              <w:suppressAutoHyphens/>
              <w:spacing w:line="360" w:lineRule="exact"/>
              <w:jc w:val="lef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noWrap w:val="0"/>
            <w:vAlign w:val="center"/>
          </w:tcPr>
          <w:p>
            <w:pPr>
              <w:widowControl/>
              <w:suppressAutoHyphens/>
              <w:spacing w:line="36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24</w:t>
            </w:r>
          </w:p>
        </w:tc>
        <w:tc>
          <w:tcPr>
            <w:tcW w:w="1000" w:type="dxa"/>
            <w:vMerge w:val="continue"/>
            <w:noWrap w:val="0"/>
            <w:vAlign w:val="center"/>
          </w:tcPr>
          <w:p>
            <w:pPr>
              <w:suppressAutoHyphens/>
              <w:spacing w:line="360" w:lineRule="exact"/>
              <w:jc w:val="left"/>
              <w:rPr>
                <w:rFonts w:ascii="Times New Roman" w:hAnsi="Times New Roman" w:eastAsia="仿宋_GB2312"/>
                <w:color w:val="000000"/>
                <w:sz w:val="24"/>
              </w:rPr>
            </w:pPr>
          </w:p>
        </w:tc>
        <w:tc>
          <w:tcPr>
            <w:tcW w:w="1200" w:type="dxa"/>
            <w:vMerge w:val="continue"/>
            <w:noWrap w:val="0"/>
            <w:vAlign w:val="center"/>
          </w:tcPr>
          <w:p>
            <w:pPr>
              <w:suppressAutoHyphens/>
              <w:spacing w:line="360" w:lineRule="exact"/>
              <w:jc w:val="center"/>
              <w:rPr>
                <w:rFonts w:ascii="Times New Roman" w:hAnsi="Times New Roman" w:eastAsia="仿宋_GB2312"/>
                <w:color w:val="000000"/>
                <w:sz w:val="24"/>
              </w:rPr>
            </w:pPr>
          </w:p>
        </w:tc>
        <w:tc>
          <w:tcPr>
            <w:tcW w:w="5712" w:type="dxa"/>
            <w:noWrap w:val="0"/>
            <w:vAlign w:val="center"/>
          </w:tcPr>
          <w:p>
            <w:pPr>
              <w:widowControl/>
              <w:suppressAutoHyphens/>
              <w:spacing w:line="360" w:lineRule="exact"/>
              <w:jc w:val="both"/>
              <w:textAlignment w:val="center"/>
              <w:rPr>
                <w:rFonts w:ascii="Times New Roman" w:hAnsi="Times New Roman" w:eastAsia="仿宋_GB2312"/>
                <w:color w:val="000000"/>
                <w:sz w:val="24"/>
              </w:rPr>
            </w:pPr>
            <w:r>
              <w:rPr>
                <w:rFonts w:ascii="Times New Roman" w:hAnsi="Times New Roman" w:eastAsia="宋体"/>
                <w:color w:val="000000"/>
                <w:kern w:val="0"/>
                <w:sz w:val="24"/>
                <w:lang w:bidi="ar"/>
              </w:rPr>
              <w:t>②</w:t>
            </w:r>
            <w:r>
              <w:rPr>
                <w:rFonts w:ascii="Times New Roman" w:hAnsi="Times New Roman" w:eastAsia="仿宋_GB2312"/>
                <w:color w:val="000000"/>
                <w:kern w:val="0"/>
                <w:sz w:val="24"/>
                <w:lang w:bidi="ar"/>
              </w:rPr>
              <w:t>不得将</w:t>
            </w:r>
            <w:r>
              <w:rPr>
                <w:rFonts w:hint="eastAsia" w:ascii="Times New Roman" w:hAnsi="Times New Roman" w:eastAsia="仿宋_GB2312"/>
                <w:color w:val="000000"/>
                <w:kern w:val="0"/>
                <w:sz w:val="24"/>
                <w:lang w:eastAsia="zh-CN" w:bidi="ar"/>
              </w:rPr>
              <w:t>治疗</w:t>
            </w:r>
            <w:r>
              <w:rPr>
                <w:rFonts w:ascii="Times New Roman" w:hAnsi="Times New Roman" w:eastAsia="仿宋_GB2312"/>
                <w:color w:val="000000"/>
                <w:kern w:val="0"/>
                <w:sz w:val="24"/>
                <w:lang w:bidi="ar"/>
              </w:rPr>
              <w:t>非工伤引发的疾病的医疗费用按工伤保险待遇政策结算。</w:t>
            </w:r>
          </w:p>
        </w:tc>
        <w:tc>
          <w:tcPr>
            <w:tcW w:w="1725" w:type="dxa"/>
            <w:noWrap w:val="0"/>
            <w:vAlign w:val="center"/>
          </w:tcPr>
          <w:p>
            <w:pPr>
              <w:widowControl/>
              <w:suppressAutoHyphens/>
              <w:spacing w:line="36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抽查病历</w:t>
            </w:r>
          </w:p>
        </w:tc>
        <w:tc>
          <w:tcPr>
            <w:tcW w:w="2588" w:type="dxa"/>
            <w:noWrap w:val="0"/>
            <w:vAlign w:val="center"/>
          </w:tcPr>
          <w:p>
            <w:pPr>
              <w:widowControl/>
              <w:suppressAutoHyphens/>
              <w:spacing w:line="36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查实1例扣1分，扣完为止。</w:t>
            </w:r>
          </w:p>
        </w:tc>
        <w:tc>
          <w:tcPr>
            <w:tcW w:w="725" w:type="dxa"/>
            <w:noWrap w:val="0"/>
            <w:vAlign w:val="center"/>
          </w:tcPr>
          <w:p>
            <w:pPr>
              <w:widowControl/>
              <w:suppressAutoHyphens/>
              <w:spacing w:line="36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3</w:t>
            </w:r>
          </w:p>
        </w:tc>
        <w:tc>
          <w:tcPr>
            <w:tcW w:w="700" w:type="dxa"/>
            <w:noWrap w:val="0"/>
            <w:vAlign w:val="center"/>
          </w:tcPr>
          <w:p>
            <w:pPr>
              <w:suppressAutoHyphens/>
              <w:spacing w:line="360" w:lineRule="exact"/>
              <w:jc w:val="left"/>
              <w:rPr>
                <w:rFonts w:ascii="Times New Roman" w:hAnsi="Times New Roman" w:eastAsia="仿宋_GB2312"/>
                <w:color w:val="000000"/>
                <w:sz w:val="24"/>
              </w:rPr>
            </w:pPr>
          </w:p>
        </w:tc>
        <w:tc>
          <w:tcPr>
            <w:tcW w:w="718" w:type="dxa"/>
            <w:noWrap w:val="0"/>
            <w:vAlign w:val="center"/>
          </w:tcPr>
          <w:p>
            <w:pPr>
              <w:suppressAutoHyphens/>
              <w:spacing w:line="360" w:lineRule="exact"/>
              <w:jc w:val="lef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noWrap w:val="0"/>
            <w:vAlign w:val="center"/>
          </w:tcPr>
          <w:p>
            <w:pPr>
              <w:widowControl/>
              <w:suppressAutoHyphens/>
              <w:spacing w:line="36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25</w:t>
            </w:r>
          </w:p>
        </w:tc>
        <w:tc>
          <w:tcPr>
            <w:tcW w:w="1000" w:type="dxa"/>
            <w:vMerge w:val="continue"/>
            <w:noWrap w:val="0"/>
            <w:vAlign w:val="center"/>
          </w:tcPr>
          <w:p>
            <w:pPr>
              <w:suppressAutoHyphens/>
              <w:spacing w:line="360" w:lineRule="exact"/>
              <w:jc w:val="left"/>
              <w:rPr>
                <w:rFonts w:ascii="Times New Roman" w:hAnsi="Times New Roman" w:eastAsia="仿宋_GB2312"/>
                <w:color w:val="000000"/>
                <w:sz w:val="24"/>
              </w:rPr>
            </w:pPr>
          </w:p>
        </w:tc>
        <w:tc>
          <w:tcPr>
            <w:tcW w:w="1200" w:type="dxa"/>
            <w:vMerge w:val="continue"/>
            <w:noWrap w:val="0"/>
            <w:vAlign w:val="center"/>
          </w:tcPr>
          <w:p>
            <w:pPr>
              <w:suppressAutoHyphens/>
              <w:spacing w:line="360" w:lineRule="exact"/>
              <w:jc w:val="center"/>
              <w:rPr>
                <w:rFonts w:ascii="Times New Roman" w:hAnsi="Times New Roman" w:eastAsia="仿宋_GB2312"/>
                <w:color w:val="000000"/>
                <w:sz w:val="24"/>
              </w:rPr>
            </w:pPr>
          </w:p>
        </w:tc>
        <w:tc>
          <w:tcPr>
            <w:tcW w:w="5712" w:type="dxa"/>
            <w:noWrap w:val="0"/>
            <w:vAlign w:val="center"/>
          </w:tcPr>
          <w:p>
            <w:pPr>
              <w:widowControl/>
              <w:suppressAutoHyphens/>
              <w:spacing w:line="360" w:lineRule="exact"/>
              <w:jc w:val="both"/>
              <w:textAlignment w:val="center"/>
              <w:rPr>
                <w:rFonts w:ascii="Times New Roman" w:hAnsi="Times New Roman" w:eastAsia="仿宋_GB2312"/>
                <w:color w:val="000000"/>
                <w:sz w:val="24"/>
                <w:highlight w:val="none"/>
              </w:rPr>
            </w:pPr>
            <w:r>
              <w:rPr>
                <w:rFonts w:ascii="Times New Roman" w:hAnsi="Times New Roman" w:eastAsia="宋体"/>
                <w:color w:val="000000"/>
                <w:kern w:val="0"/>
                <w:sz w:val="24"/>
                <w:highlight w:val="none"/>
                <w:lang w:bidi="ar"/>
              </w:rPr>
              <w:t>③</w:t>
            </w:r>
            <w:r>
              <w:rPr>
                <w:rFonts w:ascii="Times New Roman" w:hAnsi="Times New Roman" w:eastAsia="仿宋_GB2312"/>
                <w:color w:val="000000"/>
                <w:kern w:val="0"/>
                <w:sz w:val="24"/>
                <w:highlight w:val="none"/>
                <w:lang w:bidi="ar"/>
              </w:rPr>
              <w:t>不得将能办理联网结算的病例按非联网结算处理。</w:t>
            </w:r>
          </w:p>
        </w:tc>
        <w:tc>
          <w:tcPr>
            <w:tcW w:w="1725" w:type="dxa"/>
            <w:noWrap w:val="0"/>
            <w:vAlign w:val="center"/>
          </w:tcPr>
          <w:p>
            <w:pPr>
              <w:widowControl/>
              <w:suppressAutoHyphens/>
              <w:spacing w:line="36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平时调查及抽查病历等</w:t>
            </w:r>
          </w:p>
        </w:tc>
        <w:tc>
          <w:tcPr>
            <w:tcW w:w="2588" w:type="dxa"/>
            <w:noWrap w:val="0"/>
            <w:vAlign w:val="center"/>
          </w:tcPr>
          <w:p>
            <w:pPr>
              <w:widowControl/>
              <w:suppressAutoHyphens/>
              <w:spacing w:line="36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查实1例扣1分，扣完为止。</w:t>
            </w:r>
          </w:p>
        </w:tc>
        <w:tc>
          <w:tcPr>
            <w:tcW w:w="725" w:type="dxa"/>
            <w:noWrap w:val="0"/>
            <w:vAlign w:val="center"/>
          </w:tcPr>
          <w:p>
            <w:pPr>
              <w:widowControl/>
              <w:suppressAutoHyphens/>
              <w:spacing w:line="36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2</w:t>
            </w:r>
          </w:p>
        </w:tc>
        <w:tc>
          <w:tcPr>
            <w:tcW w:w="700" w:type="dxa"/>
            <w:noWrap w:val="0"/>
            <w:vAlign w:val="center"/>
          </w:tcPr>
          <w:p>
            <w:pPr>
              <w:suppressAutoHyphens/>
              <w:spacing w:line="360" w:lineRule="exact"/>
              <w:jc w:val="left"/>
              <w:rPr>
                <w:rFonts w:ascii="Times New Roman" w:hAnsi="Times New Roman" w:eastAsia="仿宋_GB2312"/>
                <w:color w:val="000000"/>
                <w:sz w:val="24"/>
              </w:rPr>
            </w:pPr>
          </w:p>
        </w:tc>
        <w:tc>
          <w:tcPr>
            <w:tcW w:w="718" w:type="dxa"/>
            <w:noWrap w:val="0"/>
            <w:vAlign w:val="center"/>
          </w:tcPr>
          <w:p>
            <w:pPr>
              <w:suppressAutoHyphens/>
              <w:spacing w:line="360" w:lineRule="exact"/>
              <w:jc w:val="lef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5" w:type="dxa"/>
            <w:noWrap w:val="0"/>
            <w:vAlign w:val="center"/>
          </w:tcPr>
          <w:p>
            <w:pPr>
              <w:widowControl/>
              <w:suppressAutoHyphens/>
              <w:spacing w:line="360" w:lineRule="exact"/>
              <w:jc w:val="center"/>
              <w:textAlignment w:val="center"/>
              <w:rPr>
                <w:rFonts w:hint="eastAsia" w:ascii="Times New Roman" w:hAnsi="Times New Roman" w:eastAsia="仿宋_GB2312"/>
                <w:color w:val="000000"/>
                <w:sz w:val="24"/>
                <w:lang w:val="en-US" w:eastAsia="zh-CN"/>
              </w:rPr>
            </w:pPr>
            <w:r>
              <w:rPr>
                <w:rFonts w:ascii="Times New Roman" w:hAnsi="Times New Roman" w:eastAsia="仿宋_GB2312"/>
                <w:color w:val="000000"/>
                <w:kern w:val="0"/>
                <w:sz w:val="24"/>
                <w:lang w:bidi="ar"/>
              </w:rPr>
              <w:t>2</w:t>
            </w:r>
            <w:r>
              <w:rPr>
                <w:rFonts w:hint="eastAsia" w:ascii="Times New Roman" w:hAnsi="Times New Roman" w:eastAsia="仿宋_GB2312"/>
                <w:color w:val="000000"/>
                <w:kern w:val="0"/>
                <w:sz w:val="24"/>
                <w:lang w:val="en-US" w:eastAsia="zh-CN" w:bidi="ar"/>
              </w:rPr>
              <w:t>6</w:t>
            </w:r>
          </w:p>
        </w:tc>
        <w:tc>
          <w:tcPr>
            <w:tcW w:w="1000" w:type="dxa"/>
            <w:vMerge w:val="continue"/>
            <w:noWrap w:val="0"/>
            <w:vAlign w:val="center"/>
          </w:tcPr>
          <w:p>
            <w:pPr>
              <w:suppressAutoHyphens/>
              <w:spacing w:line="360" w:lineRule="exact"/>
              <w:jc w:val="left"/>
              <w:rPr>
                <w:rFonts w:ascii="Times New Roman" w:hAnsi="Times New Roman" w:eastAsia="仿宋_GB2312"/>
                <w:color w:val="000000"/>
                <w:sz w:val="24"/>
              </w:rPr>
            </w:pPr>
          </w:p>
        </w:tc>
        <w:tc>
          <w:tcPr>
            <w:tcW w:w="1200" w:type="dxa"/>
            <w:vMerge w:val="continue"/>
            <w:noWrap w:val="0"/>
            <w:vAlign w:val="center"/>
          </w:tcPr>
          <w:p>
            <w:pPr>
              <w:suppressAutoHyphens/>
              <w:spacing w:line="360" w:lineRule="exact"/>
              <w:jc w:val="center"/>
              <w:rPr>
                <w:rFonts w:ascii="Times New Roman" w:hAnsi="Times New Roman" w:eastAsia="仿宋_GB2312"/>
                <w:color w:val="000000"/>
                <w:sz w:val="24"/>
              </w:rPr>
            </w:pPr>
          </w:p>
        </w:tc>
        <w:tc>
          <w:tcPr>
            <w:tcW w:w="5712" w:type="dxa"/>
            <w:noWrap w:val="0"/>
            <w:vAlign w:val="center"/>
          </w:tcPr>
          <w:p>
            <w:pPr>
              <w:widowControl/>
              <w:suppressAutoHyphens/>
              <w:spacing w:line="360" w:lineRule="exact"/>
              <w:jc w:val="both"/>
              <w:textAlignment w:val="center"/>
              <w:rPr>
                <w:rFonts w:ascii="Times New Roman" w:hAnsi="Times New Roman" w:eastAsia="仿宋_GB2312"/>
                <w:color w:val="000000"/>
                <w:sz w:val="24"/>
                <w:highlight w:val="none"/>
              </w:rPr>
            </w:pPr>
            <w:r>
              <w:rPr>
                <w:rFonts w:ascii="Times New Roman" w:hAnsi="Times New Roman" w:eastAsia="宋体"/>
                <w:color w:val="000000"/>
                <w:kern w:val="0"/>
                <w:sz w:val="24"/>
                <w:highlight w:val="none"/>
                <w:lang w:bidi="ar"/>
              </w:rPr>
              <w:t>④</w:t>
            </w:r>
            <w:r>
              <w:rPr>
                <w:rFonts w:ascii="Times New Roman" w:hAnsi="Times New Roman" w:eastAsia="仿宋_GB2312"/>
                <w:color w:val="000000"/>
                <w:kern w:val="0"/>
                <w:sz w:val="24"/>
                <w:highlight w:val="none"/>
                <w:lang w:bidi="ar"/>
              </w:rPr>
              <w:t>参保职工认定工伤前发生的医疗费用，完成工伤认定后，用人单位或工伤职工（近亲属）持医疗票据、病历、工伤保险参保证明等资料到</w:t>
            </w:r>
            <w:r>
              <w:rPr>
                <w:rFonts w:hint="eastAsia" w:ascii="Times New Roman" w:hAnsi="Times New Roman" w:eastAsia="仿宋_GB2312"/>
                <w:color w:val="000000"/>
                <w:kern w:val="0"/>
                <w:sz w:val="24"/>
                <w:highlight w:val="none"/>
                <w:lang w:eastAsia="zh-CN" w:bidi="ar"/>
              </w:rPr>
              <w:t>服务</w:t>
            </w:r>
            <w:r>
              <w:rPr>
                <w:rFonts w:ascii="Times New Roman" w:hAnsi="Times New Roman" w:eastAsia="仿宋_GB2312"/>
                <w:color w:val="000000"/>
                <w:kern w:val="0"/>
                <w:sz w:val="24"/>
                <w:highlight w:val="none"/>
                <w:lang w:bidi="ar"/>
              </w:rPr>
              <w:t>机构办理退费手续，拒不办理的。</w:t>
            </w:r>
          </w:p>
        </w:tc>
        <w:tc>
          <w:tcPr>
            <w:tcW w:w="1725" w:type="dxa"/>
            <w:noWrap w:val="0"/>
            <w:vAlign w:val="center"/>
          </w:tcPr>
          <w:p>
            <w:pPr>
              <w:widowControl/>
              <w:suppressAutoHyphens/>
              <w:spacing w:line="360" w:lineRule="exact"/>
              <w:jc w:val="center"/>
              <w:textAlignment w:val="center"/>
              <w:rPr>
                <w:rFonts w:hint="eastAsia" w:ascii="Times New Roman" w:hAnsi="Times New Roman" w:eastAsia="仿宋_GB2312"/>
                <w:color w:val="000000"/>
                <w:sz w:val="24"/>
                <w:lang w:eastAsia="zh-CN"/>
              </w:rPr>
            </w:pPr>
            <w:r>
              <w:rPr>
                <w:rFonts w:hint="eastAsia" w:ascii="Times New Roman" w:hAnsi="Times New Roman" w:eastAsia="仿宋_GB2312"/>
                <w:color w:val="000000"/>
                <w:kern w:val="0"/>
                <w:sz w:val="24"/>
                <w:highlight w:val="none"/>
                <w:lang w:eastAsia="zh-CN" w:bidi="ar"/>
              </w:rPr>
              <w:t>检查</w:t>
            </w:r>
            <w:r>
              <w:rPr>
                <w:rFonts w:ascii="Times New Roman" w:hAnsi="Times New Roman" w:eastAsia="仿宋_GB2312"/>
                <w:color w:val="000000"/>
                <w:kern w:val="0"/>
                <w:sz w:val="24"/>
                <w:highlight w:val="none"/>
                <w:lang w:bidi="ar"/>
              </w:rPr>
              <w:t>投诉</w:t>
            </w:r>
            <w:r>
              <w:rPr>
                <w:rFonts w:hint="eastAsia" w:ascii="Times New Roman" w:hAnsi="Times New Roman" w:eastAsia="仿宋_GB2312"/>
                <w:color w:val="000000"/>
                <w:kern w:val="0"/>
                <w:sz w:val="24"/>
                <w:highlight w:val="none"/>
                <w:lang w:eastAsia="zh-CN" w:bidi="ar"/>
              </w:rPr>
              <w:t>情况</w:t>
            </w:r>
          </w:p>
        </w:tc>
        <w:tc>
          <w:tcPr>
            <w:tcW w:w="2588" w:type="dxa"/>
            <w:noWrap w:val="0"/>
            <w:vAlign w:val="center"/>
          </w:tcPr>
          <w:p>
            <w:pPr>
              <w:widowControl/>
              <w:suppressAutoHyphens/>
              <w:spacing w:line="36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查实1例扣1分，扣完为止。</w:t>
            </w:r>
          </w:p>
        </w:tc>
        <w:tc>
          <w:tcPr>
            <w:tcW w:w="725" w:type="dxa"/>
            <w:noWrap w:val="0"/>
            <w:vAlign w:val="center"/>
          </w:tcPr>
          <w:p>
            <w:pPr>
              <w:widowControl/>
              <w:suppressAutoHyphens/>
              <w:spacing w:line="36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4</w:t>
            </w:r>
          </w:p>
        </w:tc>
        <w:tc>
          <w:tcPr>
            <w:tcW w:w="700" w:type="dxa"/>
            <w:noWrap w:val="0"/>
            <w:vAlign w:val="center"/>
          </w:tcPr>
          <w:p>
            <w:pPr>
              <w:suppressAutoHyphens/>
              <w:spacing w:line="360" w:lineRule="exact"/>
              <w:jc w:val="left"/>
              <w:rPr>
                <w:rFonts w:ascii="Times New Roman" w:hAnsi="Times New Roman" w:eastAsia="仿宋_GB2312"/>
                <w:color w:val="000000"/>
                <w:sz w:val="24"/>
              </w:rPr>
            </w:pPr>
          </w:p>
        </w:tc>
        <w:tc>
          <w:tcPr>
            <w:tcW w:w="718" w:type="dxa"/>
            <w:noWrap w:val="0"/>
            <w:vAlign w:val="center"/>
          </w:tcPr>
          <w:p>
            <w:pPr>
              <w:suppressAutoHyphens/>
              <w:spacing w:line="360" w:lineRule="exact"/>
              <w:jc w:val="lef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5" w:type="dxa"/>
            <w:noWrap w:val="0"/>
            <w:vAlign w:val="center"/>
          </w:tcPr>
          <w:p>
            <w:pPr>
              <w:widowControl/>
              <w:suppressAutoHyphens/>
              <w:spacing w:line="360" w:lineRule="exact"/>
              <w:jc w:val="center"/>
              <w:textAlignment w:val="center"/>
              <w:rPr>
                <w:rFonts w:hint="eastAsia" w:ascii="Times New Roman" w:hAnsi="Times New Roman" w:eastAsia="仿宋_GB2312"/>
                <w:color w:val="000000"/>
                <w:sz w:val="24"/>
                <w:lang w:val="en-US" w:eastAsia="zh-CN"/>
              </w:rPr>
            </w:pPr>
            <w:r>
              <w:rPr>
                <w:rFonts w:ascii="Times New Roman" w:hAnsi="Times New Roman" w:eastAsia="仿宋_GB2312"/>
                <w:color w:val="000000"/>
                <w:kern w:val="0"/>
                <w:sz w:val="24"/>
                <w:lang w:bidi="ar"/>
              </w:rPr>
              <w:t>2</w:t>
            </w:r>
            <w:r>
              <w:rPr>
                <w:rFonts w:hint="eastAsia" w:ascii="Times New Roman" w:hAnsi="Times New Roman" w:eastAsia="仿宋_GB2312"/>
                <w:color w:val="000000"/>
                <w:kern w:val="0"/>
                <w:sz w:val="24"/>
                <w:lang w:val="en-US" w:eastAsia="zh-CN" w:bidi="ar"/>
              </w:rPr>
              <w:t>7</w:t>
            </w:r>
          </w:p>
        </w:tc>
        <w:tc>
          <w:tcPr>
            <w:tcW w:w="1000" w:type="dxa"/>
            <w:vMerge w:val="continue"/>
            <w:noWrap w:val="0"/>
            <w:vAlign w:val="center"/>
          </w:tcPr>
          <w:p>
            <w:pPr>
              <w:suppressAutoHyphens/>
              <w:spacing w:line="360" w:lineRule="exact"/>
              <w:jc w:val="left"/>
              <w:rPr>
                <w:rFonts w:ascii="Times New Roman" w:hAnsi="Times New Roman" w:eastAsia="仿宋_GB2312"/>
                <w:color w:val="000000"/>
                <w:sz w:val="24"/>
              </w:rPr>
            </w:pPr>
          </w:p>
        </w:tc>
        <w:tc>
          <w:tcPr>
            <w:tcW w:w="1200" w:type="dxa"/>
            <w:noWrap w:val="0"/>
            <w:vAlign w:val="center"/>
          </w:tcPr>
          <w:p>
            <w:pPr>
              <w:widowControl/>
              <w:suppressAutoHyphens/>
              <w:spacing w:line="36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康复管理</w:t>
            </w:r>
          </w:p>
        </w:tc>
        <w:tc>
          <w:tcPr>
            <w:tcW w:w="5712" w:type="dxa"/>
            <w:noWrap w:val="0"/>
            <w:vAlign w:val="center"/>
          </w:tcPr>
          <w:p>
            <w:pPr>
              <w:widowControl/>
              <w:suppressAutoHyphens/>
              <w:spacing w:line="360" w:lineRule="exact"/>
              <w:jc w:val="both"/>
              <w:textAlignment w:val="top"/>
              <w:rPr>
                <w:rFonts w:ascii="Times New Roman" w:hAnsi="Times New Roman" w:eastAsia="仿宋_GB2312"/>
                <w:color w:val="000000"/>
                <w:sz w:val="24"/>
              </w:rPr>
            </w:pPr>
            <w:r>
              <w:rPr>
                <w:rFonts w:ascii="Times New Roman" w:hAnsi="Times New Roman" w:eastAsia="仿宋_GB2312"/>
                <w:color w:val="000000"/>
                <w:kern w:val="0"/>
                <w:sz w:val="24"/>
                <w:lang w:bidi="ar"/>
              </w:rPr>
              <w:t>工伤职工经劳动能力鉴定委员会</w:t>
            </w:r>
            <w:r>
              <w:rPr>
                <w:rFonts w:hint="eastAsia" w:ascii="Times New Roman" w:hAnsi="Times New Roman" w:eastAsia="仿宋_GB2312"/>
                <w:color w:val="000000"/>
                <w:kern w:val="0"/>
                <w:sz w:val="24"/>
                <w:lang w:val="en-US" w:eastAsia="zh-CN" w:bidi="ar"/>
              </w:rPr>
              <w:t>或工伤保险经办机构</w:t>
            </w:r>
            <w:r>
              <w:rPr>
                <w:rFonts w:ascii="Times New Roman" w:hAnsi="Times New Roman" w:eastAsia="仿宋_GB2312"/>
                <w:color w:val="000000"/>
                <w:kern w:val="0"/>
                <w:sz w:val="24"/>
                <w:lang w:bidi="ar"/>
              </w:rPr>
              <w:t>确认需要进行工伤康复治疗的，配合做好转诊工作，及时将其转入工伤康复机构进行康复治疗。</w:t>
            </w:r>
          </w:p>
        </w:tc>
        <w:tc>
          <w:tcPr>
            <w:tcW w:w="1725" w:type="dxa"/>
            <w:noWrap w:val="0"/>
            <w:vAlign w:val="center"/>
          </w:tcPr>
          <w:p>
            <w:pPr>
              <w:widowControl/>
              <w:suppressAutoHyphens/>
              <w:spacing w:line="36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平时调查、现场考察</w:t>
            </w:r>
          </w:p>
        </w:tc>
        <w:tc>
          <w:tcPr>
            <w:tcW w:w="2588" w:type="dxa"/>
            <w:noWrap w:val="0"/>
            <w:vAlign w:val="center"/>
          </w:tcPr>
          <w:p>
            <w:pPr>
              <w:widowControl/>
              <w:suppressAutoHyphens/>
              <w:spacing w:line="36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不符合要求的，查实1例扣1分，扣完为止。</w:t>
            </w:r>
          </w:p>
        </w:tc>
        <w:tc>
          <w:tcPr>
            <w:tcW w:w="725" w:type="dxa"/>
            <w:noWrap w:val="0"/>
            <w:vAlign w:val="center"/>
          </w:tcPr>
          <w:p>
            <w:pPr>
              <w:widowControl/>
              <w:suppressAutoHyphens/>
              <w:spacing w:line="36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2</w:t>
            </w:r>
          </w:p>
        </w:tc>
        <w:tc>
          <w:tcPr>
            <w:tcW w:w="700" w:type="dxa"/>
            <w:noWrap w:val="0"/>
            <w:vAlign w:val="center"/>
          </w:tcPr>
          <w:p>
            <w:pPr>
              <w:suppressAutoHyphens/>
              <w:spacing w:line="360" w:lineRule="exact"/>
              <w:jc w:val="left"/>
              <w:rPr>
                <w:rFonts w:ascii="Times New Roman" w:hAnsi="Times New Roman" w:eastAsia="仿宋_GB2312"/>
                <w:color w:val="000000"/>
                <w:sz w:val="24"/>
              </w:rPr>
            </w:pPr>
          </w:p>
        </w:tc>
        <w:tc>
          <w:tcPr>
            <w:tcW w:w="718" w:type="dxa"/>
            <w:noWrap w:val="0"/>
            <w:vAlign w:val="center"/>
          </w:tcPr>
          <w:p>
            <w:pPr>
              <w:suppressAutoHyphens/>
              <w:spacing w:line="360" w:lineRule="exact"/>
              <w:jc w:val="lef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5" w:type="dxa"/>
            <w:noWrap w:val="0"/>
            <w:vAlign w:val="center"/>
          </w:tcPr>
          <w:p>
            <w:pPr>
              <w:widowControl/>
              <w:suppressAutoHyphens/>
              <w:spacing w:line="360" w:lineRule="exact"/>
              <w:jc w:val="center"/>
              <w:textAlignment w:val="center"/>
              <w:rPr>
                <w:rFonts w:hint="eastAsia" w:ascii="Times New Roman" w:hAnsi="Times New Roman" w:eastAsia="仿宋_GB2312"/>
                <w:color w:val="000000"/>
                <w:sz w:val="24"/>
                <w:lang w:val="en-US" w:eastAsia="zh-CN"/>
              </w:rPr>
            </w:pPr>
            <w:r>
              <w:rPr>
                <w:rFonts w:ascii="Times New Roman" w:hAnsi="Times New Roman" w:eastAsia="仿宋_GB2312"/>
                <w:color w:val="000000"/>
                <w:kern w:val="0"/>
                <w:sz w:val="24"/>
                <w:lang w:bidi="ar"/>
              </w:rPr>
              <w:t>2</w:t>
            </w:r>
            <w:r>
              <w:rPr>
                <w:rFonts w:hint="eastAsia" w:ascii="Times New Roman" w:hAnsi="Times New Roman" w:eastAsia="仿宋_GB2312"/>
                <w:color w:val="000000"/>
                <w:kern w:val="0"/>
                <w:sz w:val="24"/>
                <w:lang w:val="en-US" w:eastAsia="zh-CN" w:bidi="ar"/>
              </w:rPr>
              <w:t>8</w:t>
            </w:r>
          </w:p>
        </w:tc>
        <w:tc>
          <w:tcPr>
            <w:tcW w:w="1000" w:type="dxa"/>
            <w:vMerge w:val="continue"/>
            <w:noWrap w:val="0"/>
            <w:vAlign w:val="center"/>
          </w:tcPr>
          <w:p>
            <w:pPr>
              <w:suppressAutoHyphens/>
              <w:spacing w:line="360" w:lineRule="exact"/>
              <w:jc w:val="left"/>
              <w:rPr>
                <w:rFonts w:ascii="Times New Roman" w:hAnsi="Times New Roman" w:eastAsia="仿宋_GB2312"/>
                <w:color w:val="000000"/>
                <w:sz w:val="24"/>
              </w:rPr>
            </w:pPr>
          </w:p>
        </w:tc>
        <w:tc>
          <w:tcPr>
            <w:tcW w:w="1200" w:type="dxa"/>
            <w:noWrap w:val="0"/>
            <w:vAlign w:val="center"/>
          </w:tcPr>
          <w:p>
            <w:pPr>
              <w:widowControl/>
              <w:suppressAutoHyphens/>
              <w:spacing w:line="36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其它</w:t>
            </w:r>
          </w:p>
        </w:tc>
        <w:tc>
          <w:tcPr>
            <w:tcW w:w="5712" w:type="dxa"/>
            <w:noWrap w:val="0"/>
            <w:vAlign w:val="center"/>
          </w:tcPr>
          <w:p>
            <w:pPr>
              <w:widowControl/>
              <w:suppressAutoHyphens/>
              <w:spacing w:line="36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违反有关规定，造成工伤保险基金流失的其它行为。</w:t>
            </w:r>
          </w:p>
        </w:tc>
        <w:tc>
          <w:tcPr>
            <w:tcW w:w="1725" w:type="dxa"/>
            <w:noWrap w:val="0"/>
            <w:vAlign w:val="center"/>
          </w:tcPr>
          <w:p>
            <w:pPr>
              <w:widowControl/>
              <w:suppressAutoHyphens/>
              <w:spacing w:line="36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平时调查、现场考察及抽查病历等</w:t>
            </w:r>
          </w:p>
        </w:tc>
        <w:tc>
          <w:tcPr>
            <w:tcW w:w="2588" w:type="dxa"/>
            <w:noWrap w:val="0"/>
            <w:vAlign w:val="center"/>
          </w:tcPr>
          <w:p>
            <w:pPr>
              <w:widowControl/>
              <w:suppressAutoHyphens/>
              <w:spacing w:line="360" w:lineRule="exact"/>
              <w:jc w:val="both"/>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造成基金流失，视</w:t>
            </w:r>
            <w:r>
              <w:rPr>
                <w:rFonts w:hint="eastAsia" w:ascii="Times New Roman" w:hAnsi="Times New Roman" w:eastAsia="仿宋_GB2312"/>
                <w:color w:val="000000"/>
                <w:kern w:val="0"/>
                <w:sz w:val="24"/>
                <w:lang w:eastAsia="zh-CN" w:bidi="ar"/>
              </w:rPr>
              <w:t>服务机构</w:t>
            </w:r>
            <w:r>
              <w:rPr>
                <w:rFonts w:ascii="Times New Roman" w:hAnsi="Times New Roman" w:eastAsia="仿宋_GB2312"/>
                <w:color w:val="000000"/>
                <w:kern w:val="0"/>
                <w:sz w:val="24"/>
                <w:lang w:bidi="ar"/>
              </w:rPr>
              <w:t>挽回基金损失的程度而定：全部挽回的每例扣1分，部分不能挽回的每例扣2分，扣完为止；不能挽回的，每例扣4分。</w:t>
            </w:r>
          </w:p>
        </w:tc>
        <w:tc>
          <w:tcPr>
            <w:tcW w:w="725" w:type="dxa"/>
            <w:noWrap w:val="0"/>
            <w:vAlign w:val="center"/>
          </w:tcPr>
          <w:p>
            <w:pPr>
              <w:widowControl/>
              <w:suppressAutoHyphens/>
              <w:spacing w:line="360" w:lineRule="exact"/>
              <w:jc w:val="center"/>
              <w:textAlignment w:val="center"/>
              <w:rPr>
                <w:rFonts w:hint="eastAsia" w:ascii="Times New Roman" w:hAnsi="Times New Roman" w:eastAsia="仿宋_GB2312"/>
                <w:color w:val="000000"/>
                <w:sz w:val="24"/>
                <w:lang w:eastAsia="zh-CN"/>
              </w:rPr>
            </w:pPr>
            <w:r>
              <w:rPr>
                <w:rFonts w:hint="eastAsia" w:ascii="Times New Roman" w:hAnsi="Times New Roman" w:eastAsia="仿宋_GB2312"/>
                <w:color w:val="000000"/>
                <w:kern w:val="0"/>
                <w:sz w:val="24"/>
                <w:lang w:val="en-US" w:eastAsia="zh-CN" w:bidi="ar"/>
              </w:rPr>
              <w:t>5</w:t>
            </w:r>
          </w:p>
        </w:tc>
        <w:tc>
          <w:tcPr>
            <w:tcW w:w="700" w:type="dxa"/>
            <w:noWrap w:val="0"/>
            <w:vAlign w:val="center"/>
          </w:tcPr>
          <w:p>
            <w:pPr>
              <w:suppressAutoHyphens/>
              <w:spacing w:line="360" w:lineRule="exact"/>
              <w:jc w:val="left"/>
              <w:rPr>
                <w:rFonts w:ascii="Times New Roman" w:hAnsi="Times New Roman" w:eastAsia="仿宋_GB2312"/>
                <w:color w:val="000000"/>
                <w:sz w:val="24"/>
              </w:rPr>
            </w:pPr>
          </w:p>
        </w:tc>
        <w:tc>
          <w:tcPr>
            <w:tcW w:w="718" w:type="dxa"/>
            <w:noWrap w:val="0"/>
            <w:vAlign w:val="center"/>
          </w:tcPr>
          <w:p>
            <w:pPr>
              <w:suppressAutoHyphens/>
              <w:spacing w:line="360" w:lineRule="exact"/>
              <w:jc w:val="lef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785" w:type="dxa"/>
            <w:noWrap w:val="0"/>
            <w:vAlign w:val="center"/>
          </w:tcPr>
          <w:p>
            <w:pPr>
              <w:widowControl/>
              <w:suppressAutoHyphens/>
              <w:spacing w:line="360" w:lineRule="exact"/>
              <w:jc w:val="center"/>
              <w:textAlignment w:val="center"/>
              <w:rPr>
                <w:rFonts w:hint="default" w:ascii="Times New Roman" w:hAnsi="Times New Roman" w:eastAsia="仿宋_GB2312"/>
                <w:color w:val="000000"/>
                <w:sz w:val="24"/>
                <w:lang w:val="en-US" w:eastAsia="zh-CN"/>
              </w:rPr>
            </w:pPr>
            <w:r>
              <w:rPr>
                <w:rFonts w:hint="eastAsia" w:ascii="Times New Roman" w:hAnsi="Times New Roman" w:eastAsia="仿宋_GB2312"/>
                <w:color w:val="000000"/>
                <w:sz w:val="24"/>
                <w:lang w:val="en-US" w:eastAsia="zh-CN"/>
              </w:rPr>
              <w:t>29</w:t>
            </w:r>
          </w:p>
        </w:tc>
        <w:tc>
          <w:tcPr>
            <w:tcW w:w="1000" w:type="dxa"/>
            <w:noWrap w:val="0"/>
            <w:vAlign w:val="center"/>
          </w:tcPr>
          <w:p>
            <w:pPr>
              <w:widowControl/>
              <w:suppressAutoHyphens/>
              <w:spacing w:line="3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收费</w:t>
            </w:r>
          </w:p>
          <w:p>
            <w:pPr>
              <w:widowControl/>
              <w:suppressAutoHyphens/>
              <w:spacing w:line="360" w:lineRule="exact"/>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标准</w:t>
            </w:r>
          </w:p>
          <w:p>
            <w:pPr>
              <w:widowControl/>
              <w:suppressAutoHyphens/>
              <w:spacing w:line="36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（5分）</w:t>
            </w:r>
          </w:p>
        </w:tc>
        <w:tc>
          <w:tcPr>
            <w:tcW w:w="1200" w:type="dxa"/>
            <w:noWrap w:val="0"/>
            <w:vAlign w:val="center"/>
          </w:tcPr>
          <w:p>
            <w:pPr>
              <w:widowControl/>
              <w:suppressAutoHyphens/>
              <w:spacing w:line="36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收费标准执行准确程度</w:t>
            </w:r>
          </w:p>
        </w:tc>
        <w:tc>
          <w:tcPr>
            <w:tcW w:w="5712" w:type="dxa"/>
            <w:noWrap w:val="0"/>
            <w:vAlign w:val="center"/>
          </w:tcPr>
          <w:p>
            <w:pPr>
              <w:widowControl/>
              <w:suppressAutoHyphens/>
              <w:spacing w:line="36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严格</w:t>
            </w:r>
            <w:r>
              <w:rPr>
                <w:rFonts w:hint="eastAsia" w:ascii="Times New Roman" w:hAnsi="Times New Roman" w:eastAsia="仿宋_GB2312"/>
                <w:color w:val="000000"/>
                <w:kern w:val="0"/>
                <w:sz w:val="24"/>
                <w:lang w:val="en-US" w:eastAsia="zh-CN" w:bidi="ar"/>
              </w:rPr>
              <w:t>按照</w:t>
            </w:r>
            <w:r>
              <w:rPr>
                <w:rFonts w:ascii="Times New Roman" w:hAnsi="Times New Roman" w:eastAsia="仿宋_GB2312"/>
                <w:color w:val="000000"/>
                <w:kern w:val="0"/>
                <w:sz w:val="24"/>
                <w:lang w:bidi="ar"/>
              </w:rPr>
              <w:t>国家、</w:t>
            </w:r>
            <w:r>
              <w:rPr>
                <w:rFonts w:hint="eastAsia" w:ascii="Times New Roman" w:hAnsi="Times New Roman" w:eastAsia="仿宋_GB2312"/>
                <w:color w:val="000000"/>
                <w:kern w:val="0"/>
                <w:sz w:val="24"/>
                <w:lang w:val="en-US" w:eastAsia="zh-CN" w:bidi="ar"/>
              </w:rPr>
              <w:t>本</w:t>
            </w:r>
            <w:r>
              <w:rPr>
                <w:rFonts w:ascii="Times New Roman" w:hAnsi="Times New Roman" w:eastAsia="仿宋_GB2312"/>
                <w:color w:val="000000"/>
                <w:kern w:val="0"/>
                <w:sz w:val="24"/>
                <w:lang w:bidi="ar"/>
              </w:rPr>
              <w:t>市相关部门规定的医疗服务价格规定及标准进行收费。</w:t>
            </w:r>
          </w:p>
        </w:tc>
        <w:tc>
          <w:tcPr>
            <w:tcW w:w="1725" w:type="dxa"/>
            <w:noWrap w:val="0"/>
            <w:vAlign w:val="center"/>
          </w:tcPr>
          <w:p>
            <w:pPr>
              <w:widowControl/>
              <w:suppressAutoHyphens/>
              <w:spacing w:line="36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现场考察、平时调查</w:t>
            </w:r>
          </w:p>
        </w:tc>
        <w:tc>
          <w:tcPr>
            <w:tcW w:w="2588" w:type="dxa"/>
            <w:noWrap w:val="0"/>
            <w:vAlign w:val="center"/>
          </w:tcPr>
          <w:p>
            <w:pPr>
              <w:widowControl/>
              <w:suppressAutoHyphens/>
              <w:spacing w:line="360" w:lineRule="exact"/>
              <w:jc w:val="left"/>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不符合要求的，查实1例扣1分，扣完为止。</w:t>
            </w:r>
          </w:p>
        </w:tc>
        <w:tc>
          <w:tcPr>
            <w:tcW w:w="725" w:type="dxa"/>
            <w:noWrap w:val="0"/>
            <w:vAlign w:val="center"/>
          </w:tcPr>
          <w:p>
            <w:pPr>
              <w:widowControl/>
              <w:suppressAutoHyphens/>
              <w:spacing w:line="36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5</w:t>
            </w:r>
          </w:p>
        </w:tc>
        <w:tc>
          <w:tcPr>
            <w:tcW w:w="700" w:type="dxa"/>
            <w:noWrap w:val="0"/>
            <w:vAlign w:val="center"/>
          </w:tcPr>
          <w:p>
            <w:pPr>
              <w:suppressAutoHyphens/>
              <w:spacing w:line="360" w:lineRule="exact"/>
              <w:jc w:val="left"/>
              <w:rPr>
                <w:rFonts w:ascii="Times New Roman" w:hAnsi="Times New Roman" w:eastAsia="仿宋_GB2312"/>
                <w:color w:val="000000"/>
                <w:sz w:val="24"/>
              </w:rPr>
            </w:pPr>
          </w:p>
        </w:tc>
        <w:tc>
          <w:tcPr>
            <w:tcW w:w="718" w:type="dxa"/>
            <w:noWrap w:val="0"/>
            <w:vAlign w:val="center"/>
          </w:tcPr>
          <w:p>
            <w:pPr>
              <w:suppressAutoHyphens/>
              <w:spacing w:line="360" w:lineRule="exact"/>
              <w:jc w:val="lef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noWrap w:val="0"/>
            <w:vAlign w:val="center"/>
          </w:tcPr>
          <w:p>
            <w:pPr>
              <w:widowControl/>
              <w:suppressAutoHyphens/>
              <w:spacing w:line="360" w:lineRule="exact"/>
              <w:jc w:val="center"/>
              <w:textAlignment w:val="center"/>
              <w:rPr>
                <w:rFonts w:hint="eastAsia" w:ascii="Times New Roman" w:hAnsi="Times New Roman" w:eastAsia="仿宋_GB2312"/>
                <w:color w:val="000000"/>
                <w:sz w:val="24"/>
                <w:lang w:val="en-US" w:eastAsia="zh-CN"/>
              </w:rPr>
            </w:pPr>
            <w:r>
              <w:rPr>
                <w:rFonts w:ascii="Times New Roman" w:hAnsi="Times New Roman" w:eastAsia="仿宋_GB2312"/>
                <w:color w:val="000000"/>
                <w:kern w:val="0"/>
                <w:sz w:val="24"/>
                <w:lang w:bidi="ar"/>
              </w:rPr>
              <w:t>3</w:t>
            </w:r>
            <w:r>
              <w:rPr>
                <w:rFonts w:hint="eastAsia" w:ascii="Times New Roman" w:hAnsi="Times New Roman" w:eastAsia="仿宋_GB2312"/>
                <w:color w:val="000000"/>
                <w:kern w:val="0"/>
                <w:sz w:val="24"/>
                <w:lang w:val="en-US" w:eastAsia="zh-CN" w:bidi="ar"/>
              </w:rPr>
              <w:t>0</w:t>
            </w:r>
          </w:p>
        </w:tc>
        <w:tc>
          <w:tcPr>
            <w:tcW w:w="1000" w:type="dxa"/>
            <w:noWrap w:val="0"/>
            <w:vAlign w:val="center"/>
          </w:tcPr>
          <w:p>
            <w:pPr>
              <w:widowControl/>
              <w:suppressAutoHyphens/>
              <w:spacing w:line="36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投诉及</w:t>
            </w:r>
            <w:r>
              <w:rPr>
                <w:rFonts w:ascii="Times New Roman" w:hAnsi="Times New Roman" w:eastAsia="仿宋_GB2312"/>
                <w:color w:val="000000"/>
                <w:kern w:val="0"/>
                <w:sz w:val="24"/>
                <w:lang w:bidi="ar"/>
              </w:rPr>
              <w:br w:type="textWrapping"/>
            </w:r>
            <w:r>
              <w:rPr>
                <w:rFonts w:ascii="Times New Roman" w:hAnsi="Times New Roman" w:eastAsia="仿宋_GB2312"/>
                <w:color w:val="000000"/>
                <w:kern w:val="0"/>
                <w:sz w:val="24"/>
                <w:lang w:bidi="ar"/>
              </w:rPr>
              <w:t>满意度</w:t>
            </w:r>
            <w:r>
              <w:rPr>
                <w:rFonts w:ascii="Times New Roman" w:hAnsi="Times New Roman" w:eastAsia="仿宋_GB2312"/>
                <w:color w:val="000000"/>
                <w:kern w:val="0"/>
                <w:sz w:val="24"/>
                <w:lang w:bidi="ar"/>
              </w:rPr>
              <w:br w:type="textWrapping"/>
            </w:r>
            <w:r>
              <w:rPr>
                <w:rFonts w:ascii="Times New Roman" w:hAnsi="Times New Roman" w:eastAsia="仿宋_GB2312"/>
                <w:color w:val="000000"/>
                <w:kern w:val="0"/>
                <w:sz w:val="24"/>
                <w:lang w:bidi="ar"/>
              </w:rPr>
              <w:t>（5分）</w:t>
            </w:r>
          </w:p>
        </w:tc>
        <w:tc>
          <w:tcPr>
            <w:tcW w:w="1200" w:type="dxa"/>
            <w:noWrap w:val="0"/>
            <w:vAlign w:val="center"/>
          </w:tcPr>
          <w:p>
            <w:pPr>
              <w:widowControl/>
              <w:suppressAutoHyphens/>
              <w:spacing w:line="36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参保人投诉或满意度测评</w:t>
            </w:r>
          </w:p>
        </w:tc>
        <w:tc>
          <w:tcPr>
            <w:tcW w:w="5712" w:type="dxa"/>
            <w:noWrap w:val="0"/>
            <w:vAlign w:val="center"/>
          </w:tcPr>
          <w:p>
            <w:pPr>
              <w:widowControl/>
              <w:suppressAutoHyphens/>
              <w:spacing w:line="360" w:lineRule="exact"/>
              <w:jc w:val="both"/>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对参保人投诉应及时处理、工伤职工就医满意度测评。</w:t>
            </w:r>
          </w:p>
        </w:tc>
        <w:tc>
          <w:tcPr>
            <w:tcW w:w="1725" w:type="dxa"/>
            <w:noWrap w:val="0"/>
            <w:vAlign w:val="center"/>
          </w:tcPr>
          <w:p>
            <w:pPr>
              <w:widowControl/>
              <w:suppressAutoHyphens/>
              <w:spacing w:line="36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现场考察、电话回访等</w:t>
            </w:r>
          </w:p>
        </w:tc>
        <w:tc>
          <w:tcPr>
            <w:tcW w:w="2588" w:type="dxa"/>
            <w:noWrap w:val="0"/>
            <w:vAlign w:val="center"/>
          </w:tcPr>
          <w:p>
            <w:pPr>
              <w:widowControl/>
              <w:suppressAutoHyphens/>
              <w:spacing w:line="360" w:lineRule="exact"/>
              <w:jc w:val="both"/>
              <w:textAlignment w:val="center"/>
              <w:rPr>
                <w:rFonts w:hint="default" w:ascii="Times New Roman" w:hAnsi="Times New Roman" w:eastAsia="仿宋_GB2312"/>
                <w:color w:val="000000"/>
                <w:sz w:val="24"/>
                <w:lang w:val="en-US" w:eastAsia="zh-CN"/>
              </w:rPr>
            </w:pPr>
            <w:r>
              <w:rPr>
                <w:rFonts w:ascii="Times New Roman" w:hAnsi="Times New Roman" w:eastAsia="仿宋_GB2312"/>
                <w:color w:val="000000"/>
                <w:kern w:val="0"/>
                <w:sz w:val="24"/>
                <w:lang w:bidi="ar"/>
              </w:rPr>
              <w:t>1.社保部门接受的投诉，经查实属于</w:t>
            </w:r>
            <w:r>
              <w:rPr>
                <w:rFonts w:hint="eastAsia" w:ascii="Times New Roman" w:hAnsi="Times New Roman" w:eastAsia="仿宋_GB2312"/>
                <w:color w:val="000000"/>
                <w:kern w:val="0"/>
                <w:sz w:val="24"/>
                <w:lang w:eastAsia="zh-CN" w:bidi="ar"/>
              </w:rPr>
              <w:t>服务机构</w:t>
            </w:r>
            <w:r>
              <w:rPr>
                <w:rFonts w:ascii="Times New Roman" w:hAnsi="Times New Roman" w:eastAsia="仿宋_GB2312"/>
                <w:color w:val="000000"/>
                <w:kern w:val="0"/>
                <w:sz w:val="24"/>
                <w:lang w:bidi="ar"/>
              </w:rPr>
              <w:t>责任的，每例扣1分，扣完为止。</w:t>
            </w:r>
            <w:r>
              <w:rPr>
                <w:rFonts w:ascii="Times New Roman" w:hAnsi="Times New Roman" w:eastAsia="仿宋_GB2312"/>
                <w:color w:val="000000"/>
                <w:kern w:val="0"/>
                <w:sz w:val="24"/>
                <w:highlight w:val="none"/>
                <w:lang w:bidi="ar"/>
              </w:rPr>
              <w:t>2.</w:t>
            </w:r>
            <w:r>
              <w:rPr>
                <w:rFonts w:hint="eastAsia" w:ascii="Times New Roman" w:hAnsi="Times New Roman" w:eastAsia="仿宋_GB2312"/>
                <w:color w:val="000000"/>
                <w:kern w:val="0"/>
                <w:sz w:val="24"/>
                <w:highlight w:val="none"/>
                <w:lang w:eastAsia="zh-CN" w:bidi="ar"/>
              </w:rPr>
              <w:t>电话随机回访</w:t>
            </w:r>
            <w:r>
              <w:rPr>
                <w:rFonts w:hint="eastAsia" w:ascii="Times New Roman" w:hAnsi="Times New Roman" w:eastAsia="仿宋_GB2312"/>
                <w:color w:val="000000"/>
                <w:kern w:val="0"/>
                <w:sz w:val="24"/>
                <w:highlight w:val="none"/>
                <w:lang w:val="en-US" w:eastAsia="zh-CN" w:bidi="ar"/>
              </w:rPr>
              <w:t>2名</w:t>
            </w:r>
            <w:r>
              <w:rPr>
                <w:rFonts w:hint="eastAsia" w:ascii="Times New Roman" w:hAnsi="Times New Roman" w:eastAsia="仿宋_GB2312"/>
                <w:color w:val="000000"/>
                <w:kern w:val="0"/>
                <w:sz w:val="24"/>
                <w:highlight w:val="none"/>
                <w:lang w:eastAsia="zh-CN" w:bidi="ar"/>
              </w:rPr>
              <w:t>工伤职工就医满意度，每</w:t>
            </w:r>
            <w:r>
              <w:rPr>
                <w:rFonts w:hint="eastAsia" w:ascii="Times New Roman" w:hAnsi="Times New Roman" w:eastAsia="仿宋_GB2312"/>
                <w:color w:val="000000"/>
                <w:kern w:val="0"/>
                <w:sz w:val="24"/>
                <w:highlight w:val="none"/>
                <w:lang w:val="en-US" w:eastAsia="zh-CN" w:bidi="ar"/>
              </w:rPr>
              <w:t>1</w:t>
            </w:r>
            <w:r>
              <w:rPr>
                <w:rFonts w:hint="eastAsia" w:ascii="Times New Roman" w:hAnsi="Times New Roman" w:eastAsia="仿宋_GB2312"/>
                <w:color w:val="000000"/>
                <w:kern w:val="0"/>
                <w:sz w:val="24"/>
                <w:highlight w:val="none"/>
                <w:lang w:eastAsia="zh-CN" w:bidi="ar"/>
              </w:rPr>
              <w:t>例不满意扣</w:t>
            </w:r>
            <w:r>
              <w:rPr>
                <w:rFonts w:hint="eastAsia" w:ascii="Times New Roman" w:hAnsi="Times New Roman" w:eastAsia="仿宋_GB2312"/>
                <w:color w:val="000000"/>
                <w:kern w:val="0"/>
                <w:sz w:val="24"/>
                <w:highlight w:val="none"/>
                <w:lang w:val="en-US" w:eastAsia="zh-CN" w:bidi="ar"/>
              </w:rPr>
              <w:t>1分，扣完为止。</w:t>
            </w:r>
          </w:p>
        </w:tc>
        <w:tc>
          <w:tcPr>
            <w:tcW w:w="725" w:type="dxa"/>
            <w:noWrap w:val="0"/>
            <w:vAlign w:val="center"/>
          </w:tcPr>
          <w:p>
            <w:pPr>
              <w:widowControl/>
              <w:suppressAutoHyphens/>
              <w:spacing w:line="36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5</w:t>
            </w:r>
          </w:p>
        </w:tc>
        <w:tc>
          <w:tcPr>
            <w:tcW w:w="700" w:type="dxa"/>
            <w:noWrap w:val="0"/>
            <w:vAlign w:val="center"/>
          </w:tcPr>
          <w:p>
            <w:pPr>
              <w:suppressAutoHyphens/>
              <w:spacing w:line="360" w:lineRule="exact"/>
              <w:jc w:val="left"/>
              <w:rPr>
                <w:rFonts w:ascii="Times New Roman" w:hAnsi="Times New Roman" w:eastAsia="仿宋_GB2312"/>
                <w:color w:val="000000"/>
                <w:sz w:val="24"/>
              </w:rPr>
            </w:pPr>
          </w:p>
        </w:tc>
        <w:tc>
          <w:tcPr>
            <w:tcW w:w="718" w:type="dxa"/>
            <w:noWrap w:val="0"/>
            <w:vAlign w:val="center"/>
          </w:tcPr>
          <w:p>
            <w:pPr>
              <w:suppressAutoHyphens/>
              <w:spacing w:line="360" w:lineRule="exact"/>
              <w:jc w:val="lef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53" w:type="dxa"/>
            <w:gridSpan w:val="9"/>
            <w:noWrap w:val="0"/>
            <w:vAlign w:val="center"/>
          </w:tcPr>
          <w:p>
            <w:pPr>
              <w:widowControl/>
              <w:suppressAutoHyphens/>
              <w:spacing w:line="360" w:lineRule="exact"/>
              <w:jc w:val="left"/>
              <w:textAlignment w:val="center"/>
              <w:rPr>
                <w:rFonts w:ascii="Times New Roman" w:hAnsi="Times New Roman" w:eastAsia="仿宋_GB2312"/>
                <w:b/>
                <w:color w:val="000000"/>
                <w:sz w:val="24"/>
              </w:rPr>
            </w:pPr>
            <w:r>
              <w:rPr>
                <w:rFonts w:ascii="Times New Roman" w:hAnsi="Times New Roman" w:eastAsia="黑体"/>
                <w:color w:val="000000"/>
                <w:kern w:val="0"/>
                <w:sz w:val="24"/>
                <w:lang w:bidi="ar"/>
              </w:rPr>
              <w:t>二、加分事项（10分）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noWrap w:val="0"/>
            <w:vAlign w:val="center"/>
          </w:tcPr>
          <w:p>
            <w:pPr>
              <w:widowControl/>
              <w:suppressAutoHyphens/>
              <w:spacing w:line="360" w:lineRule="exact"/>
              <w:jc w:val="center"/>
              <w:textAlignment w:val="center"/>
              <w:rPr>
                <w:rFonts w:hint="eastAsia" w:ascii="Times New Roman" w:hAnsi="Times New Roman" w:eastAsia="仿宋_GB2312"/>
                <w:color w:val="000000"/>
                <w:sz w:val="24"/>
                <w:lang w:val="en-US" w:eastAsia="zh-CN"/>
              </w:rPr>
            </w:pPr>
            <w:r>
              <w:rPr>
                <w:rFonts w:ascii="Times New Roman" w:hAnsi="Times New Roman" w:eastAsia="仿宋_GB2312"/>
                <w:color w:val="000000"/>
                <w:kern w:val="0"/>
                <w:sz w:val="24"/>
                <w:lang w:bidi="ar"/>
              </w:rPr>
              <w:t>3</w:t>
            </w:r>
            <w:r>
              <w:rPr>
                <w:rFonts w:hint="eastAsia" w:ascii="Times New Roman" w:hAnsi="Times New Roman" w:eastAsia="仿宋_GB2312"/>
                <w:color w:val="000000"/>
                <w:kern w:val="0"/>
                <w:sz w:val="24"/>
                <w:lang w:val="en-US" w:eastAsia="zh-CN" w:bidi="ar"/>
              </w:rPr>
              <w:t>1</w:t>
            </w:r>
          </w:p>
        </w:tc>
        <w:tc>
          <w:tcPr>
            <w:tcW w:w="2200" w:type="dxa"/>
            <w:gridSpan w:val="2"/>
            <w:noWrap w:val="0"/>
            <w:vAlign w:val="center"/>
          </w:tcPr>
          <w:p>
            <w:pPr>
              <w:widowControl/>
              <w:suppressAutoHyphens/>
              <w:spacing w:line="36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协议审核</w:t>
            </w:r>
          </w:p>
        </w:tc>
        <w:tc>
          <w:tcPr>
            <w:tcW w:w="5712" w:type="dxa"/>
            <w:noWrap w:val="0"/>
            <w:vAlign w:val="center"/>
          </w:tcPr>
          <w:p>
            <w:pPr>
              <w:widowControl/>
              <w:numPr>
                <w:ilvl w:val="0"/>
                <w:numId w:val="0"/>
              </w:numPr>
              <w:suppressAutoHyphens/>
              <w:spacing w:line="360" w:lineRule="exact"/>
              <w:jc w:val="both"/>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val="en-US" w:eastAsia="zh-CN" w:bidi="ar"/>
              </w:rPr>
              <w:t>1.积</w:t>
            </w:r>
            <w:r>
              <w:rPr>
                <w:rFonts w:hint="eastAsia" w:ascii="仿宋_GB2312" w:hAnsi="仿宋_GB2312" w:eastAsia="仿宋_GB2312" w:cs="仿宋_GB2312"/>
                <w:color w:val="000000"/>
                <w:kern w:val="0"/>
                <w:sz w:val="24"/>
                <w:lang w:bidi="ar"/>
              </w:rPr>
              <w:t>极协助</w:t>
            </w:r>
            <w:r>
              <w:rPr>
                <w:rFonts w:hint="eastAsia" w:ascii="仿宋_GB2312" w:hAnsi="仿宋_GB2312" w:eastAsia="仿宋_GB2312" w:cs="仿宋_GB2312"/>
                <w:color w:val="000000"/>
                <w:kern w:val="0"/>
                <w:sz w:val="24"/>
                <w:lang w:val="en-US" w:eastAsia="zh-CN" w:bidi="ar"/>
              </w:rPr>
              <w:t>工伤保险</w:t>
            </w:r>
            <w:r>
              <w:rPr>
                <w:rFonts w:hint="eastAsia" w:ascii="仿宋_GB2312" w:hAnsi="仿宋_GB2312" w:eastAsia="仿宋_GB2312" w:cs="仿宋_GB2312"/>
                <w:color w:val="000000"/>
                <w:kern w:val="0"/>
                <w:sz w:val="24"/>
                <w:lang w:bidi="ar"/>
              </w:rPr>
              <w:t>经办机构派出专家开展工伤医疗待遇审核和病历评审等工作的。</w:t>
            </w:r>
          </w:p>
          <w:p>
            <w:pPr>
              <w:widowControl/>
              <w:numPr>
                <w:ilvl w:val="0"/>
                <w:numId w:val="0"/>
              </w:numPr>
              <w:suppressAutoHyphens/>
              <w:spacing w:line="360" w:lineRule="exact"/>
              <w:jc w:val="both"/>
              <w:textAlignment w:val="center"/>
              <w:rPr>
                <w:rFonts w:ascii="Times New Roman" w:hAnsi="Times New Roman" w:eastAsia="仿宋_GB2312"/>
                <w:color w:val="000000"/>
                <w:kern w:val="0"/>
                <w:sz w:val="24"/>
                <w:lang w:bidi="ar"/>
              </w:rPr>
            </w:pPr>
            <w:r>
              <w:rPr>
                <w:rFonts w:hint="eastAsia" w:ascii="仿宋_GB2312" w:hAnsi="仿宋_GB2312" w:eastAsia="仿宋_GB2312" w:cs="仿宋_GB2312"/>
                <w:color w:val="000000"/>
                <w:kern w:val="0"/>
                <w:sz w:val="24"/>
                <w:lang w:val="en-US" w:eastAsia="zh-CN" w:bidi="ar"/>
              </w:rPr>
              <w:t>2.服务机构</w:t>
            </w:r>
            <w:r>
              <w:rPr>
                <w:rFonts w:hint="eastAsia" w:ascii="仿宋_GB2312" w:hAnsi="仿宋_GB2312" w:eastAsia="仿宋_GB2312" w:cs="仿宋_GB2312"/>
                <w:color w:val="000000"/>
                <w:kern w:val="0"/>
                <w:sz w:val="24"/>
                <w:lang w:eastAsia="zh-CN" w:bidi="ar"/>
              </w:rPr>
              <w:t>符</w:t>
            </w:r>
            <w:r>
              <w:rPr>
                <w:rFonts w:hint="eastAsia" w:ascii="Times New Roman" w:hAnsi="Times New Roman" w:eastAsia="仿宋_GB2312"/>
                <w:color w:val="000000"/>
                <w:kern w:val="0"/>
                <w:sz w:val="24"/>
                <w:lang w:eastAsia="zh-CN" w:bidi="ar"/>
              </w:rPr>
              <w:t>合资质的医疗专家积极参与劳动能力鉴定工作的。</w:t>
            </w:r>
          </w:p>
        </w:tc>
        <w:tc>
          <w:tcPr>
            <w:tcW w:w="1725" w:type="dxa"/>
            <w:noWrap w:val="0"/>
            <w:vAlign w:val="center"/>
          </w:tcPr>
          <w:p>
            <w:pPr>
              <w:widowControl/>
              <w:suppressAutoHyphens/>
              <w:spacing w:line="36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系统备案、日常统计</w:t>
            </w:r>
          </w:p>
        </w:tc>
        <w:tc>
          <w:tcPr>
            <w:tcW w:w="2588" w:type="dxa"/>
            <w:noWrap w:val="0"/>
            <w:vAlign w:val="center"/>
          </w:tcPr>
          <w:p>
            <w:pPr>
              <w:widowControl/>
              <w:suppressAutoHyphens/>
              <w:spacing w:line="360" w:lineRule="exact"/>
              <w:jc w:val="both"/>
              <w:textAlignment w:val="center"/>
              <w:rPr>
                <w:rFonts w:ascii="Times New Roman" w:hAnsi="Times New Roman" w:eastAsia="仿宋_GB2312"/>
                <w:color w:val="000000"/>
                <w:sz w:val="24"/>
              </w:rPr>
            </w:pPr>
            <w:r>
              <w:rPr>
                <w:rFonts w:hint="eastAsia" w:ascii="Times New Roman" w:hAnsi="Times New Roman" w:eastAsia="仿宋_GB2312"/>
                <w:color w:val="000000"/>
                <w:kern w:val="0"/>
                <w:sz w:val="24"/>
                <w:lang w:eastAsia="zh-CN" w:bidi="ar"/>
              </w:rPr>
              <w:t>服务机构</w:t>
            </w:r>
            <w:r>
              <w:rPr>
                <w:rFonts w:ascii="Times New Roman" w:hAnsi="Times New Roman" w:eastAsia="仿宋_GB2312"/>
                <w:color w:val="000000"/>
                <w:kern w:val="0"/>
                <w:sz w:val="24"/>
                <w:lang w:bidi="ar"/>
              </w:rPr>
              <w:t>本年度内有被邀请的专家协助开展相关工作的，按0.5分/人次累计加分，最高不超过</w:t>
            </w:r>
            <w:r>
              <w:rPr>
                <w:rFonts w:hint="eastAsia" w:ascii="Times New Roman" w:hAnsi="Times New Roman" w:eastAsia="仿宋_GB2312"/>
                <w:color w:val="000000"/>
                <w:kern w:val="0"/>
                <w:sz w:val="24"/>
                <w:lang w:val="en-US" w:eastAsia="zh-CN" w:bidi="ar"/>
              </w:rPr>
              <w:t>5</w:t>
            </w:r>
            <w:r>
              <w:rPr>
                <w:rFonts w:ascii="Times New Roman" w:hAnsi="Times New Roman" w:eastAsia="仿宋_GB2312"/>
                <w:color w:val="000000"/>
                <w:kern w:val="0"/>
                <w:sz w:val="24"/>
                <w:lang w:bidi="ar"/>
              </w:rPr>
              <w:t>分。</w:t>
            </w:r>
          </w:p>
        </w:tc>
        <w:tc>
          <w:tcPr>
            <w:tcW w:w="725" w:type="dxa"/>
            <w:noWrap w:val="0"/>
            <w:vAlign w:val="center"/>
          </w:tcPr>
          <w:p>
            <w:pPr>
              <w:widowControl/>
              <w:suppressAutoHyphens/>
              <w:spacing w:line="360" w:lineRule="exact"/>
              <w:jc w:val="center"/>
              <w:textAlignment w:val="center"/>
              <w:rPr>
                <w:rFonts w:hint="eastAsia" w:ascii="Times New Roman" w:hAnsi="Times New Roman" w:eastAsia="仿宋_GB2312"/>
                <w:color w:val="000000"/>
                <w:sz w:val="24"/>
                <w:lang w:val="en-US" w:eastAsia="zh-CN"/>
              </w:rPr>
            </w:pPr>
            <w:r>
              <w:rPr>
                <w:rFonts w:ascii="Times New Roman" w:hAnsi="Times New Roman" w:eastAsia="仿宋_GB2312"/>
                <w:color w:val="000000"/>
                <w:kern w:val="0"/>
                <w:sz w:val="24"/>
                <w:lang w:bidi="ar"/>
              </w:rPr>
              <w:t>0-</w:t>
            </w:r>
            <w:r>
              <w:rPr>
                <w:rFonts w:hint="eastAsia" w:ascii="Times New Roman" w:hAnsi="Times New Roman" w:eastAsia="仿宋_GB2312"/>
                <w:color w:val="000000"/>
                <w:kern w:val="0"/>
                <w:sz w:val="24"/>
                <w:lang w:val="en-US" w:eastAsia="zh-CN" w:bidi="ar"/>
              </w:rPr>
              <w:t>5</w:t>
            </w:r>
          </w:p>
        </w:tc>
        <w:tc>
          <w:tcPr>
            <w:tcW w:w="700" w:type="dxa"/>
            <w:noWrap w:val="0"/>
            <w:vAlign w:val="center"/>
          </w:tcPr>
          <w:p>
            <w:pPr>
              <w:suppressAutoHyphens/>
              <w:spacing w:line="360" w:lineRule="exact"/>
              <w:jc w:val="left"/>
              <w:rPr>
                <w:rFonts w:ascii="Times New Roman" w:hAnsi="Times New Roman" w:eastAsia="仿宋_GB2312"/>
                <w:color w:val="000000"/>
                <w:sz w:val="24"/>
              </w:rPr>
            </w:pPr>
          </w:p>
        </w:tc>
        <w:tc>
          <w:tcPr>
            <w:tcW w:w="718" w:type="dxa"/>
            <w:noWrap w:val="0"/>
            <w:vAlign w:val="center"/>
          </w:tcPr>
          <w:p>
            <w:pPr>
              <w:suppressAutoHyphens/>
              <w:spacing w:line="360" w:lineRule="exact"/>
              <w:jc w:val="lef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1" w:hRule="atLeast"/>
          <w:jc w:val="center"/>
        </w:trPr>
        <w:tc>
          <w:tcPr>
            <w:tcW w:w="2985" w:type="dxa"/>
            <w:gridSpan w:val="3"/>
            <w:noWrap w:val="0"/>
            <w:vAlign w:val="center"/>
          </w:tcPr>
          <w:p>
            <w:pPr>
              <w:suppressAutoHyphens/>
              <w:spacing w:line="360" w:lineRule="exact"/>
              <w:jc w:val="center"/>
              <w:rPr>
                <w:rFonts w:hint="default" w:ascii="Times New Roman" w:hAnsi="Times New Roman" w:eastAsia="仿宋_GB2312"/>
                <w:b/>
                <w:bCs/>
                <w:color w:val="000000"/>
                <w:kern w:val="0"/>
                <w:sz w:val="24"/>
                <w:lang w:val="en-US" w:eastAsia="zh-CN" w:bidi="ar"/>
              </w:rPr>
            </w:pPr>
            <w:r>
              <w:rPr>
                <w:rFonts w:hint="eastAsia" w:ascii="Times New Roman" w:hAnsi="Times New Roman" w:eastAsia="仿宋_GB2312"/>
                <w:b/>
                <w:bCs/>
                <w:color w:val="000000"/>
                <w:kern w:val="0"/>
                <w:sz w:val="24"/>
                <w:lang w:val="en-US" w:eastAsia="zh-CN" w:bidi="ar"/>
              </w:rPr>
              <w:t>考核得分（含加分）</w:t>
            </w:r>
          </w:p>
        </w:tc>
        <w:tc>
          <w:tcPr>
            <w:tcW w:w="5712" w:type="dxa"/>
            <w:noWrap w:val="0"/>
            <w:vAlign w:val="center"/>
          </w:tcPr>
          <w:p>
            <w:pPr>
              <w:suppressAutoHyphens/>
              <w:spacing w:line="360" w:lineRule="exact"/>
              <w:ind w:firstLine="722" w:firstLineChars="300"/>
              <w:rPr>
                <w:rFonts w:ascii="Times New Roman" w:hAnsi="Times New Roman" w:eastAsia="仿宋_GB2312"/>
                <w:b/>
                <w:bCs/>
                <w:color w:val="000000"/>
                <w:kern w:val="0"/>
                <w:sz w:val="24"/>
                <w:lang w:bidi="ar"/>
              </w:rPr>
            </w:pPr>
          </w:p>
        </w:tc>
        <w:tc>
          <w:tcPr>
            <w:tcW w:w="1725" w:type="dxa"/>
            <w:noWrap w:val="0"/>
            <w:vAlign w:val="center"/>
          </w:tcPr>
          <w:p>
            <w:pPr>
              <w:suppressAutoHyphens/>
              <w:spacing w:line="360" w:lineRule="exact"/>
              <w:rPr>
                <w:rFonts w:hint="default" w:ascii="Times New Roman" w:hAnsi="Times New Roman" w:eastAsia="仿宋_GB2312"/>
                <w:b/>
                <w:bCs/>
                <w:color w:val="000000"/>
                <w:kern w:val="0"/>
                <w:sz w:val="24"/>
                <w:lang w:val="en-US" w:eastAsia="zh-CN" w:bidi="ar"/>
              </w:rPr>
            </w:pPr>
            <w:r>
              <w:rPr>
                <w:rFonts w:hint="eastAsia" w:ascii="Times New Roman" w:hAnsi="Times New Roman" w:eastAsia="仿宋_GB2312"/>
                <w:b/>
                <w:bCs/>
                <w:color w:val="000000"/>
                <w:kern w:val="0"/>
                <w:sz w:val="24"/>
                <w:lang w:val="en-US" w:eastAsia="zh-CN" w:bidi="ar"/>
              </w:rPr>
              <w:t>服务机构确认</w:t>
            </w:r>
          </w:p>
        </w:tc>
        <w:tc>
          <w:tcPr>
            <w:tcW w:w="4731" w:type="dxa"/>
            <w:gridSpan w:val="4"/>
            <w:noWrap w:val="0"/>
            <w:vAlign w:val="center"/>
          </w:tcPr>
          <w:p>
            <w:pPr>
              <w:suppressAutoHyphens/>
              <w:spacing w:line="360" w:lineRule="exact"/>
              <w:jc w:val="center"/>
              <w:rPr>
                <w:rFonts w:hint="eastAsia" w:ascii="Times New Roman" w:hAnsi="Times New Roman" w:eastAsia="仿宋_GB2312"/>
                <w:b/>
                <w:bCs/>
                <w:color w:val="000000"/>
                <w:kern w:val="0"/>
                <w:sz w:val="24"/>
                <w:lang w:eastAsia="zh-CN" w:bidi="ar"/>
              </w:rPr>
            </w:pPr>
            <w:r>
              <w:rPr>
                <w:rFonts w:hint="eastAsia" w:ascii="Times New Roman" w:hAnsi="Times New Roman" w:eastAsia="仿宋_GB2312"/>
                <w:b/>
                <w:bCs/>
                <w:color w:val="000000"/>
                <w:kern w:val="0"/>
                <w:sz w:val="24"/>
                <w:lang w:eastAsia="zh-CN" w:bidi="ar"/>
              </w:rPr>
              <w:t>（</w:t>
            </w:r>
            <w:r>
              <w:rPr>
                <w:rFonts w:hint="eastAsia" w:ascii="Times New Roman" w:hAnsi="Times New Roman" w:eastAsia="仿宋_GB2312"/>
                <w:b/>
                <w:bCs/>
                <w:color w:val="000000"/>
                <w:kern w:val="0"/>
                <w:sz w:val="24"/>
                <w:lang w:val="en-US" w:eastAsia="zh-CN" w:bidi="ar"/>
              </w:rPr>
              <w:t>盖章</w:t>
            </w:r>
            <w:r>
              <w:rPr>
                <w:rFonts w:hint="eastAsia" w:ascii="Times New Roman" w:hAnsi="Times New Roman" w:eastAsia="仿宋_GB2312"/>
                <w:b/>
                <w:bCs/>
                <w:color w:val="000000"/>
                <w:kern w:val="0"/>
                <w:sz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53" w:type="dxa"/>
            <w:gridSpan w:val="9"/>
            <w:noWrap w:val="0"/>
            <w:vAlign w:val="center"/>
          </w:tcPr>
          <w:p>
            <w:pPr>
              <w:suppressAutoHyphens/>
              <w:spacing w:line="360" w:lineRule="exact"/>
              <w:rPr>
                <w:rFonts w:ascii="Times New Roman" w:hAnsi="Times New Roman" w:eastAsia="仿宋_GB2312"/>
                <w:color w:val="000000"/>
                <w:sz w:val="24"/>
              </w:rPr>
            </w:pPr>
            <w:r>
              <w:rPr>
                <w:rFonts w:ascii="Times New Roman" w:hAnsi="Times New Roman" w:eastAsia="仿宋_GB2312"/>
                <w:color w:val="000000"/>
                <w:kern w:val="0"/>
                <w:sz w:val="24"/>
                <w:lang w:bidi="ar"/>
              </w:rPr>
              <w:t>备注：此表用于定期监督检查和考核；本表考核满分为100分，基础分值与加分分值得分加和超过100分的，按100分计，得分在60分以上为合格。</w:t>
            </w:r>
          </w:p>
        </w:tc>
      </w:tr>
    </w:tbl>
    <w:p>
      <w:pPr>
        <w:suppressAutoHyphens/>
        <w:spacing w:beforeLines="0" w:afterLines="0"/>
        <w:rPr>
          <w:rFonts w:hint="eastAsia" w:ascii="Times New Roman" w:hAnsi="Times New Roman" w:eastAsia="黑体"/>
          <w:sz w:val="32"/>
          <w:szCs w:val="24"/>
        </w:rPr>
      </w:pPr>
    </w:p>
    <w:p>
      <w:pPr>
        <w:suppressAutoHyphens/>
        <w:spacing w:beforeLines="0" w:afterLines="0"/>
        <w:rPr>
          <w:rFonts w:hint="eastAsia" w:ascii="Times New Roman" w:hAnsi="Times New Roman" w:eastAsia="黑体"/>
          <w:sz w:val="32"/>
          <w:szCs w:val="24"/>
        </w:rPr>
      </w:pPr>
    </w:p>
    <w:p>
      <w:pPr>
        <w:suppressAutoHyphens/>
        <w:spacing w:beforeLines="0" w:afterLines="0"/>
        <w:rPr>
          <w:rFonts w:hint="eastAsia" w:ascii="Times New Roman" w:hAnsi="Times New Roman" w:eastAsia="黑体"/>
          <w:sz w:val="32"/>
          <w:szCs w:val="24"/>
        </w:rPr>
      </w:pPr>
    </w:p>
    <w:p>
      <w:pPr>
        <w:suppressAutoHyphens/>
        <w:spacing w:beforeLines="0" w:afterLines="0"/>
        <w:rPr>
          <w:rFonts w:hint="eastAsia" w:ascii="Times New Roman" w:hAnsi="Times New Roman" w:eastAsia="方正小标宋简体" w:cs="Times New Roman"/>
          <w:color w:val="000000"/>
          <w:kern w:val="0"/>
          <w:sz w:val="36"/>
          <w:szCs w:val="36"/>
          <w:lang w:eastAsia="zh-CN" w:bidi="ar"/>
        </w:rPr>
      </w:pPr>
      <w:r>
        <w:rPr>
          <w:rFonts w:hint="eastAsia" w:ascii="Times New Roman" w:hAnsi="Times New Roman" w:eastAsia="黑体"/>
          <w:sz w:val="32"/>
          <w:szCs w:val="24"/>
        </w:rPr>
        <w:t>附件2</w:t>
      </w:r>
    </w:p>
    <w:p>
      <w:pPr>
        <w:suppressAutoHyphens/>
        <w:spacing w:before="150" w:beforeLines="0" w:afterLines="0" w:line="189" w:lineRule="auto"/>
        <w:jc w:val="center"/>
        <w:rPr>
          <w:rFonts w:hint="eastAsia" w:ascii="宋体" w:hAnsi="宋体" w:eastAsia="宋体" w:cs="宋体"/>
          <w:sz w:val="44"/>
          <w:szCs w:val="44"/>
        </w:rPr>
      </w:pPr>
      <w:r>
        <w:rPr>
          <w:rFonts w:hint="eastAsia" w:ascii="Times New Roman" w:hAnsi="Times New Roman" w:eastAsia="方正小标宋简体" w:cs="Times New Roman"/>
          <w:color w:val="000000"/>
          <w:kern w:val="0"/>
          <w:sz w:val="36"/>
          <w:szCs w:val="36"/>
          <w:lang w:bidi="ar"/>
        </w:rPr>
        <w:t>北京市工伤保险辅助器具配置机构年度考核评分表</w:t>
      </w:r>
    </w:p>
    <w:p>
      <w:pPr>
        <w:suppressAutoHyphens/>
        <w:spacing w:before="229" w:beforeLines="0" w:afterLines="0" w:line="194" w:lineRule="auto"/>
        <w:ind w:left="57" w:firstLine="720" w:firstLineChars="300"/>
        <w:rPr>
          <w:rFonts w:hint="eastAsia" w:ascii="微软雅黑" w:hAnsi="微软雅黑" w:eastAsia="微软雅黑" w:cs="微软雅黑"/>
          <w:sz w:val="24"/>
          <w:szCs w:val="24"/>
        </w:rPr>
      </w:pPr>
      <w:r>
        <w:rPr>
          <w:rFonts w:hint="eastAsia" w:ascii="Times New Roman" w:hAnsi="Times New Roman" w:eastAsia="仿宋_GB2312"/>
          <w:color w:val="000000"/>
          <w:kern w:val="0"/>
          <w:sz w:val="24"/>
          <w:lang w:val="en-US" w:eastAsia="zh-CN" w:bidi="ar"/>
        </w:rPr>
        <w:t xml:space="preserve">服务机构：  </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val="en-US" w:eastAsia="zh-CN"/>
        </w:rPr>
        <w:t xml:space="preserve">        </w:t>
      </w:r>
      <w:r>
        <w:rPr>
          <w:rFonts w:hint="eastAsia" w:ascii="Times New Roman" w:hAnsi="Times New Roman" w:eastAsia="仿宋_GB2312"/>
          <w:color w:val="000000"/>
          <w:kern w:val="0"/>
          <w:sz w:val="24"/>
          <w:lang w:val="en-US" w:eastAsia="zh-CN" w:bidi="ar"/>
        </w:rPr>
        <w:t>评估日期：</w:t>
      </w:r>
    </w:p>
    <w:p>
      <w:pPr>
        <w:suppressAutoHyphens/>
        <w:spacing w:beforeLines="0" w:afterLines="0" w:line="52" w:lineRule="exact"/>
        <w:rPr>
          <w:rFonts w:hint="default" w:eastAsia="宋体"/>
          <w:sz w:val="21"/>
          <w:szCs w:val="24"/>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92"/>
        <w:gridCol w:w="1019"/>
        <w:gridCol w:w="3385"/>
        <w:gridCol w:w="3210"/>
        <w:gridCol w:w="3722"/>
        <w:gridCol w:w="1050"/>
        <w:gridCol w:w="850"/>
        <w:gridCol w:w="7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jc w:val="center"/>
        </w:trPr>
        <w:tc>
          <w:tcPr>
            <w:tcW w:w="59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center"/>
              <w:textAlignment w:val="center"/>
              <w:rPr>
                <w:rFonts w:hint="eastAsia" w:ascii="黑体" w:hAnsi="黑体" w:eastAsia="黑体" w:cs="黑体"/>
                <w:color w:val="000000"/>
                <w:kern w:val="0"/>
                <w:sz w:val="24"/>
                <w:szCs w:val="24"/>
                <w:lang w:bidi="ar"/>
              </w:rPr>
            </w:pPr>
            <w:r>
              <w:rPr>
                <w:rFonts w:hint="eastAsia" w:ascii="黑体" w:hAnsi="黑体" w:eastAsia="黑体" w:cs="黑体"/>
                <w:color w:val="000000"/>
                <w:kern w:val="0"/>
                <w:sz w:val="24"/>
                <w:szCs w:val="24"/>
                <w:lang w:bidi="ar"/>
              </w:rPr>
              <w:t>序号</w:t>
            </w:r>
          </w:p>
        </w:tc>
        <w:tc>
          <w:tcPr>
            <w:tcW w:w="101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beforeLines="0" w:afterLines="0" w:line="360" w:lineRule="exact"/>
              <w:jc w:val="center"/>
              <w:textAlignment w:val="center"/>
              <w:rPr>
                <w:rFonts w:hint="eastAsia" w:ascii="黑体" w:hAnsi="黑体" w:eastAsia="黑体" w:cs="黑体"/>
                <w:color w:val="000000"/>
                <w:kern w:val="0"/>
                <w:sz w:val="24"/>
                <w:szCs w:val="24"/>
                <w:lang w:bidi="ar"/>
              </w:rPr>
            </w:pPr>
            <w:r>
              <w:rPr>
                <w:rFonts w:hint="eastAsia" w:ascii="黑体" w:hAnsi="黑体" w:eastAsia="黑体" w:cs="黑体"/>
                <w:color w:val="000000"/>
                <w:kern w:val="0"/>
                <w:sz w:val="24"/>
                <w:szCs w:val="24"/>
                <w:lang w:bidi="ar"/>
              </w:rPr>
              <w:t>项目</w:t>
            </w:r>
          </w:p>
        </w:tc>
        <w:tc>
          <w:tcPr>
            <w:tcW w:w="338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center"/>
              <w:textAlignment w:val="center"/>
              <w:rPr>
                <w:rFonts w:hint="eastAsia" w:ascii="黑体" w:hAnsi="黑体" w:eastAsia="黑体" w:cs="黑体"/>
                <w:color w:val="000000"/>
                <w:kern w:val="0"/>
                <w:sz w:val="24"/>
                <w:szCs w:val="24"/>
                <w:lang w:bidi="ar"/>
              </w:rPr>
            </w:pPr>
            <w:r>
              <w:rPr>
                <w:rFonts w:hint="eastAsia" w:ascii="黑体" w:hAnsi="黑体" w:eastAsia="黑体" w:cs="黑体"/>
                <w:color w:val="000000"/>
                <w:kern w:val="0"/>
                <w:sz w:val="24"/>
                <w:szCs w:val="24"/>
                <w:lang w:bidi="ar"/>
              </w:rPr>
              <w:t>考核内容</w:t>
            </w:r>
          </w:p>
        </w:tc>
        <w:tc>
          <w:tcPr>
            <w:tcW w:w="6932"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center"/>
              <w:textAlignment w:val="center"/>
              <w:rPr>
                <w:rFonts w:hint="eastAsia" w:ascii="黑体" w:hAnsi="黑体" w:eastAsia="黑体" w:cs="黑体"/>
                <w:color w:val="000000"/>
                <w:kern w:val="0"/>
                <w:sz w:val="24"/>
                <w:szCs w:val="24"/>
                <w:lang w:bidi="ar"/>
              </w:rPr>
            </w:pPr>
            <w:r>
              <w:rPr>
                <w:rFonts w:hint="eastAsia" w:ascii="黑体" w:hAnsi="黑体" w:eastAsia="黑体" w:cs="黑体"/>
                <w:color w:val="000000"/>
                <w:kern w:val="0"/>
                <w:sz w:val="24"/>
                <w:szCs w:val="24"/>
                <w:lang w:bidi="ar"/>
              </w:rPr>
              <w:t>评分标准</w:t>
            </w:r>
          </w:p>
        </w:tc>
        <w:tc>
          <w:tcPr>
            <w:tcW w:w="10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center"/>
              <w:textAlignment w:val="center"/>
              <w:rPr>
                <w:rFonts w:hint="eastAsia" w:ascii="黑体" w:hAnsi="黑体" w:eastAsia="黑体" w:cs="黑体"/>
                <w:color w:val="000000"/>
                <w:kern w:val="0"/>
                <w:sz w:val="24"/>
                <w:szCs w:val="24"/>
                <w:lang w:eastAsia="zh-CN" w:bidi="ar"/>
              </w:rPr>
            </w:pPr>
            <w:r>
              <w:rPr>
                <w:rFonts w:hint="eastAsia" w:ascii="黑体" w:hAnsi="黑体" w:eastAsia="黑体" w:cs="黑体"/>
                <w:color w:val="000000"/>
                <w:kern w:val="0"/>
                <w:sz w:val="24"/>
                <w:szCs w:val="24"/>
                <w:lang w:val="en-US" w:eastAsia="zh-CN" w:bidi="ar"/>
              </w:rPr>
              <w:t>基本分值</w:t>
            </w: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center"/>
              <w:textAlignment w:val="center"/>
              <w:rPr>
                <w:rFonts w:hint="eastAsia" w:ascii="黑体" w:hAnsi="黑体" w:eastAsia="黑体" w:cs="黑体"/>
                <w:color w:val="000000"/>
                <w:kern w:val="0"/>
                <w:sz w:val="24"/>
                <w:szCs w:val="24"/>
                <w:lang w:bidi="ar"/>
              </w:rPr>
            </w:pPr>
            <w:r>
              <w:rPr>
                <w:rFonts w:hint="eastAsia" w:ascii="黑体" w:hAnsi="黑体" w:eastAsia="黑体" w:cs="黑体"/>
                <w:color w:val="000000"/>
                <w:kern w:val="0"/>
                <w:sz w:val="24"/>
                <w:szCs w:val="24"/>
                <w:lang w:bidi="ar"/>
              </w:rPr>
              <w:t>扣分</w:t>
            </w:r>
          </w:p>
          <w:p>
            <w:pPr>
              <w:widowControl/>
              <w:suppressAutoHyphens/>
              <w:spacing w:beforeLines="0" w:afterLines="0" w:line="360" w:lineRule="exact"/>
              <w:jc w:val="center"/>
              <w:textAlignment w:val="center"/>
              <w:rPr>
                <w:rFonts w:hint="eastAsia" w:ascii="黑体" w:hAnsi="黑体" w:eastAsia="黑体" w:cs="黑体"/>
                <w:color w:val="000000"/>
                <w:kern w:val="0"/>
                <w:sz w:val="24"/>
                <w:szCs w:val="24"/>
                <w:lang w:bidi="ar"/>
              </w:rPr>
            </w:pPr>
            <w:r>
              <w:rPr>
                <w:rFonts w:hint="eastAsia" w:ascii="黑体" w:hAnsi="黑体" w:eastAsia="黑体" w:cs="黑体"/>
                <w:color w:val="000000"/>
                <w:kern w:val="0"/>
                <w:sz w:val="24"/>
                <w:szCs w:val="24"/>
                <w:lang w:bidi="ar"/>
              </w:rPr>
              <w:t>依据</w:t>
            </w:r>
          </w:p>
        </w:tc>
        <w:tc>
          <w:tcPr>
            <w:tcW w:w="78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center"/>
              <w:textAlignment w:val="center"/>
              <w:rPr>
                <w:rFonts w:hint="eastAsia" w:ascii="黑体" w:hAnsi="黑体" w:eastAsia="黑体" w:cs="黑体"/>
                <w:color w:val="000000"/>
                <w:kern w:val="0"/>
                <w:sz w:val="24"/>
                <w:szCs w:val="24"/>
                <w:lang w:bidi="ar"/>
              </w:rPr>
            </w:pPr>
            <w:r>
              <w:rPr>
                <w:rFonts w:hint="eastAsia" w:ascii="黑体" w:hAnsi="黑体" w:eastAsia="黑体" w:cs="黑体"/>
                <w:color w:val="000000"/>
                <w:kern w:val="0"/>
                <w:sz w:val="24"/>
                <w:szCs w:val="24"/>
                <w:lang w:bidi="ar"/>
              </w:rPr>
              <w:t>实际</w:t>
            </w:r>
          </w:p>
          <w:p>
            <w:pPr>
              <w:widowControl/>
              <w:suppressAutoHyphens/>
              <w:spacing w:beforeLines="0" w:afterLines="0" w:line="360" w:lineRule="exact"/>
              <w:jc w:val="center"/>
              <w:textAlignment w:val="center"/>
              <w:rPr>
                <w:rFonts w:hint="eastAsia" w:ascii="黑体" w:hAnsi="黑体" w:eastAsia="黑体" w:cs="黑体"/>
                <w:color w:val="000000"/>
                <w:kern w:val="0"/>
                <w:sz w:val="24"/>
                <w:szCs w:val="24"/>
                <w:lang w:bidi="ar"/>
              </w:rPr>
            </w:pPr>
            <w:r>
              <w:rPr>
                <w:rFonts w:hint="eastAsia" w:ascii="黑体" w:hAnsi="黑体" w:eastAsia="黑体" w:cs="黑体"/>
                <w:color w:val="000000"/>
                <w:kern w:val="0"/>
                <w:sz w:val="24"/>
                <w:szCs w:val="24"/>
                <w:lang w:bidi="ar"/>
              </w:rPr>
              <w:t>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13" w:hRule="atLeast"/>
          <w:jc w:val="center"/>
        </w:trPr>
        <w:tc>
          <w:tcPr>
            <w:tcW w:w="592"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center"/>
              <w:textAlignment w:val="center"/>
              <w:rPr>
                <w:rFonts w:hint="default" w:ascii="Times New Roman" w:hAnsi="Times New Roman" w:eastAsia="仿宋_GB2312"/>
                <w:color w:val="000000"/>
                <w:kern w:val="0"/>
                <w:sz w:val="24"/>
                <w:szCs w:val="24"/>
                <w:lang w:bidi="ar"/>
              </w:rPr>
            </w:pPr>
            <w:r>
              <w:rPr>
                <w:rFonts w:hint="default" w:ascii="Times New Roman" w:hAnsi="Times New Roman" w:eastAsia="仿宋_GB2312"/>
                <w:color w:val="000000"/>
                <w:kern w:val="0"/>
                <w:sz w:val="24"/>
                <w:szCs w:val="24"/>
                <w:lang w:bidi="ar"/>
              </w:rPr>
              <w:t>1</w:t>
            </w:r>
          </w:p>
        </w:tc>
        <w:tc>
          <w:tcPr>
            <w:tcW w:w="1019"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olor w:val="000000"/>
                <w:kern w:val="0"/>
                <w:sz w:val="24"/>
                <w:szCs w:val="24"/>
                <w:lang w:bidi="ar"/>
              </w:rPr>
            </w:pPr>
            <w:r>
              <w:rPr>
                <w:rFonts w:hint="eastAsia" w:ascii="Times New Roman" w:hAnsi="Times New Roman" w:eastAsia="仿宋_GB2312"/>
                <w:color w:val="000000"/>
                <w:kern w:val="0"/>
                <w:sz w:val="24"/>
                <w:szCs w:val="24"/>
                <w:lang w:bidi="ar"/>
              </w:rPr>
              <w:t>日常管理 （15分）</w:t>
            </w:r>
          </w:p>
        </w:tc>
        <w:tc>
          <w:tcPr>
            <w:tcW w:w="338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olor w:val="000000"/>
                <w:kern w:val="0"/>
                <w:sz w:val="24"/>
                <w:szCs w:val="24"/>
                <w:lang w:bidi="ar"/>
              </w:rPr>
            </w:pPr>
            <w:r>
              <w:rPr>
                <w:rFonts w:hint="eastAsia" w:ascii="Times New Roman" w:hAnsi="Times New Roman" w:eastAsia="仿宋_GB2312"/>
                <w:color w:val="000000"/>
                <w:kern w:val="0"/>
                <w:sz w:val="24"/>
                <w:szCs w:val="24"/>
                <w:lang w:bidi="ar"/>
              </w:rPr>
              <w:t>是否有违规处理情况。</w:t>
            </w:r>
          </w:p>
        </w:tc>
        <w:tc>
          <w:tcPr>
            <w:tcW w:w="6932"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olor w:val="000000"/>
                <w:kern w:val="0"/>
                <w:sz w:val="24"/>
                <w:szCs w:val="24"/>
                <w:lang w:bidi="ar"/>
              </w:rPr>
            </w:pPr>
            <w:r>
              <w:rPr>
                <w:rFonts w:hint="eastAsia" w:ascii="Times New Roman" w:hAnsi="Times New Roman" w:eastAsia="仿宋_GB2312"/>
                <w:color w:val="000000"/>
                <w:kern w:val="0"/>
                <w:sz w:val="24"/>
                <w:szCs w:val="24"/>
                <w:lang w:bidi="ar"/>
              </w:rPr>
              <w:t>年度内无工伤违规处理（警示约谈或限期整改）情况得5分；有1次（含）以上此项不得分。</w:t>
            </w:r>
          </w:p>
        </w:tc>
        <w:tc>
          <w:tcPr>
            <w:tcW w:w="10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tabs>
                <w:tab w:val="left" w:pos="393"/>
                <w:tab w:val="center" w:pos="578"/>
              </w:tabs>
              <w:suppressAutoHyphens/>
              <w:spacing w:beforeLines="0" w:afterLines="0" w:line="360" w:lineRule="exact"/>
              <w:jc w:val="center"/>
              <w:textAlignment w:val="center"/>
              <w:rPr>
                <w:rFonts w:hint="default" w:ascii="Times New Roman" w:hAnsi="Times New Roman" w:eastAsia="仿宋_GB2312"/>
                <w:color w:val="000000"/>
                <w:kern w:val="0"/>
                <w:sz w:val="24"/>
                <w:szCs w:val="24"/>
                <w:lang w:bidi="ar"/>
              </w:rPr>
            </w:pPr>
            <w:r>
              <w:rPr>
                <w:rFonts w:hint="eastAsia" w:ascii="Times New Roman" w:hAnsi="Times New Roman" w:eastAsia="仿宋_GB2312"/>
                <w:color w:val="000000"/>
                <w:kern w:val="0"/>
                <w:sz w:val="24"/>
                <w:szCs w:val="24"/>
                <w:lang w:bidi="ar"/>
              </w:rPr>
              <w:t>5</w:t>
            </w: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olor w:val="000000"/>
                <w:kern w:val="0"/>
                <w:sz w:val="24"/>
                <w:szCs w:val="24"/>
                <w:lang w:bidi="ar"/>
              </w:rPr>
            </w:pPr>
          </w:p>
        </w:tc>
        <w:tc>
          <w:tcPr>
            <w:tcW w:w="78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olor w:val="000000"/>
                <w:kern w:val="0"/>
                <w:sz w:val="24"/>
                <w:szCs w:val="24"/>
                <w:lang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92"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center"/>
              <w:textAlignment w:val="center"/>
              <w:rPr>
                <w:rFonts w:hint="default" w:ascii="Times New Roman" w:hAnsi="Times New Roman" w:eastAsia="仿宋_GB2312"/>
                <w:color w:val="000000"/>
                <w:kern w:val="0"/>
                <w:sz w:val="24"/>
                <w:szCs w:val="24"/>
                <w:lang w:bidi="ar"/>
              </w:rPr>
            </w:pPr>
          </w:p>
        </w:tc>
        <w:tc>
          <w:tcPr>
            <w:tcW w:w="1019"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olor w:val="000000"/>
                <w:kern w:val="0"/>
                <w:sz w:val="24"/>
                <w:szCs w:val="24"/>
                <w:lang w:bidi="ar"/>
              </w:rPr>
            </w:pPr>
          </w:p>
        </w:tc>
        <w:tc>
          <w:tcPr>
            <w:tcW w:w="338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textAlignment w:val="center"/>
              <w:rPr>
                <w:rFonts w:hint="default" w:ascii="Times New Roman" w:hAnsi="Times New Roman" w:eastAsia="仿宋_GB2312"/>
                <w:color w:val="000000"/>
                <w:kern w:val="0"/>
                <w:sz w:val="24"/>
                <w:szCs w:val="24"/>
                <w:lang w:bidi="ar"/>
              </w:rPr>
            </w:pPr>
            <w:r>
              <w:rPr>
                <w:rFonts w:hint="eastAsia" w:ascii="Times New Roman" w:hAnsi="Times New Roman" w:eastAsia="仿宋_GB2312"/>
                <w:color w:val="000000"/>
                <w:kern w:val="0"/>
                <w:sz w:val="24"/>
                <w:szCs w:val="24"/>
                <w:lang w:bidi="ar"/>
              </w:rPr>
              <w:t>是否有投诉举报情况。</w:t>
            </w:r>
          </w:p>
        </w:tc>
        <w:tc>
          <w:tcPr>
            <w:tcW w:w="6932"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olor w:val="000000"/>
                <w:kern w:val="0"/>
                <w:sz w:val="24"/>
                <w:szCs w:val="24"/>
                <w:lang w:bidi="ar"/>
              </w:rPr>
            </w:pPr>
            <w:r>
              <w:rPr>
                <w:rFonts w:hint="eastAsia" w:ascii="Times New Roman" w:hAnsi="Times New Roman" w:eastAsia="仿宋_GB2312"/>
                <w:color w:val="000000"/>
                <w:kern w:val="0"/>
                <w:sz w:val="24"/>
                <w:szCs w:val="24"/>
                <w:lang w:bidi="ar"/>
              </w:rPr>
              <w:t>年度内无工伤职工投诉举报至经办机构情况得6分，每有1例扣2分。</w:t>
            </w:r>
          </w:p>
        </w:tc>
        <w:tc>
          <w:tcPr>
            <w:tcW w:w="10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center"/>
              <w:textAlignment w:val="center"/>
              <w:rPr>
                <w:rFonts w:hint="eastAsia" w:ascii="Times New Roman" w:hAnsi="Times New Roman" w:eastAsia="仿宋_GB2312"/>
                <w:color w:val="000000"/>
                <w:kern w:val="0"/>
                <w:sz w:val="24"/>
                <w:szCs w:val="24"/>
                <w:lang w:bidi="ar"/>
              </w:rPr>
            </w:pPr>
            <w:r>
              <w:rPr>
                <w:rFonts w:hint="eastAsia" w:ascii="Times New Roman" w:hAnsi="Times New Roman" w:eastAsia="仿宋_GB2312"/>
                <w:color w:val="000000"/>
                <w:kern w:val="0"/>
                <w:sz w:val="24"/>
                <w:szCs w:val="24"/>
                <w:lang w:bidi="ar"/>
              </w:rPr>
              <w:t>6</w:t>
            </w: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olor w:val="000000"/>
                <w:kern w:val="0"/>
                <w:sz w:val="24"/>
                <w:szCs w:val="24"/>
                <w:lang w:bidi="ar"/>
              </w:rPr>
            </w:pPr>
          </w:p>
        </w:tc>
        <w:tc>
          <w:tcPr>
            <w:tcW w:w="78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olor w:val="000000"/>
                <w:kern w:val="0"/>
                <w:sz w:val="24"/>
                <w:szCs w:val="24"/>
                <w:lang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24" w:hRule="atLeast"/>
          <w:jc w:val="center"/>
        </w:trPr>
        <w:tc>
          <w:tcPr>
            <w:tcW w:w="592"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center"/>
              <w:textAlignment w:val="center"/>
              <w:rPr>
                <w:rFonts w:hint="default" w:ascii="Times New Roman" w:hAnsi="Times New Roman" w:eastAsia="仿宋_GB2312"/>
                <w:color w:val="000000"/>
                <w:kern w:val="0"/>
                <w:sz w:val="24"/>
                <w:szCs w:val="24"/>
                <w:lang w:bidi="ar"/>
              </w:rPr>
            </w:pPr>
          </w:p>
        </w:tc>
        <w:tc>
          <w:tcPr>
            <w:tcW w:w="1019"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olor w:val="000000"/>
                <w:kern w:val="0"/>
                <w:sz w:val="24"/>
                <w:szCs w:val="24"/>
                <w:lang w:bidi="ar"/>
              </w:rPr>
            </w:pPr>
          </w:p>
        </w:tc>
        <w:tc>
          <w:tcPr>
            <w:tcW w:w="338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both"/>
              <w:textAlignment w:val="center"/>
              <w:rPr>
                <w:rFonts w:hint="default" w:ascii="Times New Roman" w:hAnsi="Times New Roman" w:eastAsia="仿宋_GB2312"/>
                <w:color w:val="000000"/>
                <w:kern w:val="0"/>
                <w:sz w:val="24"/>
                <w:szCs w:val="24"/>
                <w:lang w:bidi="ar"/>
              </w:rPr>
            </w:pPr>
            <w:r>
              <w:rPr>
                <w:rFonts w:hint="eastAsia" w:ascii="Times New Roman" w:hAnsi="Times New Roman" w:eastAsia="仿宋_GB2312"/>
                <w:color w:val="000000"/>
                <w:kern w:val="0"/>
                <w:sz w:val="24"/>
                <w:szCs w:val="24"/>
                <w:lang w:bidi="ar"/>
              </w:rPr>
              <w:t>工作人员是否有不配合工作情况。</w:t>
            </w:r>
          </w:p>
        </w:tc>
        <w:tc>
          <w:tcPr>
            <w:tcW w:w="6932"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olor w:val="000000"/>
                <w:kern w:val="0"/>
                <w:sz w:val="24"/>
                <w:szCs w:val="24"/>
                <w:lang w:bidi="ar"/>
              </w:rPr>
            </w:pPr>
            <w:r>
              <w:rPr>
                <w:rFonts w:hint="eastAsia" w:ascii="Times New Roman" w:hAnsi="Times New Roman" w:eastAsia="仿宋_GB2312"/>
                <w:color w:val="000000"/>
                <w:kern w:val="0"/>
                <w:sz w:val="24"/>
                <w:szCs w:val="24"/>
                <w:lang w:bidi="ar"/>
              </w:rPr>
              <w:t>日常管理及检查过程中工作人员有不配合的情况，有1次扣2分。</w:t>
            </w:r>
          </w:p>
        </w:tc>
        <w:tc>
          <w:tcPr>
            <w:tcW w:w="10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center"/>
              <w:textAlignment w:val="center"/>
              <w:rPr>
                <w:rFonts w:hint="eastAsia" w:ascii="Times New Roman" w:hAnsi="Times New Roman" w:eastAsia="仿宋_GB2312"/>
                <w:color w:val="000000"/>
                <w:kern w:val="0"/>
                <w:sz w:val="24"/>
                <w:szCs w:val="24"/>
                <w:lang w:bidi="ar"/>
              </w:rPr>
            </w:pPr>
            <w:r>
              <w:rPr>
                <w:rFonts w:hint="eastAsia" w:ascii="Times New Roman" w:hAnsi="Times New Roman" w:eastAsia="仿宋_GB2312"/>
                <w:color w:val="000000"/>
                <w:kern w:val="0"/>
                <w:sz w:val="24"/>
                <w:szCs w:val="24"/>
                <w:lang w:bidi="ar"/>
              </w:rPr>
              <w:t>4</w:t>
            </w: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olor w:val="000000"/>
                <w:kern w:val="0"/>
                <w:sz w:val="24"/>
                <w:szCs w:val="24"/>
                <w:lang w:bidi="ar"/>
              </w:rPr>
            </w:pPr>
          </w:p>
        </w:tc>
        <w:tc>
          <w:tcPr>
            <w:tcW w:w="78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olor w:val="000000"/>
                <w:kern w:val="0"/>
                <w:sz w:val="24"/>
                <w:szCs w:val="24"/>
                <w:lang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9" w:hRule="atLeast"/>
          <w:jc w:val="center"/>
        </w:trPr>
        <w:tc>
          <w:tcPr>
            <w:tcW w:w="592" w:type="dxa"/>
            <w:vMerge w:val="restart"/>
            <w:tcBorders>
              <w:top w:val="single" w:color="000000" w:sz="6" w:space="0"/>
              <w:left w:val="single" w:color="000000" w:sz="6" w:space="0"/>
              <w:bottom w:val="nil"/>
              <w:right w:val="single" w:color="000000" w:sz="6" w:space="0"/>
              <w:tl2br w:val="nil"/>
              <w:tr2bl w:val="nil"/>
            </w:tcBorders>
            <w:noWrap w:val="0"/>
            <w:vAlign w:val="center"/>
          </w:tcPr>
          <w:p>
            <w:pPr>
              <w:widowControl/>
              <w:suppressAutoHyphens/>
              <w:spacing w:beforeLines="0" w:afterLines="0" w:line="360" w:lineRule="exact"/>
              <w:jc w:val="center"/>
              <w:textAlignment w:val="center"/>
              <w:rPr>
                <w:rFonts w:hint="default" w:ascii="Times New Roman" w:hAnsi="Times New Roman" w:eastAsia="仿宋_GB2312"/>
                <w:color w:val="000000"/>
                <w:kern w:val="0"/>
                <w:sz w:val="24"/>
                <w:szCs w:val="24"/>
                <w:lang w:bidi="ar"/>
              </w:rPr>
            </w:pPr>
            <w:r>
              <w:rPr>
                <w:rFonts w:hint="default" w:ascii="Times New Roman" w:hAnsi="Times New Roman" w:eastAsia="仿宋_GB2312"/>
                <w:color w:val="000000"/>
                <w:kern w:val="0"/>
                <w:sz w:val="24"/>
                <w:szCs w:val="24"/>
                <w:lang w:bidi="ar"/>
              </w:rPr>
              <w:t>2</w:t>
            </w:r>
          </w:p>
        </w:tc>
        <w:tc>
          <w:tcPr>
            <w:tcW w:w="1019" w:type="dxa"/>
            <w:vMerge w:val="restart"/>
            <w:tcBorders>
              <w:top w:val="single" w:color="000000" w:sz="6" w:space="0"/>
              <w:left w:val="single" w:color="000000" w:sz="6" w:space="0"/>
              <w:bottom w:val="nil"/>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olor w:val="000000"/>
                <w:kern w:val="0"/>
                <w:sz w:val="24"/>
                <w:szCs w:val="24"/>
                <w:lang w:bidi="ar"/>
              </w:rPr>
            </w:pPr>
            <w:r>
              <w:rPr>
                <w:rFonts w:hint="eastAsia" w:ascii="Times New Roman" w:hAnsi="Times New Roman" w:eastAsia="仿宋_GB2312"/>
                <w:color w:val="000000"/>
                <w:kern w:val="0"/>
                <w:sz w:val="24"/>
                <w:szCs w:val="24"/>
                <w:lang w:bidi="ar"/>
              </w:rPr>
              <w:t>制度建设 （10分）</w:t>
            </w:r>
          </w:p>
        </w:tc>
        <w:tc>
          <w:tcPr>
            <w:tcW w:w="338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olor w:val="000000"/>
                <w:kern w:val="0"/>
                <w:sz w:val="24"/>
                <w:szCs w:val="24"/>
                <w:lang w:bidi="ar"/>
              </w:rPr>
            </w:pPr>
            <w:r>
              <w:rPr>
                <w:rFonts w:hint="eastAsia" w:ascii="Times New Roman" w:hAnsi="Times New Roman" w:eastAsia="仿宋_GB2312"/>
                <w:color w:val="000000"/>
                <w:kern w:val="0"/>
                <w:sz w:val="24"/>
                <w:szCs w:val="24"/>
                <w:lang w:bidi="ar"/>
              </w:rPr>
              <w:t>有财务管理制度并有效执行。</w:t>
            </w:r>
          </w:p>
        </w:tc>
        <w:tc>
          <w:tcPr>
            <w:tcW w:w="6932"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olor w:val="000000"/>
                <w:kern w:val="0"/>
                <w:sz w:val="24"/>
                <w:szCs w:val="24"/>
                <w:lang w:bidi="ar"/>
              </w:rPr>
            </w:pPr>
            <w:r>
              <w:rPr>
                <w:rFonts w:hint="eastAsia" w:ascii="Times New Roman" w:hAnsi="Times New Roman" w:eastAsia="仿宋_GB2312"/>
                <w:color w:val="000000"/>
                <w:kern w:val="0"/>
                <w:sz w:val="24"/>
                <w:szCs w:val="24"/>
                <w:lang w:bidi="ar"/>
              </w:rPr>
              <w:t>财务管理制度健全完善（1分）、财务独立核算（1分） 。</w:t>
            </w:r>
          </w:p>
        </w:tc>
        <w:tc>
          <w:tcPr>
            <w:tcW w:w="10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center"/>
              <w:textAlignment w:val="center"/>
              <w:rPr>
                <w:rFonts w:hint="default" w:ascii="Times New Roman" w:hAnsi="Times New Roman" w:eastAsia="仿宋_GB2312"/>
                <w:color w:val="000000"/>
                <w:kern w:val="0"/>
                <w:sz w:val="24"/>
                <w:szCs w:val="24"/>
                <w:lang w:bidi="ar"/>
              </w:rPr>
            </w:pPr>
            <w:r>
              <w:rPr>
                <w:rFonts w:hint="default" w:ascii="Times New Roman" w:hAnsi="Times New Roman" w:eastAsia="仿宋_GB2312"/>
                <w:color w:val="000000"/>
                <w:kern w:val="0"/>
                <w:sz w:val="24"/>
                <w:szCs w:val="24"/>
                <w:lang w:bidi="ar"/>
              </w:rPr>
              <w:t>2</w:t>
            </w: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olor w:val="000000"/>
                <w:kern w:val="0"/>
                <w:sz w:val="24"/>
                <w:szCs w:val="24"/>
                <w:lang w:bidi="ar"/>
              </w:rPr>
            </w:pPr>
          </w:p>
        </w:tc>
        <w:tc>
          <w:tcPr>
            <w:tcW w:w="78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olor w:val="000000"/>
                <w:kern w:val="0"/>
                <w:sz w:val="24"/>
                <w:szCs w:val="24"/>
                <w:lang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59" w:hRule="atLeast"/>
          <w:jc w:val="center"/>
        </w:trPr>
        <w:tc>
          <w:tcPr>
            <w:tcW w:w="592" w:type="dxa"/>
            <w:vMerge w:val="continue"/>
            <w:tcBorders>
              <w:top w:val="nil"/>
              <w:left w:val="single" w:color="000000" w:sz="6" w:space="0"/>
              <w:bottom w:val="nil"/>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olor w:val="000000"/>
                <w:kern w:val="0"/>
                <w:sz w:val="24"/>
                <w:szCs w:val="24"/>
                <w:lang w:bidi="ar"/>
              </w:rPr>
            </w:pPr>
          </w:p>
        </w:tc>
        <w:tc>
          <w:tcPr>
            <w:tcW w:w="1019" w:type="dxa"/>
            <w:vMerge w:val="continue"/>
            <w:tcBorders>
              <w:top w:val="nil"/>
              <w:left w:val="single" w:color="000000" w:sz="6" w:space="0"/>
              <w:bottom w:val="nil"/>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olor w:val="000000"/>
                <w:kern w:val="0"/>
                <w:sz w:val="24"/>
                <w:szCs w:val="24"/>
                <w:lang w:bidi="ar"/>
              </w:rPr>
            </w:pPr>
          </w:p>
        </w:tc>
        <w:tc>
          <w:tcPr>
            <w:tcW w:w="338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olor w:val="000000"/>
                <w:kern w:val="0"/>
                <w:sz w:val="24"/>
                <w:szCs w:val="24"/>
                <w:lang w:bidi="ar"/>
              </w:rPr>
            </w:pPr>
            <w:r>
              <w:rPr>
                <w:rFonts w:hint="eastAsia" w:ascii="Times New Roman" w:hAnsi="Times New Roman" w:eastAsia="仿宋_GB2312"/>
                <w:color w:val="000000"/>
                <w:kern w:val="0"/>
                <w:sz w:val="24"/>
                <w:szCs w:val="24"/>
                <w:lang w:bidi="ar"/>
              </w:rPr>
              <w:t>有服务流程并有效执行。</w:t>
            </w:r>
          </w:p>
        </w:tc>
        <w:tc>
          <w:tcPr>
            <w:tcW w:w="6932"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olor w:val="000000"/>
                <w:kern w:val="0"/>
                <w:sz w:val="24"/>
                <w:szCs w:val="24"/>
                <w:lang w:bidi="ar"/>
              </w:rPr>
            </w:pPr>
            <w:r>
              <w:rPr>
                <w:rFonts w:hint="eastAsia" w:ascii="Times New Roman" w:hAnsi="Times New Roman" w:eastAsia="仿宋_GB2312"/>
                <w:color w:val="000000"/>
                <w:kern w:val="0"/>
                <w:sz w:val="24"/>
                <w:szCs w:val="24"/>
                <w:lang w:bidi="ar"/>
              </w:rPr>
              <w:t>服务流程健全完善（1分）、有效执行（1分）。</w:t>
            </w:r>
          </w:p>
        </w:tc>
        <w:tc>
          <w:tcPr>
            <w:tcW w:w="10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center"/>
              <w:textAlignment w:val="center"/>
              <w:rPr>
                <w:rFonts w:hint="default" w:ascii="Times New Roman" w:hAnsi="Times New Roman" w:eastAsia="仿宋_GB2312"/>
                <w:color w:val="000000"/>
                <w:kern w:val="0"/>
                <w:sz w:val="24"/>
                <w:szCs w:val="24"/>
                <w:lang w:bidi="ar"/>
              </w:rPr>
            </w:pPr>
            <w:r>
              <w:rPr>
                <w:rFonts w:hint="default" w:ascii="Times New Roman" w:hAnsi="Times New Roman" w:eastAsia="仿宋_GB2312"/>
                <w:color w:val="000000"/>
                <w:kern w:val="0"/>
                <w:sz w:val="24"/>
                <w:szCs w:val="24"/>
                <w:lang w:bidi="ar"/>
              </w:rPr>
              <w:t>2</w:t>
            </w: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olor w:val="000000"/>
                <w:kern w:val="0"/>
                <w:sz w:val="24"/>
                <w:szCs w:val="24"/>
                <w:lang w:bidi="ar"/>
              </w:rPr>
            </w:pPr>
          </w:p>
        </w:tc>
        <w:tc>
          <w:tcPr>
            <w:tcW w:w="78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olor w:val="000000"/>
                <w:kern w:val="0"/>
                <w:sz w:val="24"/>
                <w:szCs w:val="24"/>
                <w:lang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592" w:type="dxa"/>
            <w:vMerge w:val="continue"/>
            <w:tcBorders>
              <w:top w:val="nil"/>
              <w:left w:val="single" w:color="000000" w:sz="6" w:space="0"/>
              <w:bottom w:val="nil"/>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olor w:val="000000"/>
                <w:kern w:val="0"/>
                <w:sz w:val="24"/>
                <w:szCs w:val="24"/>
                <w:lang w:bidi="ar"/>
              </w:rPr>
            </w:pPr>
          </w:p>
        </w:tc>
        <w:tc>
          <w:tcPr>
            <w:tcW w:w="1019" w:type="dxa"/>
            <w:vMerge w:val="continue"/>
            <w:tcBorders>
              <w:top w:val="nil"/>
              <w:left w:val="single" w:color="000000" w:sz="6" w:space="0"/>
              <w:bottom w:val="nil"/>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olor w:val="000000"/>
                <w:kern w:val="0"/>
                <w:sz w:val="24"/>
                <w:szCs w:val="24"/>
                <w:lang w:bidi="ar"/>
              </w:rPr>
            </w:pPr>
          </w:p>
        </w:tc>
        <w:tc>
          <w:tcPr>
            <w:tcW w:w="338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olor w:val="000000"/>
                <w:kern w:val="0"/>
                <w:sz w:val="24"/>
                <w:szCs w:val="24"/>
                <w:lang w:bidi="ar"/>
              </w:rPr>
            </w:pPr>
            <w:r>
              <w:rPr>
                <w:rFonts w:hint="eastAsia" w:ascii="Times New Roman" w:hAnsi="Times New Roman" w:eastAsia="仿宋_GB2312"/>
                <w:color w:val="000000"/>
                <w:kern w:val="0"/>
                <w:sz w:val="24"/>
                <w:szCs w:val="24"/>
                <w:lang w:bidi="ar"/>
              </w:rPr>
              <w:t>有售后制度并有效执行。</w:t>
            </w:r>
          </w:p>
        </w:tc>
        <w:tc>
          <w:tcPr>
            <w:tcW w:w="6932"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olor w:val="000000"/>
                <w:kern w:val="0"/>
                <w:sz w:val="24"/>
                <w:szCs w:val="24"/>
                <w:lang w:bidi="ar"/>
              </w:rPr>
            </w:pPr>
            <w:r>
              <w:rPr>
                <w:rFonts w:hint="eastAsia" w:ascii="Times New Roman" w:hAnsi="Times New Roman" w:eastAsia="仿宋_GB2312"/>
                <w:color w:val="000000"/>
                <w:kern w:val="0"/>
                <w:sz w:val="24"/>
                <w:szCs w:val="24"/>
                <w:lang w:bidi="ar"/>
              </w:rPr>
              <w:t>售后制度健全完善（1分）、有效执行（1分）。</w:t>
            </w:r>
          </w:p>
        </w:tc>
        <w:tc>
          <w:tcPr>
            <w:tcW w:w="10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center"/>
              <w:textAlignment w:val="center"/>
              <w:rPr>
                <w:rFonts w:hint="default" w:ascii="Times New Roman" w:hAnsi="Times New Roman" w:eastAsia="仿宋_GB2312"/>
                <w:color w:val="000000"/>
                <w:kern w:val="0"/>
                <w:sz w:val="24"/>
                <w:szCs w:val="24"/>
                <w:lang w:bidi="ar"/>
              </w:rPr>
            </w:pPr>
            <w:r>
              <w:rPr>
                <w:rFonts w:hint="default" w:ascii="Times New Roman" w:hAnsi="Times New Roman" w:eastAsia="仿宋_GB2312"/>
                <w:color w:val="000000"/>
                <w:kern w:val="0"/>
                <w:sz w:val="24"/>
                <w:szCs w:val="24"/>
                <w:lang w:bidi="ar"/>
              </w:rPr>
              <w:t>2</w:t>
            </w: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olor w:val="000000"/>
                <w:kern w:val="0"/>
                <w:sz w:val="24"/>
                <w:szCs w:val="24"/>
                <w:lang w:bidi="ar"/>
              </w:rPr>
            </w:pPr>
          </w:p>
        </w:tc>
        <w:tc>
          <w:tcPr>
            <w:tcW w:w="78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olor w:val="000000"/>
                <w:kern w:val="0"/>
                <w:sz w:val="24"/>
                <w:szCs w:val="24"/>
                <w:lang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59" w:hRule="atLeast"/>
          <w:jc w:val="center"/>
        </w:trPr>
        <w:tc>
          <w:tcPr>
            <w:tcW w:w="592" w:type="dxa"/>
            <w:vMerge w:val="continue"/>
            <w:tcBorders>
              <w:top w:val="nil"/>
              <w:left w:val="single" w:color="000000" w:sz="6" w:space="0"/>
              <w:bottom w:val="nil"/>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olor w:val="000000"/>
                <w:kern w:val="0"/>
                <w:sz w:val="24"/>
                <w:szCs w:val="24"/>
                <w:lang w:bidi="ar"/>
              </w:rPr>
            </w:pPr>
          </w:p>
        </w:tc>
        <w:tc>
          <w:tcPr>
            <w:tcW w:w="1019" w:type="dxa"/>
            <w:vMerge w:val="continue"/>
            <w:tcBorders>
              <w:top w:val="nil"/>
              <w:left w:val="single" w:color="000000" w:sz="6" w:space="0"/>
              <w:bottom w:val="nil"/>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olor w:val="000000"/>
                <w:kern w:val="0"/>
                <w:sz w:val="24"/>
                <w:szCs w:val="24"/>
                <w:lang w:bidi="ar"/>
              </w:rPr>
            </w:pPr>
          </w:p>
        </w:tc>
        <w:tc>
          <w:tcPr>
            <w:tcW w:w="338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olor w:val="000000"/>
                <w:kern w:val="0"/>
                <w:sz w:val="24"/>
                <w:szCs w:val="24"/>
                <w:lang w:bidi="ar"/>
              </w:rPr>
            </w:pPr>
            <w:r>
              <w:rPr>
                <w:rFonts w:hint="eastAsia" w:ascii="Times New Roman" w:hAnsi="Times New Roman" w:eastAsia="仿宋_GB2312"/>
                <w:color w:val="000000"/>
                <w:kern w:val="0"/>
                <w:sz w:val="24"/>
                <w:szCs w:val="24"/>
                <w:lang w:bidi="ar"/>
              </w:rPr>
              <w:t>有档案管理制度并有效执行。</w:t>
            </w:r>
          </w:p>
        </w:tc>
        <w:tc>
          <w:tcPr>
            <w:tcW w:w="6932"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olor w:val="000000"/>
                <w:kern w:val="0"/>
                <w:sz w:val="24"/>
                <w:szCs w:val="24"/>
                <w:lang w:bidi="ar"/>
              </w:rPr>
            </w:pPr>
            <w:r>
              <w:rPr>
                <w:rFonts w:hint="eastAsia" w:ascii="Times New Roman" w:hAnsi="Times New Roman" w:eastAsia="仿宋_GB2312"/>
                <w:color w:val="000000"/>
                <w:kern w:val="0"/>
                <w:sz w:val="24"/>
                <w:szCs w:val="24"/>
                <w:lang w:bidi="ar"/>
              </w:rPr>
              <w:t>档案管理制度健全完善（1分）、有效执行（1分）。</w:t>
            </w:r>
          </w:p>
        </w:tc>
        <w:tc>
          <w:tcPr>
            <w:tcW w:w="10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center"/>
              <w:textAlignment w:val="center"/>
              <w:rPr>
                <w:rFonts w:hint="default" w:ascii="Times New Roman" w:hAnsi="Times New Roman" w:eastAsia="仿宋_GB2312"/>
                <w:color w:val="000000"/>
                <w:kern w:val="0"/>
                <w:sz w:val="24"/>
                <w:szCs w:val="24"/>
                <w:lang w:bidi="ar"/>
              </w:rPr>
            </w:pPr>
            <w:r>
              <w:rPr>
                <w:rFonts w:hint="default" w:ascii="Times New Roman" w:hAnsi="Times New Roman" w:eastAsia="仿宋_GB2312"/>
                <w:color w:val="000000"/>
                <w:kern w:val="0"/>
                <w:sz w:val="24"/>
                <w:szCs w:val="24"/>
                <w:lang w:bidi="ar"/>
              </w:rPr>
              <w:t>2</w:t>
            </w: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olor w:val="000000"/>
                <w:kern w:val="0"/>
                <w:sz w:val="24"/>
                <w:szCs w:val="24"/>
                <w:lang w:bidi="ar"/>
              </w:rPr>
            </w:pPr>
          </w:p>
        </w:tc>
        <w:tc>
          <w:tcPr>
            <w:tcW w:w="78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olor w:val="000000"/>
                <w:kern w:val="0"/>
                <w:sz w:val="24"/>
                <w:szCs w:val="24"/>
                <w:lang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jc w:val="center"/>
        </w:trPr>
        <w:tc>
          <w:tcPr>
            <w:tcW w:w="592" w:type="dxa"/>
            <w:vMerge w:val="continue"/>
            <w:tcBorders>
              <w:top w:val="nil"/>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olor w:val="000000"/>
                <w:kern w:val="0"/>
                <w:sz w:val="24"/>
                <w:szCs w:val="24"/>
                <w:lang w:bidi="ar"/>
              </w:rPr>
            </w:pPr>
          </w:p>
        </w:tc>
        <w:tc>
          <w:tcPr>
            <w:tcW w:w="1019" w:type="dxa"/>
            <w:vMerge w:val="continue"/>
            <w:tcBorders>
              <w:top w:val="nil"/>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olor w:val="000000"/>
                <w:kern w:val="0"/>
                <w:sz w:val="24"/>
                <w:szCs w:val="24"/>
                <w:lang w:bidi="ar"/>
              </w:rPr>
            </w:pPr>
          </w:p>
        </w:tc>
        <w:tc>
          <w:tcPr>
            <w:tcW w:w="338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olor w:val="000000"/>
                <w:kern w:val="0"/>
                <w:sz w:val="24"/>
                <w:szCs w:val="24"/>
                <w:lang w:bidi="ar"/>
              </w:rPr>
            </w:pPr>
            <w:r>
              <w:rPr>
                <w:rFonts w:hint="eastAsia" w:ascii="Times New Roman" w:hAnsi="Times New Roman" w:eastAsia="仿宋_GB2312"/>
                <w:color w:val="000000"/>
                <w:kern w:val="0"/>
                <w:sz w:val="24"/>
                <w:szCs w:val="24"/>
                <w:lang w:bidi="ar"/>
              </w:rPr>
              <w:t>有回访制度并有效执行。</w:t>
            </w:r>
          </w:p>
        </w:tc>
        <w:tc>
          <w:tcPr>
            <w:tcW w:w="6932"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olor w:val="000000"/>
                <w:kern w:val="0"/>
                <w:sz w:val="24"/>
                <w:szCs w:val="24"/>
                <w:lang w:bidi="ar"/>
              </w:rPr>
            </w:pPr>
            <w:r>
              <w:rPr>
                <w:rFonts w:hint="eastAsia" w:ascii="Times New Roman" w:hAnsi="Times New Roman" w:eastAsia="仿宋_GB2312"/>
                <w:color w:val="000000"/>
                <w:kern w:val="0"/>
                <w:sz w:val="24"/>
                <w:szCs w:val="24"/>
                <w:lang w:bidi="ar"/>
              </w:rPr>
              <w:t>回访制度健全完善（1分）、有效执行（1分） 。</w:t>
            </w:r>
          </w:p>
        </w:tc>
        <w:tc>
          <w:tcPr>
            <w:tcW w:w="10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center"/>
              <w:textAlignment w:val="center"/>
              <w:rPr>
                <w:rFonts w:hint="default" w:ascii="Times New Roman" w:hAnsi="Times New Roman" w:eastAsia="仿宋_GB2312"/>
                <w:color w:val="000000"/>
                <w:kern w:val="0"/>
                <w:sz w:val="24"/>
                <w:szCs w:val="24"/>
                <w:lang w:bidi="ar"/>
              </w:rPr>
            </w:pPr>
            <w:r>
              <w:rPr>
                <w:rFonts w:hint="default" w:ascii="Times New Roman" w:hAnsi="Times New Roman" w:eastAsia="仿宋_GB2312"/>
                <w:color w:val="000000"/>
                <w:kern w:val="0"/>
                <w:sz w:val="24"/>
                <w:szCs w:val="24"/>
                <w:lang w:bidi="ar"/>
              </w:rPr>
              <w:t>2</w:t>
            </w: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olor w:val="000000"/>
                <w:kern w:val="0"/>
                <w:sz w:val="24"/>
                <w:szCs w:val="24"/>
                <w:lang w:bidi="ar"/>
              </w:rPr>
            </w:pPr>
          </w:p>
        </w:tc>
        <w:tc>
          <w:tcPr>
            <w:tcW w:w="78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olor w:val="000000"/>
                <w:kern w:val="0"/>
                <w:sz w:val="24"/>
                <w:szCs w:val="24"/>
                <w:lang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004" w:hRule="atLeast"/>
          <w:jc w:val="center"/>
        </w:trPr>
        <w:tc>
          <w:tcPr>
            <w:tcW w:w="592"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center"/>
              <w:textAlignment w:val="center"/>
              <w:rPr>
                <w:rFonts w:hint="eastAsia" w:ascii="Times New Roman" w:hAnsi="Times New Roman" w:eastAsia="仿宋_GB2312"/>
                <w:color w:val="000000"/>
                <w:kern w:val="0"/>
                <w:sz w:val="24"/>
                <w:szCs w:val="24"/>
                <w:lang w:val="en-US" w:eastAsia="zh-CN" w:bidi="ar"/>
              </w:rPr>
            </w:pPr>
            <w:r>
              <w:rPr>
                <w:rFonts w:hint="eastAsia" w:ascii="Times New Roman" w:hAnsi="Times New Roman" w:eastAsia="仿宋_GB2312"/>
                <w:color w:val="000000"/>
                <w:kern w:val="0"/>
                <w:sz w:val="24"/>
                <w:szCs w:val="24"/>
                <w:lang w:val="en-US" w:eastAsia="zh-CN" w:bidi="ar"/>
              </w:rPr>
              <w:t>3</w:t>
            </w:r>
          </w:p>
        </w:tc>
        <w:tc>
          <w:tcPr>
            <w:tcW w:w="1019"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eastAsia" w:ascii="Times New Roman" w:hAnsi="Times New Roman" w:eastAsia="仿宋_GB2312"/>
                <w:color w:val="000000"/>
                <w:kern w:val="0"/>
                <w:sz w:val="24"/>
                <w:szCs w:val="24"/>
                <w:lang w:bidi="ar"/>
              </w:rPr>
            </w:pPr>
            <w:r>
              <w:rPr>
                <w:rFonts w:hint="eastAsia" w:ascii="Times New Roman" w:hAnsi="Times New Roman" w:eastAsia="仿宋_GB2312"/>
                <w:color w:val="000000"/>
                <w:kern w:val="0"/>
                <w:sz w:val="24"/>
                <w:szCs w:val="24"/>
                <w:lang w:bidi="ar"/>
              </w:rPr>
              <w:t>配置管理</w:t>
            </w:r>
          </w:p>
          <w:p>
            <w:pPr>
              <w:widowControl/>
              <w:suppressAutoHyphens/>
              <w:spacing w:beforeLines="0" w:afterLines="0" w:line="360" w:lineRule="exact"/>
              <w:jc w:val="left"/>
              <w:textAlignment w:val="center"/>
              <w:rPr>
                <w:rFonts w:hint="default" w:ascii="Times New Roman" w:hAnsi="Times New Roman" w:eastAsia="仿宋_GB2312"/>
                <w:color w:val="000000"/>
                <w:kern w:val="0"/>
                <w:sz w:val="24"/>
                <w:szCs w:val="24"/>
                <w:lang w:bidi="ar"/>
              </w:rPr>
            </w:pPr>
            <w:r>
              <w:rPr>
                <w:rFonts w:hint="eastAsia" w:ascii="Times New Roman" w:hAnsi="Times New Roman" w:eastAsia="仿宋_GB2312"/>
                <w:color w:val="000000"/>
                <w:kern w:val="0"/>
                <w:sz w:val="24"/>
                <w:szCs w:val="24"/>
                <w:lang w:bidi="ar"/>
              </w:rPr>
              <w:t>（15分）</w:t>
            </w:r>
          </w:p>
        </w:tc>
        <w:tc>
          <w:tcPr>
            <w:tcW w:w="338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s="Times New Roman"/>
                <w:color w:val="000000"/>
                <w:kern w:val="0"/>
                <w:sz w:val="24"/>
                <w:szCs w:val="24"/>
                <w:lang w:bidi="ar"/>
              </w:rPr>
            </w:pPr>
            <w:r>
              <w:rPr>
                <w:rFonts w:hint="eastAsia" w:ascii="Times New Roman" w:hAnsi="Times New Roman" w:eastAsia="仿宋_GB2312"/>
                <w:color w:val="000000"/>
                <w:kern w:val="0"/>
                <w:sz w:val="24"/>
                <w:szCs w:val="24"/>
                <w:lang w:bidi="ar"/>
              </w:rPr>
              <w:t>建立完善工伤人员配置、更换、 维修管理档案。</w:t>
            </w:r>
          </w:p>
        </w:tc>
        <w:tc>
          <w:tcPr>
            <w:tcW w:w="6932"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s="Times New Roman"/>
                <w:color w:val="000000"/>
                <w:kern w:val="0"/>
                <w:sz w:val="24"/>
                <w:szCs w:val="24"/>
                <w:lang w:bidi="ar"/>
              </w:rPr>
            </w:pPr>
            <w:r>
              <w:rPr>
                <w:rFonts w:hint="eastAsia" w:ascii="Times New Roman" w:hAnsi="Times New Roman" w:eastAsia="仿宋_GB2312"/>
                <w:color w:val="000000"/>
                <w:kern w:val="0"/>
                <w:sz w:val="24"/>
                <w:szCs w:val="24"/>
                <w:lang w:bidi="ar"/>
              </w:rPr>
              <w:t>随机抽查5份工伤职工辅助器具配置档案，缺失1份扣1分。</w:t>
            </w:r>
          </w:p>
        </w:tc>
        <w:tc>
          <w:tcPr>
            <w:tcW w:w="10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center"/>
              <w:textAlignment w:val="center"/>
              <w:rPr>
                <w:rFonts w:hint="default" w:ascii="Times New Roman" w:hAnsi="Times New Roman" w:eastAsia="仿宋_GB2312" w:cs="Times New Roman"/>
                <w:color w:val="000000"/>
                <w:kern w:val="0"/>
                <w:sz w:val="24"/>
                <w:szCs w:val="24"/>
                <w:lang w:bidi="ar"/>
              </w:rPr>
            </w:pPr>
            <w:r>
              <w:rPr>
                <w:rFonts w:hint="eastAsia" w:ascii="Times New Roman" w:hAnsi="Times New Roman" w:eastAsia="仿宋_GB2312"/>
                <w:color w:val="000000"/>
                <w:kern w:val="0"/>
                <w:sz w:val="24"/>
                <w:szCs w:val="24"/>
                <w:lang w:bidi="ar"/>
              </w:rPr>
              <w:t>5</w:t>
            </w: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s="Times New Roman"/>
                <w:color w:val="000000"/>
                <w:kern w:val="0"/>
                <w:sz w:val="24"/>
                <w:szCs w:val="24"/>
                <w:lang w:bidi="ar"/>
              </w:rPr>
            </w:pPr>
          </w:p>
        </w:tc>
        <w:tc>
          <w:tcPr>
            <w:tcW w:w="78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widowControl/>
              <w:suppressAutoHyphens/>
              <w:spacing w:beforeLines="0" w:afterLines="0" w:line="360" w:lineRule="exact"/>
              <w:jc w:val="left"/>
              <w:textAlignment w:val="center"/>
              <w:rPr>
                <w:rFonts w:hint="default" w:ascii="Times New Roman" w:hAnsi="Times New Roman" w:eastAsia="仿宋_GB2312" w:cs="Times New Roman"/>
                <w:color w:val="000000"/>
                <w:kern w:val="0"/>
                <w:sz w:val="24"/>
                <w:szCs w:val="24"/>
                <w:lang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156" w:hRule="atLeast"/>
          <w:jc w:val="center"/>
        </w:trPr>
        <w:tc>
          <w:tcPr>
            <w:tcW w:w="592"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top"/>
          </w:tcPr>
          <w:p>
            <w:pPr>
              <w:widowControl/>
              <w:suppressAutoHyphens/>
              <w:spacing w:beforeLines="0" w:afterLines="0" w:line="360" w:lineRule="exact"/>
              <w:jc w:val="left"/>
              <w:textAlignment w:val="center"/>
              <w:rPr>
                <w:rFonts w:hint="default" w:ascii="Times New Roman" w:hAnsi="Times New Roman" w:eastAsia="仿宋_GB2312"/>
                <w:color w:val="000000"/>
                <w:kern w:val="0"/>
                <w:sz w:val="24"/>
                <w:szCs w:val="24"/>
                <w:lang w:bidi="ar"/>
              </w:rPr>
            </w:pPr>
          </w:p>
        </w:tc>
        <w:tc>
          <w:tcPr>
            <w:tcW w:w="1019"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olor w:val="000000"/>
                <w:kern w:val="0"/>
                <w:sz w:val="24"/>
                <w:szCs w:val="24"/>
                <w:lang w:bidi="ar"/>
              </w:rPr>
            </w:pPr>
          </w:p>
        </w:tc>
        <w:tc>
          <w:tcPr>
            <w:tcW w:w="338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s="Times New Roman"/>
                <w:color w:val="000000"/>
                <w:kern w:val="0"/>
                <w:sz w:val="24"/>
                <w:szCs w:val="24"/>
                <w:lang w:bidi="ar"/>
              </w:rPr>
            </w:pPr>
            <w:r>
              <w:rPr>
                <w:rFonts w:hint="eastAsia" w:ascii="Times New Roman" w:hAnsi="Times New Roman" w:eastAsia="仿宋_GB2312"/>
                <w:color w:val="000000"/>
                <w:kern w:val="0"/>
                <w:sz w:val="24"/>
                <w:szCs w:val="24"/>
                <w:lang w:bidi="ar"/>
              </w:rPr>
              <w:t>实行一人一档，工伤人员配置信 息档案记载完整并至少保存至服 务期限结束之日起2年。</w:t>
            </w:r>
          </w:p>
        </w:tc>
        <w:tc>
          <w:tcPr>
            <w:tcW w:w="6932"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s="Times New Roman"/>
                <w:color w:val="000000"/>
                <w:kern w:val="0"/>
                <w:sz w:val="24"/>
                <w:szCs w:val="24"/>
                <w:lang w:bidi="ar"/>
              </w:rPr>
            </w:pPr>
            <w:r>
              <w:rPr>
                <w:rFonts w:hint="eastAsia" w:ascii="Times New Roman" w:hAnsi="Times New Roman" w:eastAsia="仿宋_GB2312"/>
                <w:color w:val="000000"/>
                <w:kern w:val="0"/>
                <w:sz w:val="24"/>
                <w:szCs w:val="24"/>
                <w:lang w:bidi="ar"/>
              </w:rPr>
              <w:t>档案按一人一档整理（1分）、保管时间达标（1分）。</w:t>
            </w:r>
          </w:p>
        </w:tc>
        <w:tc>
          <w:tcPr>
            <w:tcW w:w="10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olor w:val="000000"/>
                <w:kern w:val="0"/>
                <w:sz w:val="24"/>
                <w:szCs w:val="24"/>
                <w:lang w:bidi="ar"/>
              </w:rPr>
              <w:t>2</w:t>
            </w: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s="Times New Roman"/>
                <w:color w:val="000000"/>
                <w:kern w:val="0"/>
                <w:sz w:val="24"/>
                <w:szCs w:val="24"/>
                <w:lang w:bidi="ar"/>
              </w:rPr>
            </w:pPr>
          </w:p>
        </w:tc>
        <w:tc>
          <w:tcPr>
            <w:tcW w:w="78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widowControl/>
              <w:suppressAutoHyphens/>
              <w:spacing w:beforeLines="0" w:afterLines="0" w:line="360" w:lineRule="exact"/>
              <w:jc w:val="left"/>
              <w:textAlignment w:val="center"/>
              <w:rPr>
                <w:rFonts w:hint="default" w:ascii="Times New Roman" w:hAnsi="Times New Roman" w:eastAsia="仿宋_GB2312" w:cs="Times New Roman"/>
                <w:color w:val="000000"/>
                <w:kern w:val="0"/>
                <w:sz w:val="24"/>
                <w:szCs w:val="24"/>
                <w:lang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7" w:hRule="atLeast"/>
          <w:jc w:val="center"/>
        </w:trPr>
        <w:tc>
          <w:tcPr>
            <w:tcW w:w="592"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top"/>
          </w:tcPr>
          <w:p>
            <w:pPr>
              <w:widowControl/>
              <w:suppressAutoHyphens/>
              <w:spacing w:beforeLines="0" w:afterLines="0" w:line="360" w:lineRule="exact"/>
              <w:jc w:val="left"/>
              <w:textAlignment w:val="center"/>
              <w:rPr>
                <w:rFonts w:hint="default" w:ascii="Times New Roman" w:hAnsi="Times New Roman" w:eastAsia="仿宋_GB2312"/>
                <w:color w:val="000000"/>
                <w:kern w:val="0"/>
                <w:sz w:val="24"/>
                <w:szCs w:val="24"/>
                <w:lang w:bidi="ar"/>
              </w:rPr>
            </w:pPr>
          </w:p>
        </w:tc>
        <w:tc>
          <w:tcPr>
            <w:tcW w:w="1019"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olor w:val="000000"/>
                <w:kern w:val="0"/>
                <w:sz w:val="24"/>
                <w:szCs w:val="24"/>
                <w:lang w:bidi="ar"/>
              </w:rPr>
            </w:pPr>
          </w:p>
        </w:tc>
        <w:tc>
          <w:tcPr>
            <w:tcW w:w="338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s="Times New Roman"/>
                <w:color w:val="000000"/>
                <w:kern w:val="0"/>
                <w:sz w:val="24"/>
                <w:szCs w:val="24"/>
                <w:lang w:bidi="ar"/>
              </w:rPr>
            </w:pPr>
            <w:r>
              <w:rPr>
                <w:rFonts w:hint="eastAsia" w:ascii="Times New Roman" w:hAnsi="Times New Roman" w:eastAsia="仿宋_GB2312"/>
                <w:color w:val="000000"/>
                <w:kern w:val="0"/>
                <w:sz w:val="24"/>
                <w:szCs w:val="24"/>
                <w:lang w:bidi="ar"/>
              </w:rPr>
              <w:t>配置流程符合要求。</w:t>
            </w:r>
          </w:p>
        </w:tc>
        <w:tc>
          <w:tcPr>
            <w:tcW w:w="6932"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both"/>
              <w:textAlignment w:val="center"/>
              <w:rPr>
                <w:rFonts w:hint="default" w:ascii="Times New Roman" w:hAnsi="Times New Roman" w:eastAsia="仿宋_GB2312" w:cs="Times New Roman"/>
                <w:color w:val="000000"/>
                <w:kern w:val="0"/>
                <w:sz w:val="24"/>
                <w:szCs w:val="24"/>
                <w:lang w:bidi="ar"/>
              </w:rPr>
            </w:pPr>
            <w:r>
              <w:rPr>
                <w:rFonts w:hint="eastAsia" w:ascii="Times New Roman" w:hAnsi="Times New Roman" w:eastAsia="仿宋_GB2312"/>
                <w:color w:val="000000"/>
                <w:kern w:val="0"/>
                <w:sz w:val="24"/>
                <w:szCs w:val="24"/>
                <w:lang w:bidi="ar"/>
              </w:rPr>
              <w:t>通过随机抽查5份工伤职工辅助器具配置档案和电话回访工伤职工，每发现1例不合符配置流程要求的，扣1分。</w:t>
            </w:r>
          </w:p>
        </w:tc>
        <w:tc>
          <w:tcPr>
            <w:tcW w:w="10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center"/>
              <w:textAlignment w:val="center"/>
              <w:rPr>
                <w:rFonts w:hint="eastAsia" w:ascii="Times New Roman" w:hAnsi="Times New Roman" w:eastAsia="仿宋_GB2312"/>
                <w:color w:val="000000"/>
                <w:kern w:val="0"/>
                <w:sz w:val="24"/>
                <w:szCs w:val="24"/>
                <w:lang w:bidi="ar"/>
              </w:rPr>
            </w:pPr>
            <w:r>
              <w:rPr>
                <w:rFonts w:hint="eastAsia" w:ascii="Times New Roman" w:hAnsi="Times New Roman" w:eastAsia="仿宋_GB2312"/>
                <w:color w:val="000000"/>
                <w:kern w:val="0"/>
                <w:sz w:val="24"/>
                <w:szCs w:val="24"/>
                <w:lang w:bidi="ar"/>
              </w:rPr>
              <w:t>5</w:t>
            </w: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s="Times New Roman"/>
                <w:color w:val="000000"/>
                <w:kern w:val="0"/>
                <w:sz w:val="24"/>
                <w:szCs w:val="24"/>
                <w:lang w:bidi="ar"/>
              </w:rPr>
            </w:pPr>
          </w:p>
        </w:tc>
        <w:tc>
          <w:tcPr>
            <w:tcW w:w="78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widowControl/>
              <w:suppressAutoHyphens/>
              <w:spacing w:beforeLines="0" w:afterLines="0" w:line="360" w:lineRule="exact"/>
              <w:jc w:val="left"/>
              <w:textAlignment w:val="center"/>
              <w:rPr>
                <w:rFonts w:hint="default" w:ascii="Times New Roman" w:hAnsi="Times New Roman" w:eastAsia="仿宋_GB2312" w:cs="Times New Roman"/>
                <w:color w:val="000000"/>
                <w:kern w:val="0"/>
                <w:sz w:val="24"/>
                <w:szCs w:val="24"/>
                <w:lang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19" w:hRule="atLeast"/>
          <w:jc w:val="center"/>
        </w:trPr>
        <w:tc>
          <w:tcPr>
            <w:tcW w:w="592"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top"/>
          </w:tcPr>
          <w:p>
            <w:pPr>
              <w:widowControl/>
              <w:suppressAutoHyphens/>
              <w:spacing w:beforeLines="0" w:afterLines="0" w:line="360" w:lineRule="exact"/>
              <w:jc w:val="left"/>
              <w:textAlignment w:val="center"/>
              <w:rPr>
                <w:rFonts w:hint="default" w:ascii="Times New Roman" w:hAnsi="Times New Roman" w:eastAsia="仿宋_GB2312"/>
                <w:color w:val="000000"/>
                <w:kern w:val="0"/>
                <w:sz w:val="24"/>
                <w:szCs w:val="24"/>
                <w:lang w:bidi="ar"/>
              </w:rPr>
            </w:pPr>
          </w:p>
        </w:tc>
        <w:tc>
          <w:tcPr>
            <w:tcW w:w="1019"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olor w:val="000000"/>
                <w:kern w:val="0"/>
                <w:sz w:val="24"/>
                <w:szCs w:val="24"/>
                <w:lang w:bidi="ar"/>
              </w:rPr>
            </w:pPr>
          </w:p>
        </w:tc>
        <w:tc>
          <w:tcPr>
            <w:tcW w:w="338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s="Times New Roman"/>
                <w:color w:val="000000"/>
                <w:kern w:val="0"/>
                <w:sz w:val="24"/>
                <w:szCs w:val="24"/>
                <w:lang w:bidi="ar"/>
              </w:rPr>
            </w:pPr>
            <w:r>
              <w:rPr>
                <w:rFonts w:hint="eastAsia" w:ascii="Times New Roman" w:hAnsi="Times New Roman" w:eastAsia="仿宋_GB2312"/>
                <w:color w:val="000000"/>
                <w:kern w:val="0"/>
                <w:sz w:val="24"/>
                <w:szCs w:val="24"/>
                <w:lang w:bidi="ar"/>
              </w:rPr>
              <w:t>日常检查、专项稽查问题及时整 改。</w:t>
            </w:r>
          </w:p>
        </w:tc>
        <w:tc>
          <w:tcPr>
            <w:tcW w:w="6932"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s="Times New Roman"/>
                <w:color w:val="000000"/>
                <w:kern w:val="0"/>
                <w:sz w:val="24"/>
                <w:szCs w:val="24"/>
                <w:lang w:bidi="ar"/>
              </w:rPr>
            </w:pPr>
            <w:r>
              <w:rPr>
                <w:rFonts w:hint="eastAsia" w:ascii="Times New Roman" w:hAnsi="Times New Roman" w:eastAsia="仿宋_GB2312"/>
                <w:color w:val="000000"/>
                <w:kern w:val="0"/>
                <w:sz w:val="24"/>
                <w:szCs w:val="24"/>
                <w:lang w:bidi="ar"/>
              </w:rPr>
              <w:t>整改落实到位。</w:t>
            </w:r>
          </w:p>
        </w:tc>
        <w:tc>
          <w:tcPr>
            <w:tcW w:w="10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center"/>
              <w:textAlignment w:val="center"/>
              <w:rPr>
                <w:rFonts w:hint="eastAsia" w:ascii="Times New Roman" w:hAnsi="Times New Roman" w:eastAsia="仿宋_GB2312" w:cs="Times New Roman"/>
                <w:color w:val="000000"/>
                <w:kern w:val="0"/>
                <w:sz w:val="24"/>
                <w:szCs w:val="24"/>
                <w:lang w:bidi="ar"/>
              </w:rPr>
            </w:pPr>
            <w:r>
              <w:rPr>
                <w:rFonts w:hint="eastAsia" w:ascii="Times New Roman" w:hAnsi="Times New Roman" w:eastAsia="仿宋_GB2312"/>
                <w:color w:val="000000"/>
                <w:kern w:val="0"/>
                <w:sz w:val="24"/>
                <w:szCs w:val="24"/>
                <w:lang w:bidi="ar"/>
              </w:rPr>
              <w:t>3</w:t>
            </w: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s="Times New Roman"/>
                <w:color w:val="000000"/>
                <w:kern w:val="0"/>
                <w:sz w:val="24"/>
                <w:szCs w:val="24"/>
                <w:lang w:bidi="ar"/>
              </w:rPr>
            </w:pPr>
          </w:p>
        </w:tc>
        <w:tc>
          <w:tcPr>
            <w:tcW w:w="78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widowControl/>
              <w:suppressAutoHyphens/>
              <w:spacing w:beforeLines="0" w:afterLines="0" w:line="360" w:lineRule="exact"/>
              <w:jc w:val="left"/>
              <w:textAlignment w:val="center"/>
              <w:rPr>
                <w:rFonts w:hint="default" w:ascii="Times New Roman" w:hAnsi="Times New Roman" w:eastAsia="仿宋_GB2312" w:cs="Times New Roman"/>
                <w:color w:val="000000"/>
                <w:kern w:val="0"/>
                <w:sz w:val="24"/>
                <w:szCs w:val="24"/>
                <w:lang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51" w:hRule="atLeast"/>
          <w:jc w:val="center"/>
        </w:trPr>
        <w:tc>
          <w:tcPr>
            <w:tcW w:w="592"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center"/>
              <w:textAlignment w:val="center"/>
              <w:rPr>
                <w:rFonts w:hint="eastAsia" w:ascii="Times New Roman" w:hAnsi="Times New Roman" w:eastAsia="仿宋_GB2312"/>
                <w:color w:val="000000"/>
                <w:kern w:val="0"/>
                <w:sz w:val="24"/>
                <w:szCs w:val="24"/>
                <w:lang w:bidi="ar"/>
              </w:rPr>
            </w:pPr>
            <w:r>
              <w:rPr>
                <w:rFonts w:hint="eastAsia" w:ascii="Times New Roman" w:hAnsi="Times New Roman" w:eastAsia="仿宋_GB2312"/>
                <w:color w:val="000000"/>
                <w:kern w:val="0"/>
                <w:sz w:val="24"/>
                <w:szCs w:val="24"/>
                <w:lang w:bidi="ar"/>
              </w:rPr>
              <w:t>4</w:t>
            </w:r>
          </w:p>
        </w:tc>
        <w:tc>
          <w:tcPr>
            <w:tcW w:w="1019"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olor w:val="000000"/>
                <w:kern w:val="0"/>
                <w:sz w:val="24"/>
                <w:szCs w:val="24"/>
                <w:lang w:bidi="ar"/>
              </w:rPr>
            </w:pPr>
            <w:r>
              <w:rPr>
                <w:rFonts w:hint="eastAsia" w:ascii="Times New Roman" w:hAnsi="Times New Roman" w:eastAsia="仿宋_GB2312"/>
                <w:color w:val="000000"/>
                <w:kern w:val="0"/>
                <w:sz w:val="24"/>
                <w:szCs w:val="24"/>
                <w:lang w:bidi="ar"/>
              </w:rPr>
              <w:t>服务管理 （30分）</w:t>
            </w:r>
          </w:p>
        </w:tc>
        <w:tc>
          <w:tcPr>
            <w:tcW w:w="338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olor w:val="000000"/>
                <w:kern w:val="0"/>
                <w:sz w:val="24"/>
                <w:szCs w:val="24"/>
                <w:lang w:bidi="ar"/>
              </w:rPr>
            </w:pPr>
            <w:r>
              <w:rPr>
                <w:rFonts w:hint="eastAsia" w:ascii="Times New Roman" w:hAnsi="Times New Roman" w:eastAsia="仿宋_GB2312"/>
                <w:color w:val="000000"/>
                <w:kern w:val="0"/>
                <w:sz w:val="24"/>
                <w:szCs w:val="24"/>
                <w:lang w:bidi="ar"/>
              </w:rPr>
              <w:t>按核准的经营范围从事辅助器具</w:t>
            </w:r>
            <w:r>
              <w:rPr>
                <w:rFonts w:hint="eastAsia" w:ascii="Times New Roman" w:hAnsi="Times New Roman" w:eastAsia="仿宋_GB2312"/>
                <w:color w:val="000000"/>
                <w:kern w:val="0"/>
                <w:sz w:val="24"/>
                <w:szCs w:val="24"/>
                <w:lang w:eastAsia="zh-CN" w:bidi="ar"/>
              </w:rPr>
              <w:t>生产</w:t>
            </w:r>
            <w:r>
              <w:rPr>
                <w:rFonts w:hint="eastAsia" w:ascii="Times New Roman" w:hAnsi="Times New Roman" w:eastAsia="仿宋_GB2312"/>
                <w:color w:val="000000"/>
                <w:kern w:val="0"/>
                <w:sz w:val="24"/>
                <w:szCs w:val="24"/>
                <w:lang w:bidi="ar"/>
              </w:rPr>
              <w:t>配置经营活动。</w:t>
            </w:r>
          </w:p>
        </w:tc>
        <w:tc>
          <w:tcPr>
            <w:tcW w:w="6932"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olor w:val="000000"/>
                <w:kern w:val="0"/>
                <w:sz w:val="24"/>
                <w:szCs w:val="24"/>
                <w:lang w:bidi="ar"/>
              </w:rPr>
            </w:pPr>
            <w:r>
              <w:rPr>
                <w:rFonts w:hint="eastAsia" w:ascii="Times New Roman" w:hAnsi="Times New Roman" w:eastAsia="仿宋_GB2312"/>
                <w:color w:val="000000"/>
                <w:kern w:val="0"/>
                <w:sz w:val="24"/>
                <w:szCs w:val="24"/>
                <w:lang w:bidi="ar"/>
              </w:rPr>
              <w:t>根据辅助器具配置机构实际经营范围，检查有无超经营范围配置的情形，发现1例扣5分。</w:t>
            </w:r>
          </w:p>
        </w:tc>
        <w:tc>
          <w:tcPr>
            <w:tcW w:w="10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center"/>
              <w:textAlignment w:val="center"/>
              <w:rPr>
                <w:rFonts w:hint="default" w:ascii="Times New Roman" w:hAnsi="Times New Roman" w:eastAsia="仿宋_GB2312"/>
                <w:color w:val="000000"/>
                <w:kern w:val="0"/>
                <w:sz w:val="24"/>
                <w:szCs w:val="24"/>
                <w:lang w:bidi="ar"/>
              </w:rPr>
            </w:pPr>
            <w:r>
              <w:rPr>
                <w:rFonts w:hint="eastAsia" w:ascii="Times New Roman" w:hAnsi="Times New Roman" w:eastAsia="仿宋_GB2312"/>
                <w:color w:val="000000"/>
                <w:kern w:val="0"/>
                <w:sz w:val="24"/>
                <w:szCs w:val="24"/>
                <w:lang w:bidi="ar"/>
              </w:rPr>
              <w:t>10</w:t>
            </w: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center"/>
              <w:textAlignment w:val="center"/>
              <w:rPr>
                <w:rFonts w:hint="default" w:ascii="Times New Roman" w:hAnsi="Times New Roman" w:eastAsia="仿宋_GB2312" w:cs="Times New Roman"/>
                <w:color w:val="000000"/>
                <w:kern w:val="0"/>
                <w:sz w:val="24"/>
                <w:szCs w:val="24"/>
                <w:lang w:bidi="ar"/>
              </w:rPr>
            </w:pPr>
          </w:p>
        </w:tc>
        <w:tc>
          <w:tcPr>
            <w:tcW w:w="78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center"/>
              <w:textAlignment w:val="center"/>
              <w:rPr>
                <w:rFonts w:hint="default" w:ascii="Times New Roman" w:hAnsi="Times New Roman" w:eastAsia="仿宋_GB2312" w:cs="Times New Roman"/>
                <w:color w:val="000000"/>
                <w:kern w:val="0"/>
                <w:sz w:val="24"/>
                <w:szCs w:val="24"/>
                <w:lang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151" w:hRule="atLeast"/>
          <w:jc w:val="center"/>
        </w:trPr>
        <w:tc>
          <w:tcPr>
            <w:tcW w:w="592"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center"/>
              <w:textAlignment w:val="center"/>
              <w:rPr>
                <w:rFonts w:hint="eastAsia" w:ascii="Times New Roman" w:hAnsi="Times New Roman" w:eastAsia="仿宋_GB2312"/>
                <w:color w:val="000000"/>
                <w:kern w:val="0"/>
                <w:sz w:val="24"/>
                <w:szCs w:val="24"/>
                <w:lang w:bidi="ar"/>
              </w:rPr>
            </w:pPr>
          </w:p>
        </w:tc>
        <w:tc>
          <w:tcPr>
            <w:tcW w:w="1019"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olor w:val="000000"/>
                <w:kern w:val="0"/>
                <w:sz w:val="24"/>
                <w:szCs w:val="24"/>
                <w:lang w:bidi="ar"/>
              </w:rPr>
            </w:pPr>
          </w:p>
        </w:tc>
        <w:tc>
          <w:tcPr>
            <w:tcW w:w="338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s="Times New Roman"/>
                <w:color w:val="000000"/>
                <w:kern w:val="0"/>
                <w:sz w:val="24"/>
                <w:szCs w:val="24"/>
                <w:lang w:bidi="ar"/>
              </w:rPr>
            </w:pPr>
            <w:r>
              <w:rPr>
                <w:rFonts w:hint="eastAsia" w:ascii="Times New Roman" w:hAnsi="Times New Roman" w:eastAsia="仿宋_GB2312"/>
                <w:color w:val="000000"/>
                <w:kern w:val="0"/>
                <w:sz w:val="24"/>
                <w:szCs w:val="24"/>
                <w:lang w:bidi="ar"/>
              </w:rPr>
              <w:t>详细记录提供辅助器具配置前的 检查、配置后的康复训练和功能 评价服务。</w:t>
            </w:r>
          </w:p>
        </w:tc>
        <w:tc>
          <w:tcPr>
            <w:tcW w:w="6932"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s="Times New Roman"/>
                <w:color w:val="000000"/>
                <w:kern w:val="0"/>
                <w:sz w:val="24"/>
                <w:szCs w:val="24"/>
                <w:lang w:bidi="ar"/>
              </w:rPr>
            </w:pPr>
            <w:r>
              <w:rPr>
                <w:rFonts w:hint="eastAsia" w:ascii="Times New Roman" w:hAnsi="Times New Roman" w:eastAsia="仿宋_GB2312"/>
                <w:color w:val="000000"/>
                <w:kern w:val="0"/>
                <w:sz w:val="24"/>
                <w:szCs w:val="24"/>
                <w:lang w:bidi="ar"/>
              </w:rPr>
              <w:t>配置前的检查记录、配置后的康复训练记录、功能评价服务记录。档案中缺1项扣2分。</w:t>
            </w:r>
          </w:p>
        </w:tc>
        <w:tc>
          <w:tcPr>
            <w:tcW w:w="10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center"/>
              <w:textAlignment w:val="center"/>
              <w:rPr>
                <w:rFonts w:hint="eastAsia" w:ascii="Times New Roman" w:hAnsi="Times New Roman" w:eastAsia="仿宋_GB2312" w:cs="Times New Roman"/>
                <w:color w:val="000000"/>
                <w:kern w:val="0"/>
                <w:sz w:val="24"/>
                <w:szCs w:val="24"/>
                <w:lang w:bidi="ar"/>
              </w:rPr>
            </w:pPr>
            <w:r>
              <w:rPr>
                <w:rFonts w:hint="eastAsia" w:ascii="Times New Roman" w:hAnsi="Times New Roman" w:eastAsia="仿宋_GB2312"/>
                <w:color w:val="000000"/>
                <w:kern w:val="0"/>
                <w:sz w:val="24"/>
                <w:szCs w:val="24"/>
                <w:lang w:bidi="ar"/>
              </w:rPr>
              <w:t>6</w:t>
            </w: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center"/>
              <w:textAlignment w:val="center"/>
              <w:rPr>
                <w:rFonts w:hint="default" w:ascii="Times New Roman" w:hAnsi="Times New Roman" w:eastAsia="仿宋_GB2312" w:cs="Times New Roman"/>
                <w:color w:val="000000"/>
                <w:kern w:val="0"/>
                <w:sz w:val="24"/>
                <w:szCs w:val="24"/>
                <w:lang w:bidi="ar"/>
              </w:rPr>
            </w:pPr>
          </w:p>
        </w:tc>
        <w:tc>
          <w:tcPr>
            <w:tcW w:w="78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center"/>
              <w:textAlignment w:val="center"/>
              <w:rPr>
                <w:rFonts w:hint="default" w:ascii="Times New Roman" w:hAnsi="Times New Roman" w:eastAsia="仿宋_GB2312" w:cs="Times New Roman"/>
                <w:color w:val="000000"/>
                <w:kern w:val="0"/>
                <w:sz w:val="24"/>
                <w:szCs w:val="24"/>
                <w:lang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7" w:hRule="atLeast"/>
          <w:jc w:val="center"/>
        </w:trPr>
        <w:tc>
          <w:tcPr>
            <w:tcW w:w="592"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top"/>
          </w:tcPr>
          <w:p>
            <w:pPr>
              <w:widowControl/>
              <w:suppressAutoHyphens/>
              <w:spacing w:beforeLines="0" w:afterLines="0" w:line="360" w:lineRule="exact"/>
              <w:jc w:val="left"/>
              <w:textAlignment w:val="center"/>
              <w:rPr>
                <w:rFonts w:hint="default" w:ascii="Times New Roman" w:hAnsi="Times New Roman" w:eastAsia="仿宋_GB2312"/>
                <w:color w:val="000000"/>
                <w:kern w:val="0"/>
                <w:sz w:val="24"/>
                <w:szCs w:val="24"/>
                <w:lang w:bidi="ar"/>
              </w:rPr>
            </w:pPr>
          </w:p>
        </w:tc>
        <w:tc>
          <w:tcPr>
            <w:tcW w:w="1019"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olor w:val="000000"/>
                <w:kern w:val="0"/>
                <w:sz w:val="24"/>
                <w:szCs w:val="24"/>
                <w:lang w:bidi="ar"/>
              </w:rPr>
            </w:pPr>
          </w:p>
        </w:tc>
        <w:tc>
          <w:tcPr>
            <w:tcW w:w="338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s="Times New Roman"/>
                <w:color w:val="000000"/>
                <w:kern w:val="0"/>
                <w:sz w:val="24"/>
                <w:szCs w:val="24"/>
                <w:lang w:bidi="ar"/>
              </w:rPr>
            </w:pPr>
            <w:r>
              <w:rPr>
                <w:rFonts w:hint="eastAsia" w:ascii="Times New Roman" w:hAnsi="Times New Roman" w:eastAsia="仿宋_GB2312"/>
                <w:color w:val="000000"/>
                <w:kern w:val="0"/>
                <w:sz w:val="24"/>
                <w:szCs w:val="24"/>
                <w:lang w:bidi="ar"/>
              </w:rPr>
              <w:t>设置政策宣传</w:t>
            </w:r>
            <w:r>
              <w:rPr>
                <w:rFonts w:hint="eastAsia" w:ascii="Times New Roman" w:hAnsi="Times New Roman" w:eastAsia="仿宋_GB2312"/>
                <w:color w:val="000000"/>
                <w:kern w:val="0"/>
                <w:sz w:val="24"/>
                <w:szCs w:val="24"/>
                <w:lang w:eastAsia="zh-CN" w:bidi="ar"/>
              </w:rPr>
              <w:t>栏</w:t>
            </w:r>
            <w:r>
              <w:rPr>
                <w:rFonts w:hint="eastAsia" w:ascii="Times New Roman" w:hAnsi="Times New Roman" w:eastAsia="仿宋_GB2312"/>
                <w:color w:val="000000"/>
                <w:kern w:val="0"/>
                <w:sz w:val="24"/>
                <w:szCs w:val="24"/>
                <w:lang w:bidi="ar"/>
              </w:rPr>
              <w:t>和投诉箱。</w:t>
            </w:r>
          </w:p>
        </w:tc>
        <w:tc>
          <w:tcPr>
            <w:tcW w:w="6932"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s="Times New Roman"/>
                <w:color w:val="000000"/>
                <w:kern w:val="0"/>
                <w:sz w:val="24"/>
                <w:szCs w:val="24"/>
                <w:lang w:bidi="ar"/>
              </w:rPr>
            </w:pPr>
            <w:r>
              <w:rPr>
                <w:rFonts w:hint="eastAsia" w:ascii="Times New Roman" w:hAnsi="Times New Roman" w:eastAsia="仿宋_GB2312"/>
                <w:color w:val="000000"/>
                <w:kern w:val="0"/>
                <w:sz w:val="24"/>
                <w:szCs w:val="24"/>
                <w:lang w:bidi="ar"/>
              </w:rPr>
              <w:t>显要位置设置政策宣传栏（2分）和投诉箱（2分）。</w:t>
            </w:r>
          </w:p>
        </w:tc>
        <w:tc>
          <w:tcPr>
            <w:tcW w:w="10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olor w:val="000000"/>
                <w:kern w:val="0"/>
                <w:sz w:val="24"/>
                <w:szCs w:val="24"/>
                <w:lang w:bidi="ar"/>
              </w:rPr>
              <w:t>4</w:t>
            </w: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center"/>
              <w:textAlignment w:val="center"/>
              <w:rPr>
                <w:rFonts w:hint="default" w:ascii="Times New Roman" w:hAnsi="Times New Roman" w:eastAsia="仿宋_GB2312" w:cs="Times New Roman"/>
                <w:color w:val="000000"/>
                <w:kern w:val="0"/>
                <w:sz w:val="24"/>
                <w:szCs w:val="24"/>
                <w:lang w:bidi="ar"/>
              </w:rPr>
            </w:pPr>
          </w:p>
        </w:tc>
        <w:tc>
          <w:tcPr>
            <w:tcW w:w="78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center"/>
              <w:textAlignment w:val="center"/>
              <w:rPr>
                <w:rFonts w:hint="default" w:ascii="Times New Roman" w:hAnsi="Times New Roman" w:eastAsia="仿宋_GB2312" w:cs="Times New Roman"/>
                <w:color w:val="000000"/>
                <w:kern w:val="0"/>
                <w:sz w:val="24"/>
                <w:szCs w:val="24"/>
                <w:lang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7" w:hRule="atLeast"/>
          <w:jc w:val="center"/>
        </w:trPr>
        <w:tc>
          <w:tcPr>
            <w:tcW w:w="592"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top"/>
          </w:tcPr>
          <w:p>
            <w:pPr>
              <w:widowControl/>
              <w:suppressAutoHyphens/>
              <w:spacing w:beforeLines="0" w:afterLines="0" w:line="360" w:lineRule="exact"/>
              <w:jc w:val="left"/>
              <w:textAlignment w:val="center"/>
              <w:rPr>
                <w:rFonts w:hint="default" w:ascii="Times New Roman" w:hAnsi="Times New Roman" w:eastAsia="仿宋_GB2312"/>
                <w:color w:val="000000"/>
                <w:kern w:val="0"/>
                <w:sz w:val="24"/>
                <w:szCs w:val="24"/>
                <w:lang w:bidi="ar"/>
              </w:rPr>
            </w:pPr>
          </w:p>
        </w:tc>
        <w:tc>
          <w:tcPr>
            <w:tcW w:w="1019"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olor w:val="000000"/>
                <w:kern w:val="0"/>
                <w:sz w:val="24"/>
                <w:szCs w:val="24"/>
                <w:lang w:bidi="ar"/>
              </w:rPr>
            </w:pPr>
          </w:p>
        </w:tc>
        <w:tc>
          <w:tcPr>
            <w:tcW w:w="338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s="Times New Roman"/>
                <w:color w:val="000000"/>
                <w:kern w:val="0"/>
                <w:sz w:val="24"/>
                <w:szCs w:val="24"/>
                <w:lang w:bidi="ar"/>
              </w:rPr>
            </w:pPr>
            <w:r>
              <w:rPr>
                <w:rFonts w:hint="eastAsia" w:ascii="Times New Roman" w:hAnsi="Times New Roman" w:eastAsia="仿宋_GB2312"/>
                <w:color w:val="000000"/>
                <w:kern w:val="0"/>
                <w:sz w:val="24"/>
                <w:szCs w:val="24"/>
                <w:lang w:bidi="ar"/>
              </w:rPr>
              <w:t>做好辅助器具使用指导并提供售后服务。</w:t>
            </w:r>
          </w:p>
        </w:tc>
        <w:tc>
          <w:tcPr>
            <w:tcW w:w="6932"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s="Times New Roman"/>
                <w:color w:val="000000"/>
                <w:kern w:val="0"/>
                <w:sz w:val="24"/>
                <w:szCs w:val="24"/>
                <w:lang w:bidi="ar"/>
              </w:rPr>
            </w:pPr>
            <w:r>
              <w:rPr>
                <w:rFonts w:hint="eastAsia" w:ascii="Times New Roman" w:hAnsi="Times New Roman" w:eastAsia="仿宋_GB2312"/>
                <w:color w:val="000000"/>
                <w:kern w:val="0"/>
                <w:sz w:val="24"/>
                <w:szCs w:val="24"/>
                <w:lang w:bidi="ar"/>
              </w:rPr>
              <w:t>售后记录齐全（3分）。</w:t>
            </w:r>
          </w:p>
        </w:tc>
        <w:tc>
          <w:tcPr>
            <w:tcW w:w="10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olor w:val="000000"/>
                <w:kern w:val="0"/>
                <w:sz w:val="24"/>
                <w:szCs w:val="24"/>
                <w:lang w:bidi="ar"/>
              </w:rPr>
              <w:t>3</w:t>
            </w: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center"/>
              <w:textAlignment w:val="center"/>
              <w:rPr>
                <w:rFonts w:hint="default" w:ascii="Times New Roman" w:hAnsi="Times New Roman" w:eastAsia="仿宋_GB2312" w:cs="Times New Roman"/>
                <w:color w:val="000000"/>
                <w:kern w:val="0"/>
                <w:sz w:val="24"/>
                <w:szCs w:val="24"/>
                <w:lang w:bidi="ar"/>
              </w:rPr>
            </w:pPr>
          </w:p>
        </w:tc>
        <w:tc>
          <w:tcPr>
            <w:tcW w:w="78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center"/>
              <w:textAlignment w:val="center"/>
              <w:rPr>
                <w:rFonts w:hint="default" w:ascii="Times New Roman" w:hAnsi="Times New Roman" w:eastAsia="仿宋_GB2312" w:cs="Times New Roman"/>
                <w:color w:val="000000"/>
                <w:kern w:val="0"/>
                <w:sz w:val="24"/>
                <w:szCs w:val="24"/>
                <w:lang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25" w:hRule="atLeast"/>
          <w:jc w:val="center"/>
        </w:trPr>
        <w:tc>
          <w:tcPr>
            <w:tcW w:w="592"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top"/>
          </w:tcPr>
          <w:p>
            <w:pPr>
              <w:widowControl/>
              <w:suppressAutoHyphens/>
              <w:spacing w:beforeLines="0" w:afterLines="0" w:line="360" w:lineRule="exact"/>
              <w:jc w:val="left"/>
              <w:textAlignment w:val="center"/>
              <w:rPr>
                <w:rFonts w:hint="default" w:ascii="Times New Roman" w:hAnsi="Times New Roman" w:eastAsia="仿宋_GB2312"/>
                <w:color w:val="000000"/>
                <w:kern w:val="0"/>
                <w:sz w:val="24"/>
                <w:szCs w:val="24"/>
                <w:lang w:bidi="ar"/>
              </w:rPr>
            </w:pPr>
          </w:p>
        </w:tc>
        <w:tc>
          <w:tcPr>
            <w:tcW w:w="1019"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olor w:val="000000"/>
                <w:kern w:val="0"/>
                <w:sz w:val="24"/>
                <w:szCs w:val="24"/>
                <w:lang w:bidi="ar"/>
              </w:rPr>
            </w:pPr>
          </w:p>
        </w:tc>
        <w:tc>
          <w:tcPr>
            <w:tcW w:w="338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s="Times New Roman"/>
                <w:color w:val="000000"/>
                <w:kern w:val="0"/>
                <w:sz w:val="24"/>
                <w:szCs w:val="24"/>
                <w:lang w:bidi="ar"/>
              </w:rPr>
            </w:pPr>
            <w:r>
              <w:rPr>
                <w:rFonts w:hint="eastAsia" w:ascii="Times New Roman" w:hAnsi="Times New Roman" w:eastAsia="仿宋_GB2312"/>
                <w:color w:val="000000"/>
                <w:kern w:val="0"/>
                <w:sz w:val="24"/>
                <w:szCs w:val="24"/>
                <w:lang w:bidi="ar"/>
              </w:rPr>
              <w:t>是否按规定回访及时处理回访中 发现的问题。</w:t>
            </w:r>
          </w:p>
        </w:tc>
        <w:tc>
          <w:tcPr>
            <w:tcW w:w="6932"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s="Times New Roman"/>
                <w:color w:val="000000"/>
                <w:kern w:val="0"/>
                <w:sz w:val="24"/>
                <w:szCs w:val="24"/>
                <w:lang w:bidi="ar"/>
              </w:rPr>
            </w:pPr>
            <w:r>
              <w:rPr>
                <w:rFonts w:hint="eastAsia" w:ascii="Times New Roman" w:hAnsi="Times New Roman" w:eastAsia="仿宋_GB2312"/>
                <w:color w:val="000000"/>
                <w:kern w:val="0"/>
                <w:sz w:val="24"/>
                <w:szCs w:val="24"/>
                <w:lang w:bidi="ar"/>
              </w:rPr>
              <w:t>回访记录齐全（2分）；及时处理回访问题（1）。</w:t>
            </w:r>
          </w:p>
        </w:tc>
        <w:tc>
          <w:tcPr>
            <w:tcW w:w="10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olor w:val="000000"/>
                <w:kern w:val="0"/>
                <w:sz w:val="24"/>
                <w:szCs w:val="24"/>
                <w:lang w:bidi="ar"/>
              </w:rPr>
              <w:t>3</w:t>
            </w: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center"/>
              <w:textAlignment w:val="center"/>
              <w:rPr>
                <w:rFonts w:hint="default" w:ascii="Times New Roman" w:hAnsi="Times New Roman" w:eastAsia="仿宋_GB2312" w:cs="Times New Roman"/>
                <w:color w:val="000000"/>
                <w:kern w:val="0"/>
                <w:sz w:val="24"/>
                <w:szCs w:val="24"/>
                <w:lang w:bidi="ar"/>
              </w:rPr>
            </w:pPr>
          </w:p>
        </w:tc>
        <w:tc>
          <w:tcPr>
            <w:tcW w:w="78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center"/>
              <w:textAlignment w:val="center"/>
              <w:rPr>
                <w:rFonts w:hint="default" w:ascii="Times New Roman" w:hAnsi="Times New Roman" w:eastAsia="仿宋_GB2312" w:cs="Times New Roman"/>
                <w:color w:val="000000"/>
                <w:kern w:val="0"/>
                <w:sz w:val="24"/>
                <w:szCs w:val="24"/>
                <w:lang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0" w:hRule="atLeast"/>
          <w:jc w:val="center"/>
        </w:trPr>
        <w:tc>
          <w:tcPr>
            <w:tcW w:w="592"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top"/>
          </w:tcPr>
          <w:p>
            <w:pPr>
              <w:widowControl/>
              <w:suppressAutoHyphens/>
              <w:spacing w:beforeLines="0" w:afterLines="0" w:line="360" w:lineRule="exact"/>
              <w:jc w:val="left"/>
              <w:textAlignment w:val="center"/>
              <w:rPr>
                <w:rFonts w:hint="default" w:ascii="Times New Roman" w:hAnsi="Times New Roman" w:eastAsia="仿宋_GB2312"/>
                <w:color w:val="000000"/>
                <w:kern w:val="0"/>
                <w:sz w:val="24"/>
                <w:szCs w:val="24"/>
                <w:lang w:bidi="ar"/>
              </w:rPr>
            </w:pPr>
          </w:p>
        </w:tc>
        <w:tc>
          <w:tcPr>
            <w:tcW w:w="1019"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olor w:val="000000"/>
                <w:kern w:val="0"/>
                <w:sz w:val="24"/>
                <w:szCs w:val="24"/>
                <w:lang w:bidi="ar"/>
              </w:rPr>
            </w:pPr>
          </w:p>
        </w:tc>
        <w:tc>
          <w:tcPr>
            <w:tcW w:w="338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s="Times New Roman"/>
                <w:color w:val="000000"/>
                <w:kern w:val="0"/>
                <w:sz w:val="24"/>
                <w:szCs w:val="24"/>
                <w:lang w:bidi="ar"/>
              </w:rPr>
            </w:pPr>
            <w:r>
              <w:rPr>
                <w:rFonts w:hint="eastAsia" w:ascii="Times New Roman" w:hAnsi="Times New Roman" w:eastAsia="仿宋_GB2312"/>
                <w:color w:val="000000"/>
                <w:kern w:val="0"/>
                <w:sz w:val="24"/>
                <w:szCs w:val="24"/>
                <w:lang w:bidi="ar"/>
              </w:rPr>
              <w:t>质量</w:t>
            </w:r>
            <w:r>
              <w:rPr>
                <w:rFonts w:hint="eastAsia" w:ascii="Times New Roman" w:hAnsi="Times New Roman" w:eastAsia="仿宋_GB2312"/>
                <w:color w:val="000000"/>
                <w:kern w:val="0"/>
                <w:sz w:val="24"/>
                <w:szCs w:val="24"/>
                <w:lang w:eastAsia="zh-CN" w:bidi="ar"/>
              </w:rPr>
              <w:t>纠纷</w:t>
            </w:r>
            <w:r>
              <w:rPr>
                <w:rFonts w:hint="eastAsia" w:ascii="Times New Roman" w:hAnsi="Times New Roman" w:eastAsia="仿宋_GB2312"/>
                <w:color w:val="000000"/>
                <w:kern w:val="0"/>
                <w:sz w:val="24"/>
                <w:szCs w:val="24"/>
                <w:lang w:bidi="ar"/>
              </w:rPr>
              <w:t>涉诉事项。</w:t>
            </w:r>
          </w:p>
        </w:tc>
        <w:tc>
          <w:tcPr>
            <w:tcW w:w="6932"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s="Times New Roman"/>
                <w:color w:val="000000"/>
                <w:kern w:val="0"/>
                <w:sz w:val="24"/>
                <w:szCs w:val="24"/>
                <w:lang w:bidi="ar"/>
              </w:rPr>
            </w:pPr>
            <w:r>
              <w:rPr>
                <w:rFonts w:hint="eastAsia" w:ascii="Times New Roman" w:hAnsi="Times New Roman" w:eastAsia="仿宋_GB2312"/>
                <w:color w:val="000000"/>
                <w:kern w:val="0"/>
                <w:sz w:val="24"/>
                <w:szCs w:val="24"/>
                <w:lang w:bidi="ar"/>
              </w:rPr>
              <w:t>近两年发生质量纠纷涉诉事项属实的，每一例扣2分。</w:t>
            </w:r>
          </w:p>
        </w:tc>
        <w:tc>
          <w:tcPr>
            <w:tcW w:w="10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center"/>
              <w:textAlignment w:val="center"/>
              <w:rPr>
                <w:rFonts w:hint="eastAsia" w:ascii="Times New Roman" w:hAnsi="Times New Roman" w:eastAsia="仿宋_GB2312" w:cs="Times New Roman"/>
                <w:color w:val="000000"/>
                <w:kern w:val="0"/>
                <w:sz w:val="24"/>
                <w:szCs w:val="24"/>
                <w:lang w:bidi="ar"/>
              </w:rPr>
            </w:pPr>
            <w:r>
              <w:rPr>
                <w:rFonts w:hint="eastAsia" w:ascii="Times New Roman" w:hAnsi="Times New Roman" w:eastAsia="仿宋_GB2312"/>
                <w:color w:val="000000"/>
                <w:kern w:val="0"/>
                <w:sz w:val="24"/>
                <w:szCs w:val="24"/>
                <w:lang w:bidi="ar"/>
              </w:rPr>
              <w:t>4</w:t>
            </w: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center"/>
              <w:textAlignment w:val="center"/>
              <w:rPr>
                <w:rFonts w:hint="default" w:ascii="Times New Roman" w:hAnsi="Times New Roman" w:eastAsia="仿宋_GB2312" w:cs="Times New Roman"/>
                <w:color w:val="000000"/>
                <w:kern w:val="0"/>
                <w:sz w:val="24"/>
                <w:szCs w:val="24"/>
                <w:lang w:bidi="ar"/>
              </w:rPr>
            </w:pPr>
          </w:p>
        </w:tc>
        <w:tc>
          <w:tcPr>
            <w:tcW w:w="78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center"/>
              <w:textAlignment w:val="center"/>
              <w:rPr>
                <w:rFonts w:hint="default" w:ascii="Times New Roman" w:hAnsi="Times New Roman" w:eastAsia="仿宋_GB2312" w:cs="Times New Roman"/>
                <w:color w:val="000000"/>
                <w:kern w:val="0"/>
                <w:sz w:val="24"/>
                <w:szCs w:val="24"/>
                <w:lang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151" w:hRule="atLeast"/>
          <w:jc w:val="center"/>
        </w:trPr>
        <w:tc>
          <w:tcPr>
            <w:tcW w:w="59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olor w:val="000000"/>
                <w:kern w:val="0"/>
                <w:sz w:val="24"/>
                <w:szCs w:val="24"/>
                <w:lang w:bidi="ar"/>
              </w:rPr>
              <w:t>5</w:t>
            </w:r>
          </w:p>
        </w:tc>
        <w:tc>
          <w:tcPr>
            <w:tcW w:w="101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s="Times New Roman"/>
                <w:color w:val="000000"/>
                <w:kern w:val="0"/>
                <w:sz w:val="24"/>
                <w:szCs w:val="24"/>
                <w:lang w:bidi="ar"/>
              </w:rPr>
            </w:pPr>
            <w:r>
              <w:rPr>
                <w:rFonts w:hint="eastAsia" w:ascii="Times New Roman" w:hAnsi="Times New Roman" w:eastAsia="仿宋_GB2312"/>
                <w:color w:val="000000"/>
                <w:kern w:val="0"/>
                <w:sz w:val="24"/>
                <w:szCs w:val="24"/>
                <w:lang w:bidi="ar"/>
              </w:rPr>
              <w:t>服务质量 （12分）</w:t>
            </w:r>
          </w:p>
        </w:tc>
        <w:tc>
          <w:tcPr>
            <w:tcW w:w="338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s="Times New Roman"/>
                <w:color w:val="000000"/>
                <w:kern w:val="0"/>
                <w:sz w:val="24"/>
                <w:szCs w:val="24"/>
                <w:lang w:bidi="ar"/>
              </w:rPr>
            </w:pPr>
            <w:r>
              <w:rPr>
                <w:rFonts w:hint="eastAsia" w:ascii="Times New Roman" w:hAnsi="Times New Roman" w:eastAsia="仿宋_GB2312"/>
                <w:color w:val="000000"/>
                <w:kern w:val="0"/>
                <w:sz w:val="24"/>
                <w:szCs w:val="24"/>
                <w:lang w:bidi="ar"/>
              </w:rPr>
              <w:t>工伤人员满意度。</w:t>
            </w:r>
          </w:p>
        </w:tc>
        <w:tc>
          <w:tcPr>
            <w:tcW w:w="6932"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s="Times New Roman"/>
                <w:color w:val="000000"/>
                <w:kern w:val="0"/>
                <w:sz w:val="24"/>
                <w:szCs w:val="24"/>
                <w:lang w:bidi="ar"/>
              </w:rPr>
            </w:pPr>
            <w:r>
              <w:rPr>
                <w:rFonts w:hint="eastAsia" w:ascii="Times New Roman" w:hAnsi="Times New Roman" w:eastAsia="仿宋_GB2312"/>
                <w:color w:val="000000"/>
                <w:kern w:val="0"/>
                <w:sz w:val="24"/>
                <w:szCs w:val="24"/>
                <w:lang w:bidi="ar"/>
              </w:rPr>
              <w:t>随机电话回访2名配置辅助器具工伤职工，对配置安装过程、辅助器具质量、配置售后服务三项均满意的得12分；一项不满意扣2分。</w:t>
            </w:r>
          </w:p>
        </w:tc>
        <w:tc>
          <w:tcPr>
            <w:tcW w:w="10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center"/>
              <w:textAlignment w:val="center"/>
              <w:rPr>
                <w:rFonts w:hint="default" w:ascii="Times New Roman" w:hAnsi="Times New Roman" w:eastAsia="仿宋_GB2312" w:cs="Times New Roman"/>
                <w:color w:val="000000"/>
                <w:kern w:val="0"/>
                <w:sz w:val="24"/>
                <w:szCs w:val="24"/>
                <w:lang w:bidi="ar"/>
              </w:rPr>
            </w:pPr>
            <w:r>
              <w:rPr>
                <w:rFonts w:hint="eastAsia" w:ascii="Times New Roman" w:hAnsi="Times New Roman" w:eastAsia="仿宋_GB2312"/>
                <w:color w:val="000000"/>
                <w:kern w:val="0"/>
                <w:sz w:val="24"/>
                <w:szCs w:val="24"/>
                <w:lang w:bidi="ar"/>
              </w:rPr>
              <w:t>12</w:t>
            </w: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s="Times New Roman"/>
                <w:color w:val="000000"/>
                <w:kern w:val="0"/>
                <w:sz w:val="24"/>
                <w:szCs w:val="24"/>
                <w:lang w:bidi="ar"/>
              </w:rPr>
            </w:pPr>
          </w:p>
        </w:tc>
        <w:tc>
          <w:tcPr>
            <w:tcW w:w="78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widowControl/>
              <w:suppressAutoHyphens/>
              <w:spacing w:beforeLines="0" w:afterLines="0" w:line="360" w:lineRule="exact"/>
              <w:jc w:val="left"/>
              <w:textAlignment w:val="center"/>
              <w:rPr>
                <w:rFonts w:hint="default" w:ascii="Times New Roman" w:hAnsi="Times New Roman" w:eastAsia="仿宋_GB2312" w:cs="Times New Roman"/>
                <w:color w:val="000000"/>
                <w:kern w:val="0"/>
                <w:sz w:val="24"/>
                <w:szCs w:val="24"/>
                <w:lang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51" w:hRule="atLeast"/>
          <w:jc w:val="center"/>
        </w:trPr>
        <w:tc>
          <w:tcPr>
            <w:tcW w:w="59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center"/>
              <w:textAlignment w:val="center"/>
              <w:rPr>
                <w:rFonts w:hint="eastAsia" w:ascii="Times New Roman" w:hAnsi="Times New Roman" w:eastAsia="仿宋_GB2312"/>
                <w:color w:val="000000"/>
                <w:kern w:val="0"/>
                <w:sz w:val="24"/>
                <w:szCs w:val="24"/>
                <w:lang w:bidi="ar"/>
              </w:rPr>
            </w:pPr>
            <w:r>
              <w:rPr>
                <w:rFonts w:hint="eastAsia" w:ascii="Times New Roman" w:hAnsi="Times New Roman" w:eastAsia="仿宋_GB2312"/>
                <w:color w:val="000000"/>
                <w:kern w:val="0"/>
                <w:sz w:val="24"/>
                <w:szCs w:val="24"/>
                <w:lang w:bidi="ar"/>
              </w:rPr>
              <w:t>6</w:t>
            </w:r>
          </w:p>
        </w:tc>
        <w:tc>
          <w:tcPr>
            <w:tcW w:w="101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eastAsia" w:ascii="Times New Roman" w:hAnsi="Times New Roman" w:eastAsia="仿宋_GB2312"/>
                <w:color w:val="000000"/>
                <w:kern w:val="0"/>
                <w:sz w:val="24"/>
                <w:szCs w:val="24"/>
                <w:lang w:bidi="ar"/>
              </w:rPr>
            </w:pPr>
            <w:r>
              <w:rPr>
                <w:rFonts w:hint="eastAsia" w:ascii="Times New Roman" w:hAnsi="Times New Roman" w:eastAsia="仿宋_GB2312"/>
                <w:color w:val="000000"/>
                <w:kern w:val="0"/>
                <w:sz w:val="24"/>
                <w:szCs w:val="24"/>
                <w:lang w:bidi="ar"/>
              </w:rPr>
              <w:t>协议履行</w:t>
            </w:r>
          </w:p>
          <w:p>
            <w:pPr>
              <w:widowControl/>
              <w:suppressAutoHyphens/>
              <w:spacing w:beforeLines="0" w:afterLines="0" w:line="360" w:lineRule="exact"/>
              <w:jc w:val="left"/>
              <w:textAlignment w:val="center"/>
              <w:rPr>
                <w:rFonts w:hint="default" w:ascii="Times New Roman" w:hAnsi="Times New Roman" w:eastAsia="仿宋_GB2312"/>
                <w:color w:val="000000"/>
                <w:kern w:val="0"/>
                <w:sz w:val="24"/>
                <w:szCs w:val="24"/>
                <w:lang w:bidi="ar"/>
              </w:rPr>
            </w:pPr>
            <w:r>
              <w:rPr>
                <w:rFonts w:hint="eastAsia" w:ascii="Times New Roman" w:hAnsi="Times New Roman" w:eastAsia="仿宋_GB2312"/>
                <w:color w:val="000000"/>
                <w:kern w:val="0"/>
                <w:sz w:val="24"/>
                <w:szCs w:val="24"/>
                <w:lang w:bidi="ar"/>
              </w:rPr>
              <w:t>（18分）</w:t>
            </w:r>
          </w:p>
        </w:tc>
        <w:tc>
          <w:tcPr>
            <w:tcW w:w="338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olor w:val="000000"/>
                <w:kern w:val="0"/>
                <w:sz w:val="24"/>
                <w:szCs w:val="24"/>
                <w:lang w:bidi="ar"/>
              </w:rPr>
            </w:pPr>
            <w:r>
              <w:rPr>
                <w:rFonts w:hint="eastAsia" w:ascii="Times New Roman" w:hAnsi="Times New Roman" w:eastAsia="仿宋_GB2312"/>
                <w:color w:val="000000"/>
                <w:kern w:val="0"/>
                <w:sz w:val="24"/>
                <w:szCs w:val="24"/>
                <w:lang w:bidi="ar"/>
              </w:rPr>
              <w:t>严格履行配置服务协议。</w:t>
            </w:r>
          </w:p>
        </w:tc>
        <w:tc>
          <w:tcPr>
            <w:tcW w:w="6932"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both"/>
              <w:textAlignment w:val="center"/>
              <w:rPr>
                <w:rFonts w:hint="eastAsia" w:ascii="Times New Roman" w:hAnsi="Times New Roman" w:eastAsia="仿宋_GB2312"/>
                <w:color w:val="000000"/>
                <w:kern w:val="0"/>
                <w:sz w:val="24"/>
                <w:szCs w:val="24"/>
                <w:lang w:eastAsia="zh-CN" w:bidi="ar"/>
              </w:rPr>
            </w:pPr>
            <w:r>
              <w:rPr>
                <w:rFonts w:hint="eastAsia" w:ascii="Times New Roman" w:hAnsi="Times New Roman" w:eastAsia="仿宋_GB2312"/>
                <w:color w:val="000000"/>
                <w:kern w:val="0"/>
                <w:sz w:val="24"/>
                <w:szCs w:val="24"/>
                <w:lang w:bidi="ar"/>
              </w:rPr>
              <w:t>根据日常管理、专项检查及审计工作中发现的违反协议的其他问题，根据严重程度酌情扣分</w:t>
            </w:r>
            <w:r>
              <w:rPr>
                <w:rFonts w:hint="eastAsia" w:ascii="Times New Roman" w:hAnsi="Times New Roman" w:eastAsia="仿宋_GB2312"/>
                <w:color w:val="000000"/>
                <w:kern w:val="0"/>
                <w:sz w:val="24"/>
                <w:szCs w:val="24"/>
                <w:lang w:eastAsia="zh-CN" w:bidi="ar"/>
              </w:rPr>
              <w:t>。</w:t>
            </w:r>
          </w:p>
        </w:tc>
        <w:tc>
          <w:tcPr>
            <w:tcW w:w="10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center"/>
              <w:textAlignment w:val="center"/>
              <w:rPr>
                <w:rFonts w:hint="default" w:ascii="Times New Roman" w:hAnsi="Times New Roman" w:eastAsia="仿宋_GB2312"/>
                <w:color w:val="000000"/>
                <w:kern w:val="0"/>
                <w:sz w:val="24"/>
                <w:szCs w:val="24"/>
                <w:lang w:bidi="ar"/>
              </w:rPr>
            </w:pPr>
            <w:r>
              <w:rPr>
                <w:rFonts w:hint="eastAsia" w:ascii="Times New Roman" w:hAnsi="Times New Roman" w:eastAsia="仿宋_GB2312"/>
                <w:color w:val="000000"/>
                <w:kern w:val="0"/>
                <w:sz w:val="24"/>
                <w:szCs w:val="24"/>
                <w:lang w:bidi="ar"/>
              </w:rPr>
              <w:t>18</w:t>
            </w: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s="Times New Roman"/>
                <w:color w:val="000000"/>
                <w:kern w:val="0"/>
                <w:sz w:val="24"/>
                <w:szCs w:val="24"/>
                <w:lang w:bidi="ar"/>
              </w:rPr>
            </w:pPr>
          </w:p>
        </w:tc>
        <w:tc>
          <w:tcPr>
            <w:tcW w:w="78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widowControl/>
              <w:suppressAutoHyphens/>
              <w:spacing w:beforeLines="0" w:afterLines="0" w:line="360" w:lineRule="exact"/>
              <w:jc w:val="left"/>
              <w:textAlignment w:val="center"/>
              <w:rPr>
                <w:rFonts w:hint="default" w:ascii="Times New Roman" w:hAnsi="Times New Roman" w:eastAsia="仿宋_GB2312" w:cs="Times New Roman"/>
                <w:color w:val="000000"/>
                <w:kern w:val="0"/>
                <w:sz w:val="24"/>
                <w:szCs w:val="24"/>
                <w:lang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151" w:hRule="atLeast"/>
          <w:jc w:val="center"/>
        </w:trPr>
        <w:tc>
          <w:tcPr>
            <w:tcW w:w="59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center"/>
              <w:textAlignment w:val="center"/>
              <w:rPr>
                <w:rFonts w:hint="eastAsia" w:ascii="Times New Roman" w:hAnsi="Times New Roman" w:eastAsia="仿宋_GB2312"/>
                <w:color w:val="000000"/>
                <w:kern w:val="0"/>
                <w:sz w:val="24"/>
                <w:szCs w:val="24"/>
                <w:lang w:val="en-US" w:eastAsia="zh-CN" w:bidi="ar"/>
              </w:rPr>
            </w:pPr>
            <w:r>
              <w:rPr>
                <w:rFonts w:hint="eastAsia" w:ascii="Times New Roman" w:hAnsi="Times New Roman" w:eastAsia="仿宋_GB2312"/>
                <w:color w:val="000000"/>
                <w:kern w:val="0"/>
                <w:sz w:val="24"/>
                <w:szCs w:val="24"/>
                <w:lang w:val="en-US" w:eastAsia="zh-CN" w:bidi="ar"/>
              </w:rPr>
              <w:t>7</w:t>
            </w:r>
          </w:p>
        </w:tc>
        <w:tc>
          <w:tcPr>
            <w:tcW w:w="4404"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eastAsia" w:ascii="Times New Roman" w:hAnsi="Times New Roman" w:eastAsia="仿宋_GB2312"/>
                <w:color w:val="000000"/>
                <w:kern w:val="0"/>
                <w:sz w:val="24"/>
                <w:szCs w:val="24"/>
                <w:lang w:val="en-US" w:eastAsia="zh-CN" w:bidi="ar"/>
              </w:rPr>
            </w:pPr>
            <w:r>
              <w:rPr>
                <w:rFonts w:hint="eastAsia" w:ascii="Times New Roman" w:hAnsi="Times New Roman" w:eastAsia="仿宋_GB2312"/>
                <w:color w:val="000000"/>
                <w:kern w:val="0"/>
                <w:sz w:val="24"/>
                <w:szCs w:val="24"/>
                <w:lang w:val="en-US" w:eastAsia="zh-CN" w:bidi="ar"/>
              </w:rPr>
              <w:t>加分项（5分）</w:t>
            </w:r>
          </w:p>
        </w:tc>
        <w:tc>
          <w:tcPr>
            <w:tcW w:w="6932"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olor w:val="000000"/>
                <w:kern w:val="0"/>
                <w:sz w:val="24"/>
                <w:szCs w:val="24"/>
                <w:lang w:val="en-US" w:eastAsia="zh-CN" w:bidi="ar"/>
              </w:rPr>
            </w:pPr>
            <w:r>
              <w:rPr>
                <w:rFonts w:hint="eastAsia" w:ascii="Times New Roman" w:hAnsi="Times New Roman" w:eastAsia="仿宋_GB2312"/>
                <w:color w:val="000000"/>
                <w:kern w:val="0"/>
                <w:sz w:val="24"/>
                <w:szCs w:val="24"/>
                <w:lang w:val="en-US" w:eastAsia="zh-CN" w:bidi="ar"/>
              </w:rPr>
              <w:t>能够为工伤职工配置辅助器具提供免费住宿便利加3分；为行动不便工伤人员提供上门服务或派车接送服务加2分。</w:t>
            </w:r>
          </w:p>
        </w:tc>
        <w:tc>
          <w:tcPr>
            <w:tcW w:w="10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center"/>
              <w:textAlignment w:val="center"/>
              <w:rPr>
                <w:rFonts w:hint="eastAsia" w:ascii="Times New Roman" w:hAnsi="Times New Roman" w:eastAsia="仿宋_GB2312"/>
                <w:color w:val="000000"/>
                <w:kern w:val="0"/>
                <w:sz w:val="24"/>
                <w:szCs w:val="24"/>
                <w:lang w:val="en-US" w:eastAsia="zh-CN" w:bidi="ar"/>
              </w:rPr>
            </w:pPr>
            <w:r>
              <w:rPr>
                <w:rFonts w:hint="eastAsia" w:ascii="Times New Roman" w:hAnsi="Times New Roman" w:eastAsia="仿宋_GB2312"/>
                <w:color w:val="000000"/>
                <w:kern w:val="0"/>
                <w:sz w:val="24"/>
                <w:szCs w:val="24"/>
                <w:lang w:val="en-US" w:eastAsia="zh-CN" w:bidi="ar"/>
              </w:rPr>
              <w:t>5</w:t>
            </w: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cs="Times New Roman"/>
                <w:color w:val="000000"/>
                <w:kern w:val="0"/>
                <w:sz w:val="24"/>
                <w:szCs w:val="24"/>
                <w:lang w:bidi="ar"/>
              </w:rPr>
            </w:pPr>
          </w:p>
        </w:tc>
        <w:tc>
          <w:tcPr>
            <w:tcW w:w="78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widowControl/>
              <w:suppressAutoHyphens/>
              <w:spacing w:beforeLines="0" w:afterLines="0" w:line="360" w:lineRule="exact"/>
              <w:jc w:val="left"/>
              <w:textAlignment w:val="center"/>
              <w:rPr>
                <w:rFonts w:hint="default" w:ascii="Times New Roman" w:hAnsi="Times New Roman" w:eastAsia="仿宋_GB2312" w:cs="Times New Roman"/>
                <w:color w:val="000000"/>
                <w:kern w:val="0"/>
                <w:sz w:val="24"/>
                <w:szCs w:val="24"/>
                <w:lang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172" w:hRule="atLeast"/>
          <w:jc w:val="center"/>
        </w:trPr>
        <w:tc>
          <w:tcPr>
            <w:tcW w:w="4996" w:type="dxa"/>
            <w:gridSpan w:val="3"/>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center"/>
              <w:textAlignment w:val="center"/>
              <w:rPr>
                <w:rFonts w:hint="default" w:ascii="Times New Roman" w:hAnsi="Times New Roman" w:eastAsia="仿宋_GB2312"/>
                <w:b/>
                <w:bCs/>
                <w:color w:val="000000"/>
                <w:kern w:val="0"/>
                <w:sz w:val="24"/>
                <w:szCs w:val="24"/>
                <w:lang w:val="en-US" w:eastAsia="zh-CN" w:bidi="ar"/>
              </w:rPr>
            </w:pPr>
            <w:r>
              <w:rPr>
                <w:rFonts w:hint="eastAsia" w:ascii="Times New Roman" w:hAnsi="Times New Roman" w:eastAsia="仿宋_GB2312"/>
                <w:b/>
                <w:bCs/>
                <w:color w:val="000000"/>
                <w:kern w:val="0"/>
                <w:sz w:val="24"/>
                <w:szCs w:val="24"/>
                <w:lang w:val="en-US" w:eastAsia="zh-CN" w:bidi="ar"/>
              </w:rPr>
              <w:t>考核得分（含总分）</w:t>
            </w:r>
          </w:p>
        </w:tc>
        <w:tc>
          <w:tcPr>
            <w:tcW w:w="3210" w:type="dxa"/>
            <w:tcBorders>
              <w:top w:val="single" w:color="000000" w:sz="6" w:space="0"/>
              <w:left w:val="single" w:color="000000" w:sz="6" w:space="0"/>
              <w:bottom w:val="single" w:color="000000" w:sz="6" w:space="0"/>
              <w:right w:val="single" w:color="auto" w:sz="4" w:space="0"/>
              <w:tl2br w:val="nil"/>
              <w:tr2bl w:val="nil"/>
            </w:tcBorders>
            <w:noWrap w:val="0"/>
            <w:vAlign w:val="center"/>
          </w:tcPr>
          <w:p>
            <w:pPr>
              <w:widowControl/>
              <w:suppressAutoHyphens/>
              <w:spacing w:beforeLines="0" w:afterLines="0" w:line="360" w:lineRule="exact"/>
              <w:jc w:val="left"/>
              <w:textAlignment w:val="center"/>
              <w:rPr>
                <w:rFonts w:hint="default" w:ascii="Times New Roman" w:hAnsi="Times New Roman" w:eastAsia="仿宋_GB2312"/>
                <w:b/>
                <w:bCs/>
                <w:color w:val="000000"/>
                <w:kern w:val="0"/>
                <w:sz w:val="24"/>
                <w:szCs w:val="24"/>
                <w:lang w:bidi="ar"/>
              </w:rPr>
            </w:pPr>
          </w:p>
        </w:tc>
        <w:tc>
          <w:tcPr>
            <w:tcW w:w="3722" w:type="dxa"/>
            <w:tcBorders>
              <w:top w:val="single" w:color="000000" w:sz="6" w:space="0"/>
              <w:left w:val="single" w:color="auto" w:sz="4"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center"/>
              <w:textAlignment w:val="center"/>
              <w:rPr>
                <w:rFonts w:hint="default" w:ascii="Times New Roman" w:hAnsi="Times New Roman" w:eastAsia="仿宋_GB2312"/>
                <w:b/>
                <w:bCs/>
                <w:color w:val="000000"/>
                <w:kern w:val="0"/>
                <w:sz w:val="24"/>
                <w:szCs w:val="24"/>
                <w:lang w:val="en-US" w:eastAsia="zh-CN" w:bidi="ar"/>
              </w:rPr>
            </w:pPr>
            <w:r>
              <w:rPr>
                <w:rFonts w:hint="eastAsia" w:ascii="Times New Roman" w:hAnsi="Times New Roman" w:eastAsia="仿宋_GB2312"/>
                <w:b/>
                <w:bCs/>
                <w:color w:val="000000"/>
                <w:kern w:val="0"/>
                <w:sz w:val="24"/>
                <w:szCs w:val="24"/>
                <w:lang w:val="en-US" w:eastAsia="zh-CN" w:bidi="ar"/>
              </w:rPr>
              <w:t>服务机构确认</w:t>
            </w:r>
          </w:p>
        </w:tc>
        <w:tc>
          <w:tcPr>
            <w:tcW w:w="2683" w:type="dxa"/>
            <w:gridSpan w:val="3"/>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suppressAutoHyphens/>
              <w:spacing w:beforeLines="0" w:afterLines="0" w:line="360" w:lineRule="exact"/>
              <w:jc w:val="center"/>
              <w:textAlignment w:val="center"/>
              <w:rPr>
                <w:rFonts w:hint="eastAsia" w:ascii="Times New Roman" w:hAnsi="Times New Roman" w:eastAsia="仿宋_GB2312" w:cs="Times New Roman"/>
                <w:b/>
                <w:bCs/>
                <w:color w:val="000000"/>
                <w:kern w:val="0"/>
                <w:sz w:val="24"/>
                <w:szCs w:val="24"/>
                <w:lang w:eastAsia="zh-CN" w:bidi="ar"/>
              </w:rPr>
            </w:pPr>
            <w:r>
              <w:rPr>
                <w:rFonts w:hint="eastAsia" w:ascii="Times New Roman" w:hAnsi="Times New Roman" w:eastAsia="仿宋_GB2312" w:cs="Times New Roman"/>
                <w:b/>
                <w:bCs/>
                <w:color w:val="000000"/>
                <w:kern w:val="0"/>
                <w:sz w:val="24"/>
                <w:szCs w:val="24"/>
                <w:lang w:eastAsia="zh-CN" w:bidi="ar"/>
              </w:rPr>
              <w:t>（</w:t>
            </w:r>
            <w:r>
              <w:rPr>
                <w:rFonts w:hint="eastAsia" w:ascii="Times New Roman" w:hAnsi="Times New Roman" w:eastAsia="仿宋_GB2312" w:cs="Times New Roman"/>
                <w:b/>
                <w:bCs/>
                <w:color w:val="000000"/>
                <w:kern w:val="0"/>
                <w:sz w:val="24"/>
                <w:szCs w:val="24"/>
                <w:lang w:val="en-US" w:eastAsia="zh-CN" w:bidi="ar"/>
              </w:rPr>
              <w:t>盖章</w:t>
            </w:r>
            <w:r>
              <w:rPr>
                <w:rFonts w:hint="eastAsia" w:ascii="Times New Roman" w:hAnsi="Times New Roman" w:eastAsia="仿宋_GB2312" w:cs="Times New Roman"/>
                <w:b/>
                <w:bCs/>
                <w:color w:val="000000"/>
                <w:kern w:val="0"/>
                <w:sz w:val="24"/>
                <w:szCs w:val="24"/>
                <w:lang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74" w:hRule="atLeast"/>
          <w:jc w:val="center"/>
        </w:trPr>
        <w:tc>
          <w:tcPr>
            <w:tcW w:w="14611" w:type="dxa"/>
            <w:gridSpan w:val="8"/>
            <w:tcBorders>
              <w:top w:val="single" w:color="000000" w:sz="6" w:space="0"/>
              <w:left w:val="single" w:color="000000" w:sz="6" w:space="0"/>
              <w:bottom w:val="single" w:color="000000" w:sz="6" w:space="0"/>
              <w:right w:val="single" w:color="000000" w:sz="6" w:space="0"/>
              <w:tl2br w:val="nil"/>
              <w:tr2bl w:val="nil"/>
            </w:tcBorders>
            <w:noWrap w:val="0"/>
            <w:vAlign w:val="top"/>
          </w:tcPr>
          <w:p>
            <w:pPr>
              <w:widowControl/>
              <w:suppressAutoHyphens/>
              <w:spacing w:beforeLines="0" w:afterLines="0" w:line="360" w:lineRule="exact"/>
              <w:jc w:val="left"/>
              <w:textAlignment w:val="center"/>
              <w:rPr>
                <w:rFonts w:hint="default" w:ascii="Times New Roman" w:hAnsi="Times New Roman" w:eastAsia="仿宋_GB2312" w:cs="Times New Roman"/>
                <w:color w:val="000000"/>
                <w:kern w:val="0"/>
                <w:sz w:val="24"/>
                <w:szCs w:val="24"/>
                <w:lang w:bidi="ar"/>
              </w:rPr>
            </w:pPr>
            <w:r>
              <w:rPr>
                <w:rFonts w:hint="eastAsia" w:ascii="Times New Roman" w:hAnsi="Times New Roman" w:eastAsia="仿宋_GB2312"/>
                <w:color w:val="000000"/>
                <w:kern w:val="0"/>
                <w:sz w:val="24"/>
                <w:szCs w:val="24"/>
                <w:lang w:bidi="ar"/>
              </w:rPr>
              <w:t>备注：</w:t>
            </w:r>
            <w:r>
              <w:rPr>
                <w:rFonts w:ascii="Times New Roman" w:hAnsi="Times New Roman" w:eastAsia="仿宋_GB2312"/>
                <w:color w:val="000000"/>
                <w:kern w:val="0"/>
                <w:sz w:val="24"/>
                <w:lang w:bidi="ar"/>
              </w:rPr>
              <w:t>此表用于定期监督检查和考核；本表考核满分为100分，基础分值与加分分值得分加和超过100分的，按100分计，得分在60分以上为合格。</w:t>
            </w:r>
          </w:p>
        </w:tc>
      </w:tr>
    </w:tbl>
    <w:p>
      <w:pPr>
        <w:tabs>
          <w:tab w:val="left" w:pos="8087"/>
        </w:tabs>
        <w:suppressAutoHyphens/>
        <w:bidi w:val="0"/>
        <w:jc w:val="left"/>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olor w:val="000000"/>
          <w:kern w:val="0"/>
          <w:sz w:val="24"/>
          <w:lang w:eastAsia="zh-CN" w:bidi="ar"/>
        </w:rPr>
        <w:tab/>
      </w:r>
    </w:p>
    <w:sectPr>
      <w:pgSz w:w="16838" w:h="11906" w:orient="landscape"/>
      <w:pgMar w:top="1587" w:right="2098" w:bottom="1474" w:left="1984" w:header="851" w:footer="992" w:gutter="0"/>
      <w:paperSrc/>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ourier New">
    <w:altName w:val="DejaVu Sans"/>
    <w:panose1 w:val="02070309020205020404"/>
    <w:charset w:val="00"/>
    <w:family w:val="modern"/>
    <w:pitch w:val="default"/>
    <w:sig w:usb0="E0002AFF" w:usb1="C0007843" w:usb2="00000009" w:usb3="00000000" w:csb0="400001FF" w:csb1="FFFF0000"/>
  </w:font>
  <w:font w:name="黑体">
    <w:altName w:val="方正黑体_GBK"/>
    <w:panose1 w:val="02010609060101010101"/>
    <w:charset w:val="00"/>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00"/>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00"/>
    <w:family w:val="auto"/>
    <w:pitch w:val="default"/>
    <w:sig w:usb0="80000287" w:usb1="280F3C52" w:usb2="00000016" w:usb3="00000000" w:csb0="0004001F"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O&#10;qXm5zwAAAAUBAAAPAAAAAAAAAAEAIAAAADgAAABkcnMvZG93bnJldi54bWxQSwECFAAUAAAACACH&#10;TuJAnFKFoN4BAAC+AwAADgAAAAAAAAABACAAAAA0AQAAZHJzL2Uyb0RvYy54bWxQSwUGAAAAAAYA&#10;BgBZAQAAhAU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s>
    </w:pP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D7CFB4"/>
    <w:multiLevelType w:val="singleLevel"/>
    <w:tmpl w:val="0FD7CFB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8"/>
  <w:displayHorizontalDrawingGridEvery w:val="1"/>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kMTcwZWNkNmQ4MzlhOWI2NmRmOTYzN2NlMjZkMzkifQ=="/>
  </w:docVars>
  <w:rsids>
    <w:rsidRoot w:val="FDD38299"/>
    <w:rsid w:val="06874187"/>
    <w:rsid w:val="06C54CB0"/>
    <w:rsid w:val="0A935F31"/>
    <w:rsid w:val="0ADA341F"/>
    <w:rsid w:val="0CCD48BE"/>
    <w:rsid w:val="0E707BF7"/>
    <w:rsid w:val="0FCAC3E0"/>
    <w:rsid w:val="12781E38"/>
    <w:rsid w:val="16F45869"/>
    <w:rsid w:val="18381785"/>
    <w:rsid w:val="1A1B4EBB"/>
    <w:rsid w:val="1AFF6E0D"/>
    <w:rsid w:val="1C961170"/>
    <w:rsid w:val="1E303302"/>
    <w:rsid w:val="1E3D096C"/>
    <w:rsid w:val="1E470974"/>
    <w:rsid w:val="22992007"/>
    <w:rsid w:val="26B11081"/>
    <w:rsid w:val="27B150B0"/>
    <w:rsid w:val="283C7070"/>
    <w:rsid w:val="28F2772E"/>
    <w:rsid w:val="2D71156A"/>
    <w:rsid w:val="2D9B0395"/>
    <w:rsid w:val="2F5EB145"/>
    <w:rsid w:val="31662A68"/>
    <w:rsid w:val="317909ED"/>
    <w:rsid w:val="337444D3"/>
    <w:rsid w:val="388D1185"/>
    <w:rsid w:val="3DDD75F9"/>
    <w:rsid w:val="3F3E5024"/>
    <w:rsid w:val="3FC27A03"/>
    <w:rsid w:val="3FFE5430"/>
    <w:rsid w:val="4407632C"/>
    <w:rsid w:val="4961028C"/>
    <w:rsid w:val="4D7303DF"/>
    <w:rsid w:val="4FFB4549"/>
    <w:rsid w:val="504306EC"/>
    <w:rsid w:val="51FED343"/>
    <w:rsid w:val="54DF3AE5"/>
    <w:rsid w:val="55BFFF39"/>
    <w:rsid w:val="55D77BA3"/>
    <w:rsid w:val="58276B45"/>
    <w:rsid w:val="5A810BC1"/>
    <w:rsid w:val="5EFF0F89"/>
    <w:rsid w:val="5F7F923D"/>
    <w:rsid w:val="5FF920DF"/>
    <w:rsid w:val="60B06216"/>
    <w:rsid w:val="61FC06FB"/>
    <w:rsid w:val="62FE0C6B"/>
    <w:rsid w:val="66C832A1"/>
    <w:rsid w:val="67317098"/>
    <w:rsid w:val="6A0960AB"/>
    <w:rsid w:val="6B5DE20C"/>
    <w:rsid w:val="6BAFA4BE"/>
    <w:rsid w:val="6DBFC30F"/>
    <w:rsid w:val="6F5F01A3"/>
    <w:rsid w:val="6F5FF113"/>
    <w:rsid w:val="6F614293"/>
    <w:rsid w:val="6FD1766A"/>
    <w:rsid w:val="6FEC1DAE"/>
    <w:rsid w:val="748702F8"/>
    <w:rsid w:val="75BEA09A"/>
    <w:rsid w:val="76FD2786"/>
    <w:rsid w:val="76FF5A7E"/>
    <w:rsid w:val="77336515"/>
    <w:rsid w:val="77FFB509"/>
    <w:rsid w:val="791D4DC8"/>
    <w:rsid w:val="7BFFA3DA"/>
    <w:rsid w:val="7D216CE8"/>
    <w:rsid w:val="7D7F2462"/>
    <w:rsid w:val="7E5AA48B"/>
    <w:rsid w:val="7EDFED3F"/>
    <w:rsid w:val="7F358DFF"/>
    <w:rsid w:val="7F7D14A0"/>
    <w:rsid w:val="7FAB7888"/>
    <w:rsid w:val="7FB666BA"/>
    <w:rsid w:val="7FB977D3"/>
    <w:rsid w:val="7FFF3EFA"/>
    <w:rsid w:val="93B7519B"/>
    <w:rsid w:val="93F64818"/>
    <w:rsid w:val="9D958986"/>
    <w:rsid w:val="B1FFA303"/>
    <w:rsid w:val="B7DC1C98"/>
    <w:rsid w:val="B9EC05BF"/>
    <w:rsid w:val="BB79AE7D"/>
    <w:rsid w:val="BBCFD70A"/>
    <w:rsid w:val="BBFF8C50"/>
    <w:rsid w:val="BEFB9034"/>
    <w:rsid w:val="BF4EFEBF"/>
    <w:rsid w:val="BF5E0E70"/>
    <w:rsid w:val="BFDEEC87"/>
    <w:rsid w:val="BFFF0397"/>
    <w:rsid w:val="CFDF2CF2"/>
    <w:rsid w:val="CFF40F4C"/>
    <w:rsid w:val="D0AF92F3"/>
    <w:rsid w:val="DBCF1C00"/>
    <w:rsid w:val="DE5AA80B"/>
    <w:rsid w:val="DF61B9C5"/>
    <w:rsid w:val="DFFFB4C0"/>
    <w:rsid w:val="E3D73CA2"/>
    <w:rsid w:val="E7FB42C0"/>
    <w:rsid w:val="EBD17FAE"/>
    <w:rsid w:val="EF5F66E4"/>
    <w:rsid w:val="F3E76762"/>
    <w:rsid w:val="F6FDF4CA"/>
    <w:rsid w:val="F73E3283"/>
    <w:rsid w:val="F77D8071"/>
    <w:rsid w:val="F79DB95D"/>
    <w:rsid w:val="F7FA2AF7"/>
    <w:rsid w:val="F7FE3A47"/>
    <w:rsid w:val="FA9F2396"/>
    <w:rsid w:val="FBBDF588"/>
    <w:rsid w:val="FC6157D4"/>
    <w:rsid w:val="FDBF78DC"/>
    <w:rsid w:val="FDD38299"/>
    <w:rsid w:val="FDF35F5F"/>
    <w:rsid w:val="FDF7FADE"/>
    <w:rsid w:val="FE372B2D"/>
    <w:rsid w:val="FF6B0787"/>
    <w:rsid w:val="FF9F697A"/>
    <w:rsid w:val="FFDE48A7"/>
    <w:rsid w:val="FFFB99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2">
    <w:name w:val="Normal Indent"/>
    <w:next w:val="1"/>
    <w:unhideWhenUsed/>
    <w:qFormat/>
    <w:uiPriority w:val="99"/>
    <w:pPr>
      <w:widowControl w:val="0"/>
      <w:suppressAutoHyphens/>
      <w:ind w:firstLine="420" w:firstLineChars="200"/>
      <w:jc w:val="both"/>
    </w:pPr>
    <w:rPr>
      <w:rFonts w:ascii="Times New Roman" w:hAnsi="Times New Roman" w:eastAsia="宋体" w:cs="Times New Roman"/>
      <w:kern w:val="2"/>
      <w:sz w:val="21"/>
      <w:szCs w:val="24"/>
      <w:lang w:val="en-US" w:eastAsia="zh-CN" w:bidi="ar-SA"/>
    </w:rPr>
  </w:style>
  <w:style w:type="paragraph" w:styleId="3">
    <w:name w:val="Body Text"/>
    <w:basedOn w:val="1"/>
    <w:next w:val="1"/>
    <w:uiPriority w:val="0"/>
    <w:pPr>
      <w:spacing w:before="0" w:after="140" w:line="276" w:lineRule="auto"/>
    </w:pPr>
  </w:style>
  <w:style w:type="paragraph" w:styleId="4">
    <w:name w:val="Plain Text"/>
    <w:basedOn w:val="1"/>
    <w:unhideWhenUsed/>
    <w:qFormat/>
    <w:uiPriority w:val="0"/>
    <w:rPr>
      <w:rFonts w:hint="eastAsia" w:ascii="宋体" w:hAnsi="Courier New"/>
      <w:sz w:val="28"/>
      <w:szCs w:val="20"/>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1">
    <w:name w:val="BodyText"/>
    <w:basedOn w:val="1"/>
    <w:next w:val="12"/>
    <w:qFormat/>
    <w:uiPriority w:val="0"/>
    <w:pPr>
      <w:widowControl/>
      <w:spacing w:after="120"/>
      <w:textAlignment w:val="baseline"/>
    </w:pPr>
  </w:style>
  <w:style w:type="paragraph" w:customStyle="1" w:styleId="12">
    <w:name w:val="UserStyle_2"/>
    <w:next w:val="1"/>
    <w:qFormat/>
    <w:uiPriority w:val="0"/>
    <w:pPr>
      <w:jc w:val="both"/>
      <w:textAlignment w:val="baseline"/>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5788</Words>
  <Characters>5807</Characters>
  <Lines>0</Lines>
  <Paragraphs>0</Paragraphs>
  <TotalTime>47.6666666666667</TotalTime>
  <ScaleCrop>false</ScaleCrop>
  <LinksUpToDate>false</LinksUpToDate>
  <CharactersWithSpaces>6050</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2024-10-26T08:50:00Z</dcterms:created>
  <dc:creator>uos</dc:creator>
  <cp:lastModifiedBy>rsj</cp:lastModifiedBy>
  <cp:lastPrinted>2024-10-26T09:15:50Z</cp:lastPrinted>
  <dcterms:modified xsi:type="dcterms:W3CDTF">2024-12-27T17:00:59Z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530DC5C5366B3AB4CB6C6E6792E4BC2A_43</vt:lpwstr>
  </property>
</Properties>
</file>