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shd w:val="clear" w:color="auto" w:fill="ffffff"/>
        <w:spacing w:before="570" w:after="525"/>
        <w:jc w:val="center"/>
        <w:outlineLvl w:val="0"/>
        <w:rPr>
          <w:rFonts w:ascii="宋体" w:cs="宋体" w:hAnsi="宋体"/>
          <w:b/>
          <w:bCs/>
          <w:color w:val="000000"/>
          <w:kern w:val="36"/>
          <w:sz w:val="44"/>
          <w:szCs w:val="44"/>
        </w:rPr>
      </w:pPr>
      <w:r>
        <w:rPr>
          <w:rFonts w:ascii="宋体" w:cs="宋体" w:hAnsi="宋体" w:hint="eastAsia"/>
          <w:b/>
          <w:bCs/>
          <w:color w:val="000000"/>
          <w:kern w:val="36"/>
          <w:sz w:val="44"/>
          <w:szCs w:val="44"/>
        </w:rPr>
        <w:t>北京市就业工作体系运行保障</w:t>
      </w:r>
      <w:r>
        <w:rPr>
          <w:rFonts w:ascii="宋体" w:cs="宋体" w:hAnsi="宋体" w:hint="eastAsia"/>
          <w:b/>
          <w:bCs/>
          <w:color w:val="000000"/>
          <w:kern w:val="36"/>
          <w:sz w:val="44"/>
          <w:szCs w:val="44"/>
        </w:rPr>
        <w:t>成交公告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b/>
          <w:color w:val="000000"/>
          <w:kern w:val="0"/>
          <w:sz w:val="32"/>
          <w:szCs w:val="32"/>
        </w:rPr>
        <w:t>一、项目编号：</w:t>
      </w:r>
      <w:r>
        <w:rPr>
          <w:rFonts w:ascii="仿宋" w:eastAsia="仿宋" w:hAnsi="仿宋" w:hint="eastAsia"/>
          <w:color w:val="000000"/>
          <w:sz w:val="32"/>
          <w:szCs w:val="32"/>
        </w:rPr>
        <w:t>GXCZ-C-22780075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b/>
          <w:color w:val="000000"/>
          <w:kern w:val="0"/>
          <w:sz w:val="32"/>
          <w:szCs w:val="32"/>
        </w:rPr>
        <w:t>二、项目名称：</w:t>
      </w:r>
      <w:r>
        <w:rPr>
          <w:rFonts w:ascii="仿宋" w:eastAsia="仿宋" w:hAnsi="仿宋" w:hint="eastAsia"/>
          <w:color w:val="000000"/>
          <w:sz w:val="32"/>
          <w:szCs w:val="32"/>
        </w:rPr>
        <w:t>北京市就业工作体系运行保障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仿宋" w:cs="宋体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b/>
          <w:color w:val="000000"/>
          <w:kern w:val="0"/>
          <w:sz w:val="32"/>
          <w:szCs w:val="32"/>
        </w:rPr>
        <w:t>三、中标（成交）信息: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成交供应商名称：</w:t>
      </w:r>
      <w:r>
        <w:rPr>
          <w:rFonts w:ascii="仿宋" w:eastAsia="仿宋" w:hAnsi="仿宋" w:hint="eastAsia"/>
          <w:color w:val="000000"/>
          <w:sz w:val="32"/>
          <w:szCs w:val="32"/>
        </w:rPr>
        <w:t>清研灵智信息咨询（北京）有限公司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成交供应商联系地址：</w:t>
      </w:r>
      <w:r>
        <w:rPr>
          <w:rFonts w:ascii="仿宋" w:eastAsia="仿宋" w:hAnsi="仿宋" w:hint="eastAsia"/>
          <w:color w:val="000000"/>
          <w:sz w:val="32"/>
          <w:szCs w:val="32"/>
        </w:rPr>
        <w:t>北京市海淀区北三环中路44号4号楼5层536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640" w:firstLineChars="20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成交金额：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1</w:t>
      </w:r>
      <w:r>
        <w:rPr>
          <w:rFonts w:ascii="仿宋" w:cs="宋体" w:eastAsia="仿宋" w:hAnsi="仿宋"/>
          <w:color w:val="000000"/>
          <w:kern w:val="0"/>
          <w:sz w:val="32"/>
          <w:szCs w:val="32"/>
        </w:rPr>
        <w:t>03.6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万</w:t>
      </w:r>
      <w:r>
        <w:rPr>
          <w:rFonts w:ascii="仿宋" w:cs="宋体" w:eastAsia="仿宋" w:hAnsi="仿宋"/>
          <w:color w:val="000000"/>
          <w:kern w:val="0"/>
          <w:sz w:val="32"/>
          <w:szCs w:val="32"/>
        </w:rPr>
        <w:t>元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仿宋" w:cs="宋体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b/>
          <w:color w:val="000000"/>
          <w:kern w:val="0"/>
          <w:sz w:val="32"/>
          <w:szCs w:val="32"/>
        </w:rPr>
        <w:t>四、主要标的信息: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>
        <w:trPr/>
        <w:tc>
          <w:tcPr>
            <w:tcW w:w="1185" w:type="dxa"/>
            <w:tcBorders/>
          </w:tcPr>
          <w:p>
            <w:pPr>
              <w:pStyle w:val="style0"/>
              <w:widowControl/>
              <w:spacing w:lineRule="atLeast" w:line="600"/>
              <w:jc w:val="center"/>
              <w:rPr>
                <w:rFonts w:ascii="仿宋" w:cs="宋体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cs="宋体" w:eastAsia="仿宋" w:hAnsi="仿宋" w:hint="eastAsia"/>
                <w:b/>
                <w:color w:val="000000"/>
                <w:kern w:val="0"/>
                <w:szCs w:val="21"/>
              </w:rPr>
              <w:t>供应商</w:t>
            </w:r>
          </w:p>
        </w:tc>
        <w:tc>
          <w:tcPr>
            <w:tcW w:w="1185" w:type="dxa"/>
            <w:tcBorders/>
          </w:tcPr>
          <w:p>
            <w:pPr>
              <w:pStyle w:val="style0"/>
              <w:widowControl/>
              <w:wordWrap w:val="false"/>
              <w:spacing w:lineRule="atLeast" w:line="600"/>
              <w:jc w:val="center"/>
              <w:rPr>
                <w:rFonts w:ascii="仿宋" w:cs="宋体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cs="宋体" w:eastAsia="仿宋" w:hAnsi="仿宋" w:hint="eastAsia"/>
                <w:b/>
                <w:color w:val="000000"/>
                <w:kern w:val="0"/>
                <w:szCs w:val="21"/>
              </w:rPr>
              <w:t>商品</w:t>
            </w:r>
            <w:r>
              <w:rPr>
                <w:rFonts w:ascii="仿宋" w:cs="宋体" w:eastAsia="仿宋" w:hAnsi="仿宋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85" w:type="dxa"/>
            <w:tcBorders/>
          </w:tcPr>
          <w:p>
            <w:pPr>
              <w:pStyle w:val="style0"/>
              <w:widowControl/>
              <w:wordWrap w:val="false"/>
              <w:spacing w:lineRule="atLeast" w:line="600"/>
              <w:jc w:val="center"/>
              <w:rPr>
                <w:rFonts w:ascii="仿宋" w:cs="宋体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cs="宋体" w:eastAsia="仿宋" w:hAnsi="仿宋" w:hint="eastAsia"/>
                <w:b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185" w:type="dxa"/>
            <w:tcBorders/>
          </w:tcPr>
          <w:p>
            <w:pPr>
              <w:pStyle w:val="style0"/>
              <w:widowControl/>
              <w:wordWrap w:val="false"/>
              <w:spacing w:lineRule="atLeast" w:line="600"/>
              <w:jc w:val="center"/>
              <w:rPr>
                <w:rFonts w:ascii="仿宋" w:cs="宋体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cs="宋体" w:eastAsia="仿宋" w:hAnsi="仿宋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85" w:type="dxa"/>
            <w:tcBorders/>
          </w:tcPr>
          <w:p>
            <w:pPr>
              <w:pStyle w:val="style0"/>
              <w:widowControl/>
              <w:wordWrap w:val="false"/>
              <w:spacing w:lineRule="atLeast" w:line="600"/>
              <w:jc w:val="center"/>
              <w:rPr>
                <w:rFonts w:ascii="仿宋" w:cs="宋体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cs="宋体" w:eastAsia="仿宋" w:hAnsi="仿宋" w:hint="eastAsia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185" w:type="dxa"/>
            <w:tcBorders/>
          </w:tcPr>
          <w:p>
            <w:pPr>
              <w:pStyle w:val="style0"/>
              <w:widowControl/>
              <w:wordWrap w:val="false"/>
              <w:spacing w:lineRule="atLeast" w:line="600"/>
              <w:jc w:val="center"/>
              <w:rPr>
                <w:rFonts w:ascii="仿宋" w:cs="宋体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cs="宋体" w:eastAsia="仿宋" w:hAnsi="仿宋" w:hint="eastAsia"/>
                <w:b/>
                <w:color w:val="000000"/>
                <w:kern w:val="0"/>
                <w:szCs w:val="21"/>
              </w:rPr>
              <w:t>总价</w:t>
            </w:r>
          </w:p>
        </w:tc>
        <w:tc>
          <w:tcPr>
            <w:tcW w:w="1186" w:type="dxa"/>
            <w:tcBorders/>
          </w:tcPr>
          <w:p>
            <w:pPr>
              <w:pStyle w:val="style0"/>
              <w:widowControl/>
              <w:wordWrap w:val="false"/>
              <w:spacing w:lineRule="atLeast" w:line="600"/>
              <w:jc w:val="center"/>
              <w:rPr>
                <w:rFonts w:ascii="仿宋" w:cs="宋体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cs="宋体" w:eastAsia="仿宋" w:hAnsi="仿宋" w:hint="eastAsia"/>
                <w:b/>
                <w:color w:val="000000"/>
                <w:kern w:val="0"/>
                <w:szCs w:val="21"/>
              </w:rPr>
              <w:t>服务要求</w:t>
            </w:r>
          </w:p>
        </w:tc>
      </w:tr>
      <w:tr>
        <w:tblPrEx/>
        <w:trPr>
          <w:trHeight w:val="380" w:hRule="atLeast"/>
        </w:trPr>
        <w:tc>
          <w:tcPr>
            <w:tcW w:w="1185" w:type="dxa"/>
            <w:tcBorders/>
          </w:tcPr>
          <w:p>
            <w:pPr>
              <w:pStyle w:val="style0"/>
              <w:widowControl/>
              <w:spacing w:lineRule="atLeast" w:line="300"/>
              <w:rPr>
                <w:rFonts w:ascii="仿宋" w:cs="宋体" w:eastAsia="仿宋" w:hAnsi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0"/>
                <w:szCs w:val="20"/>
              </w:rPr>
              <w:t>清研灵智信息咨询（北京）有限公司</w:t>
            </w:r>
          </w:p>
        </w:tc>
        <w:tc>
          <w:tcPr>
            <w:tcW w:w="1185" w:type="dxa"/>
            <w:tcBorders/>
          </w:tcPr>
          <w:p>
            <w:pPr>
              <w:pStyle w:val="style0"/>
              <w:widowControl/>
              <w:wordWrap w:val="false"/>
              <w:spacing w:lineRule="atLeast" w:line="300"/>
              <w:rPr>
                <w:color w:val="000000"/>
                <w:kern w:val="0"/>
                <w:sz w:val="22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0"/>
                <w:szCs w:val="20"/>
              </w:rPr>
              <w:t>北京市就业工作体系运行保障项目</w:t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style0"/>
              <w:widowControl/>
              <w:wordWrap w:val="false"/>
              <w:spacing w:lineRule="exact" w:line="400"/>
              <w:jc w:val="center"/>
              <w:rPr>
                <w:rFonts w:ascii="仿宋" w:cs="宋体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style0"/>
              <w:widowControl/>
              <w:spacing w:lineRule="exact" w:line="280"/>
              <w:jc w:val="center"/>
              <w:rPr>
                <w:rFonts w:ascii="仿宋" w:cs="宋体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style0"/>
              <w:widowControl/>
              <w:wordWrap w:val="false"/>
              <w:spacing w:lineRule="exact" w:line="400"/>
              <w:jc w:val="center"/>
              <w:rPr>
                <w:rFonts w:ascii="仿宋" w:cs="宋体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default"/>
                <w:color w:val="000000"/>
                <w:kern w:val="0"/>
                <w:sz w:val="20"/>
                <w:szCs w:val="20"/>
                <w:lang w:val="en-US"/>
              </w:rPr>
              <w:t>103.6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style0"/>
              <w:widowControl/>
              <w:wordWrap w:val="false"/>
              <w:spacing w:lineRule="exact" w:line="400"/>
              <w:jc w:val="center"/>
              <w:rPr>
                <w:rFonts w:ascii="仿宋" w:cs="宋体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default"/>
                <w:color w:val="000000"/>
                <w:kern w:val="0"/>
                <w:sz w:val="20"/>
                <w:szCs w:val="20"/>
                <w:lang w:val="en-US"/>
              </w:rPr>
              <w:t>103.6</w:t>
            </w:r>
            <w:r>
              <w:rPr>
                <w:rFonts w:ascii="仿宋" w:cs="宋体" w:eastAsia="仿宋" w:hAnsi="仿宋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  <w:tc>
          <w:tcPr>
            <w:tcW w:w="1186" w:type="dxa"/>
            <w:tcBorders/>
            <w:vAlign w:val="center"/>
          </w:tcPr>
          <w:p>
            <w:pPr>
              <w:pStyle w:val="style0"/>
              <w:widowControl/>
              <w:spacing w:lineRule="exact" w:line="280"/>
              <w:rPr>
                <w:rFonts w:ascii="仿宋" w:cs="宋体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color w:val="000000"/>
                <w:kern w:val="0"/>
                <w:sz w:val="20"/>
                <w:szCs w:val="20"/>
              </w:rPr>
              <w:t>详见磋商</w:t>
            </w:r>
            <w:r>
              <w:rPr>
                <w:rFonts w:ascii="仿宋" w:cs="宋体" w:eastAsia="仿宋" w:hAnsi="仿宋"/>
                <w:color w:val="000000"/>
                <w:kern w:val="0"/>
                <w:sz w:val="20"/>
                <w:szCs w:val="20"/>
              </w:rPr>
              <w:t>文件</w:t>
            </w:r>
          </w:p>
        </w:tc>
      </w:tr>
    </w:tbl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项目用途、简要技术要求：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640" w:firstLineChars="20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1.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 xml:space="preserve"> 就业</w:t>
      </w:r>
      <w:r>
        <w:rPr>
          <w:rFonts w:ascii="仿宋" w:cs="宋体" w:eastAsia="仿宋" w:hAnsi="仿宋"/>
          <w:color w:val="000000"/>
          <w:kern w:val="0"/>
          <w:sz w:val="32"/>
          <w:szCs w:val="32"/>
        </w:rPr>
        <w:t>服务运行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情况分析。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一套服务效能指标体系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采集相关运行数据按照指标体系每月两期数据分析表，全年共20期，提交时间为每月20日和次月5日前；根据数据分析每月形成一期就业服务运行分析总结，全年共12期，提交时间为次月10日前。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640" w:firstLineChars="20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2.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 xml:space="preserve"> 北京市就业政策和就业服务调查评价。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项目期内开展两次调查，总样本量24000个，其中求职者调查样本量1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4400个，用人单位调查样本量9600个。采用电话调查、线上推送等方式开展问卷调查。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合同履行期限：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自合同签订日起至2023年10月25日止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b/>
          <w:color w:val="000000"/>
          <w:kern w:val="0"/>
          <w:sz w:val="32"/>
          <w:szCs w:val="32"/>
        </w:rPr>
        <w:t>五、评审专家名单：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申玉钢、杨崴、佟建明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b/>
          <w:color w:val="000000"/>
          <w:kern w:val="0"/>
          <w:sz w:val="32"/>
          <w:szCs w:val="32"/>
        </w:rPr>
        <w:t>六、代理服务收费标准及金额：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按原国家计委《招标代理服务收费管理暂行办法》（[2002]1980号）“服务类”标准收费规定执行。服务费金额：1.5288万元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由成交供应商向采购代理机构支付成交服务费。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b/>
          <w:color w:val="000000"/>
          <w:kern w:val="0"/>
          <w:sz w:val="32"/>
          <w:szCs w:val="32"/>
        </w:rPr>
        <w:t>七、公告期限：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自本公告发布之日起</w:t>
      </w:r>
      <w:r>
        <w:rPr>
          <w:rFonts w:ascii="仿宋" w:cs="宋体" w:eastAsia="仿宋" w:hAnsi="仿宋"/>
          <w:color w:val="000000"/>
          <w:kern w:val="0"/>
          <w:sz w:val="32"/>
          <w:szCs w:val="32"/>
        </w:rPr>
        <w:t>1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个工作日。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b/>
          <w:color w:val="000000"/>
          <w:kern w:val="0"/>
          <w:sz w:val="32"/>
          <w:szCs w:val="32"/>
        </w:rPr>
        <w:t>八、其它补充事宜：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无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仿宋" w:cs="宋体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b/>
          <w:color w:val="000000"/>
          <w:kern w:val="0"/>
          <w:sz w:val="32"/>
          <w:szCs w:val="32"/>
        </w:rPr>
        <w:t>九、凡对本次公告内容提出询问，请按以下方式联系</w:t>
      </w:r>
      <w:r>
        <w:rPr>
          <w:rFonts w:ascii="仿宋" w:cs="宋体" w:eastAsia="仿宋" w:hAnsi="仿宋" w:hint="eastAsia"/>
          <w:b/>
          <w:color w:val="000000"/>
          <w:kern w:val="0"/>
          <w:sz w:val="32"/>
          <w:szCs w:val="32"/>
        </w:rPr>
        <w:t>:</w:t>
      </w:r>
      <w:bookmarkStart w:id="0" w:name="_GoBack"/>
      <w:bookmarkEnd w:id="0"/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1、采购</w:t>
      </w:r>
      <w:r>
        <w:rPr>
          <w:rFonts w:ascii="仿宋" w:cs="宋体" w:eastAsia="仿宋" w:hAnsi="仿宋"/>
          <w:color w:val="000000"/>
          <w:kern w:val="0"/>
          <w:sz w:val="32"/>
          <w:szCs w:val="32"/>
        </w:rPr>
        <w:t>单位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名称：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北京市人力资源和社会保障局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地址：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北京市通州区</w:t>
      </w:r>
      <w:r>
        <w:rPr>
          <w:rFonts w:ascii="仿宋" w:cs="宋体" w:eastAsia="仿宋" w:hAnsi="仿宋"/>
          <w:color w:val="000000"/>
          <w:kern w:val="0"/>
          <w:sz w:val="32"/>
          <w:szCs w:val="32"/>
        </w:rPr>
        <w:t>清风路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33号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院4号楼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联系方式：</w:t>
      </w: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010-55585477</w:t>
      </w:r>
    </w:p>
    <w:bookmarkStart w:id="1" w:name="_Toc35393643"/>
    <w:bookmarkStart w:id="2" w:name="_Toc35393812"/>
    <w:bookmarkStart w:id="3" w:name="_Toc28359102"/>
    <w:bookmarkStart w:id="4" w:name="_Toc28359025"/>
    <w:p>
      <w:pPr>
        <w:pStyle w:val="style0"/>
        <w:spacing w:lineRule="auto" w:line="360"/>
        <w:ind w:firstLine="480" w:firstLineChars="150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2、采购代理机构全称：国信招标集团股份有限公司</w:t>
      </w:r>
    </w:p>
    <w:p>
      <w:pPr>
        <w:pStyle w:val="style0"/>
        <w:spacing w:lineRule="auto" w:line="360"/>
        <w:ind w:left="420" w:leftChars="200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采购代理机构地址：北京市海淀区四季青常青路和泓四季6号楼</w:t>
      </w:r>
    </w:p>
    <w:p>
      <w:pPr>
        <w:pStyle w:val="style0"/>
        <w:spacing w:lineRule="auto" w:line="360"/>
        <w:ind w:left="315" w:leftChars="150"/>
        <w:rPr>
          <w:rFonts w:ascii="仿宋" w:cs="宋体" w:eastAsia="仿宋" w:hAnsi="仿宋"/>
          <w:color w:val="000000"/>
          <w:kern w:val="0"/>
          <w:sz w:val="32"/>
          <w:szCs w:val="32"/>
        </w:rPr>
      </w:pPr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>采购代理机构联系方式：高为、孟嫣</w:t>
      </w:r>
      <w:bookmarkEnd w:id="1"/>
      <w:bookmarkEnd w:id="2"/>
      <w:bookmarkEnd w:id="3"/>
      <w:bookmarkEnd w:id="4"/>
      <w:r>
        <w:rPr>
          <w:rFonts w:ascii="仿宋" w:cs="宋体" w:eastAsia="仿宋" w:hAnsi="仿宋" w:hint="eastAsia"/>
          <w:color w:val="000000"/>
          <w:kern w:val="0"/>
          <w:sz w:val="32"/>
          <w:szCs w:val="32"/>
        </w:rPr>
        <w:t xml:space="preserve">  010-87235017、010-87235398</w:t>
      </w: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微软雅黑" w:cs="宋体" w:eastAsia="微软雅黑" w:hAnsi="微软雅黑"/>
          <w:color w:val="404040"/>
          <w:kern w:val="0"/>
          <w:sz w:val="32"/>
          <w:szCs w:val="32"/>
        </w:rPr>
      </w:pPr>
    </w:p>
    <w:p>
      <w:pPr>
        <w:pStyle w:val="style0"/>
        <w:widowControl/>
        <w:shd w:val="clear" w:color="auto" w:fill="ffffff"/>
        <w:wordWrap w:val="false"/>
        <w:spacing w:lineRule="atLeast" w:line="600"/>
        <w:ind w:firstLine="480"/>
        <w:jc w:val="left"/>
        <w:rPr>
          <w:rFonts w:ascii="微软雅黑" w:cs="宋体" w:eastAsia="微软雅黑" w:hAnsi="微软雅黑"/>
          <w:color w:val="404040"/>
          <w:kern w:val="0"/>
          <w:sz w:val="32"/>
          <w:szCs w:val="32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方正黑体_GBK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Words>690</Words>
  <Pages>2</Pages>
  <Characters>789</Characters>
  <Application>WPS Office</Application>
  <DocSecurity>0</DocSecurity>
  <Paragraphs>41</Paragraphs>
  <ScaleCrop>false</ScaleCrop>
  <LinksUpToDate>false</LinksUpToDate>
  <CharactersWithSpaces>793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2021-09-29T16:07:00Z</dcterms:created>
  <dc:creator>1</dc:creator>
  <lastModifiedBy>FNE-AN00</lastModifiedBy>
  <lastPrinted>2022-11-09T07:02:00Z</lastPrinted>
  <dcterms:modified xsi:type="dcterms:W3CDTF">2022-11-11T08:35:42Z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8bb1eaefd4f8436eae9a31e238e16d94</vt:lpwstr>
  </property>
</Properties>
</file>